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CDB1AC" w14:textId="7E698577" w:rsidR="006B087E" w:rsidRPr="008B13A5" w:rsidRDefault="0029590C" w:rsidP="0029590C">
      <w:pPr>
        <w:pStyle w:val="Pagedecouverture"/>
        <w:rPr>
          <w:noProof/>
        </w:rPr>
      </w:pPr>
      <w:bookmarkStart w:id="0" w:name="LW_BM_COVERPAGE"/>
      <w:r>
        <w:rPr>
          <w:noProof/>
        </w:rPr>
        <w:pict w14:anchorId="306499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1AAA53E1-3836-4205-8C5C-B6AF6E4E04EA" style="width:455.25pt;height:441.75pt">
            <v:imagedata r:id="rId11" o:title=""/>
          </v:shape>
        </w:pict>
      </w:r>
    </w:p>
    <w:bookmarkEnd w:id="0"/>
    <w:p w14:paraId="63260D17" w14:textId="77777777" w:rsidR="006B087E" w:rsidRPr="008B13A5" w:rsidRDefault="006B087E" w:rsidP="000E3086">
      <w:pPr>
        <w:pStyle w:val="TOCHeading"/>
        <w:rPr>
          <w:noProof/>
        </w:rPr>
        <w:sectPr w:rsidR="006B087E" w:rsidRPr="008B13A5" w:rsidSect="0029590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bookmarkStart w:id="1" w:name="_GoBack" w:displacedByCustomXml="next"/>
    <w:bookmarkEnd w:id="1" w:displacedByCustomXml="next"/>
    <w:sdt>
      <w:sdtPr>
        <w:rPr>
          <w:rFonts w:eastAsiaTheme="minorEastAsia"/>
          <w:b w:val="0"/>
          <w:noProof/>
          <w:szCs w:val="24"/>
        </w:rPr>
        <w:id w:val="391314796"/>
        <w:docPartObj>
          <w:docPartGallery w:val="Table of Contents"/>
          <w:docPartUnique/>
        </w:docPartObj>
      </w:sdtPr>
      <w:sdtEndPr/>
      <w:sdtContent>
        <w:p w14:paraId="09EAB7C9" w14:textId="39F51EC0" w:rsidR="005D7A8B" w:rsidRPr="008B13A5" w:rsidRDefault="005D7A8B">
          <w:pPr>
            <w:pStyle w:val="TOCHeading"/>
            <w:rPr>
              <w:noProof/>
              <w:sz w:val="28"/>
              <w:szCs w:val="22"/>
            </w:rPr>
          </w:pPr>
          <w:r w:rsidRPr="008B13A5">
            <w:rPr>
              <w:noProof/>
              <w:sz w:val="28"/>
              <w:szCs w:val="22"/>
            </w:rPr>
            <w:t>Contents</w:t>
          </w:r>
        </w:p>
        <w:p w14:paraId="4A0DB158" w14:textId="19A1A5F2" w:rsidR="002A554E" w:rsidRDefault="00A20D8E" w:rsidP="2932BCE0">
          <w:pPr>
            <w:pStyle w:val="TOC1"/>
            <w:rPr>
              <w:rFonts w:asciiTheme="minorHAnsi" w:eastAsiaTheme="minorEastAsia" w:hAnsiTheme="minorHAnsi" w:cstheme="minorBidi"/>
              <w:caps w:val="0"/>
              <w:noProof/>
              <w:kern w:val="2"/>
              <w:lang w:val="en-IE" w:eastAsia="en-IE"/>
              <w14:ligatures w14:val="standardContextual"/>
            </w:rPr>
          </w:pPr>
          <w:r w:rsidRPr="008B13A5">
            <w:rPr>
              <w:noProof/>
            </w:rPr>
            <w:fldChar w:fldCharType="begin"/>
          </w:r>
          <w:r w:rsidRPr="008B13A5">
            <w:rPr>
              <w:noProof/>
            </w:rPr>
            <w:instrText xml:space="preserve"> TOC \o "1-6" \h \z \u </w:instrText>
          </w:r>
          <w:r w:rsidRPr="008B13A5">
            <w:rPr>
              <w:noProof/>
            </w:rPr>
            <w:fldChar w:fldCharType="separate"/>
          </w:r>
          <w:hyperlink w:anchor="_Toc230010355" w:history="1">
            <w:r w:rsidR="002A554E" w:rsidRPr="00C10676">
              <w:rPr>
                <w:rStyle w:val="Hyperlink"/>
                <w:noProof/>
              </w:rPr>
              <w:t>Annex 1: Procedural information</w:t>
            </w:r>
            <w:r w:rsidR="002A554E">
              <w:rPr>
                <w:noProof/>
                <w:webHidden/>
              </w:rPr>
              <w:tab/>
            </w:r>
            <w:r w:rsidR="002A554E">
              <w:rPr>
                <w:noProof/>
                <w:webHidden/>
              </w:rPr>
              <w:fldChar w:fldCharType="begin"/>
            </w:r>
            <w:r w:rsidR="002A554E">
              <w:rPr>
                <w:noProof/>
                <w:webHidden/>
              </w:rPr>
              <w:instrText xml:space="preserve"> PAGEREF _Toc230010355 \h </w:instrText>
            </w:r>
            <w:r w:rsidR="002A554E">
              <w:rPr>
                <w:noProof/>
                <w:webHidden/>
              </w:rPr>
            </w:r>
            <w:r w:rsidR="002A554E">
              <w:rPr>
                <w:noProof/>
                <w:webHidden/>
              </w:rPr>
              <w:fldChar w:fldCharType="separate"/>
            </w:r>
            <w:r w:rsidR="00845BCE">
              <w:rPr>
                <w:noProof/>
                <w:webHidden/>
              </w:rPr>
              <w:t>5</w:t>
            </w:r>
            <w:r w:rsidR="002A554E">
              <w:rPr>
                <w:noProof/>
                <w:webHidden/>
              </w:rPr>
              <w:fldChar w:fldCharType="end"/>
            </w:r>
          </w:hyperlink>
        </w:p>
        <w:p w14:paraId="0A595D1B" w14:textId="4FDAFDD9"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356" w:history="1">
            <w:r w:rsidR="002A554E" w:rsidRPr="00C10676">
              <w:rPr>
                <w:rStyle w:val="Hyperlink"/>
                <w:noProof/>
              </w:rPr>
              <w:t>1.</w:t>
            </w:r>
            <w:r w:rsidR="002A554E">
              <w:rPr>
                <w:rFonts w:asciiTheme="minorHAnsi" w:eastAsiaTheme="minorEastAsia" w:hAnsiTheme="minorHAnsi" w:cstheme="minorBidi"/>
                <w:caps w:val="0"/>
                <w:noProof/>
                <w:kern w:val="2"/>
                <w:szCs w:val="24"/>
                <w:lang w:val="en-IE" w:eastAsia="en-IE"/>
                <w14:ligatures w14:val="standardContextual"/>
              </w:rPr>
              <w:tab/>
            </w:r>
            <w:r w:rsidR="002A554E" w:rsidRPr="00C10676">
              <w:rPr>
                <w:rStyle w:val="Hyperlink"/>
                <w:noProof/>
              </w:rPr>
              <w:t>Lead DG, Decide Planning/CWP references</w:t>
            </w:r>
            <w:r w:rsidR="002A554E">
              <w:rPr>
                <w:noProof/>
                <w:webHidden/>
              </w:rPr>
              <w:tab/>
            </w:r>
            <w:r w:rsidR="002A554E">
              <w:rPr>
                <w:noProof/>
                <w:webHidden/>
              </w:rPr>
              <w:fldChar w:fldCharType="begin"/>
            </w:r>
            <w:r w:rsidR="002A554E">
              <w:rPr>
                <w:noProof/>
                <w:webHidden/>
              </w:rPr>
              <w:instrText xml:space="preserve"> PAGEREF _Toc230010356 \h </w:instrText>
            </w:r>
            <w:r w:rsidR="002A554E">
              <w:rPr>
                <w:noProof/>
                <w:webHidden/>
              </w:rPr>
            </w:r>
            <w:r w:rsidR="002A554E">
              <w:rPr>
                <w:noProof/>
                <w:webHidden/>
              </w:rPr>
              <w:fldChar w:fldCharType="separate"/>
            </w:r>
            <w:r w:rsidR="00845BCE">
              <w:rPr>
                <w:noProof/>
                <w:webHidden/>
              </w:rPr>
              <w:t>5</w:t>
            </w:r>
            <w:r w:rsidR="002A554E">
              <w:rPr>
                <w:noProof/>
                <w:webHidden/>
              </w:rPr>
              <w:fldChar w:fldCharType="end"/>
            </w:r>
          </w:hyperlink>
        </w:p>
        <w:p w14:paraId="21558A03" w14:textId="21D96E88"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357" w:history="1">
            <w:r w:rsidR="002A554E" w:rsidRPr="00C10676">
              <w:rPr>
                <w:rStyle w:val="Hyperlink"/>
                <w:noProof/>
              </w:rPr>
              <w:t>2.</w:t>
            </w:r>
            <w:r w:rsidR="002A554E">
              <w:rPr>
                <w:rFonts w:asciiTheme="minorHAnsi" w:eastAsiaTheme="minorEastAsia" w:hAnsiTheme="minorHAnsi" w:cstheme="minorBidi"/>
                <w:caps w:val="0"/>
                <w:noProof/>
                <w:kern w:val="2"/>
                <w:szCs w:val="24"/>
                <w:lang w:val="en-IE" w:eastAsia="en-IE"/>
                <w14:ligatures w14:val="standardContextual"/>
              </w:rPr>
              <w:tab/>
            </w:r>
            <w:r w:rsidR="002A554E" w:rsidRPr="00C10676">
              <w:rPr>
                <w:rStyle w:val="Hyperlink"/>
                <w:noProof/>
              </w:rPr>
              <w:t>Organisation and timing</w:t>
            </w:r>
            <w:r w:rsidR="002A554E">
              <w:rPr>
                <w:noProof/>
                <w:webHidden/>
              </w:rPr>
              <w:tab/>
            </w:r>
            <w:r w:rsidR="002A554E">
              <w:rPr>
                <w:noProof/>
                <w:webHidden/>
              </w:rPr>
              <w:fldChar w:fldCharType="begin"/>
            </w:r>
            <w:r w:rsidR="002A554E">
              <w:rPr>
                <w:noProof/>
                <w:webHidden/>
              </w:rPr>
              <w:instrText xml:space="preserve"> PAGEREF _Toc230010357 \h </w:instrText>
            </w:r>
            <w:r w:rsidR="002A554E">
              <w:rPr>
                <w:noProof/>
                <w:webHidden/>
              </w:rPr>
            </w:r>
            <w:r w:rsidR="002A554E">
              <w:rPr>
                <w:noProof/>
                <w:webHidden/>
              </w:rPr>
              <w:fldChar w:fldCharType="separate"/>
            </w:r>
            <w:r w:rsidR="00845BCE">
              <w:rPr>
                <w:noProof/>
                <w:webHidden/>
              </w:rPr>
              <w:t>5</w:t>
            </w:r>
            <w:r w:rsidR="002A554E">
              <w:rPr>
                <w:noProof/>
                <w:webHidden/>
              </w:rPr>
              <w:fldChar w:fldCharType="end"/>
            </w:r>
          </w:hyperlink>
        </w:p>
        <w:p w14:paraId="699C4737" w14:textId="17DD03C0"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358" w:history="1">
            <w:r w:rsidR="002A554E" w:rsidRPr="00C10676">
              <w:rPr>
                <w:rStyle w:val="Hyperlink"/>
                <w:noProof/>
              </w:rPr>
              <w:t>3.</w:t>
            </w:r>
            <w:r w:rsidR="002A554E">
              <w:rPr>
                <w:rFonts w:asciiTheme="minorHAnsi" w:eastAsiaTheme="minorEastAsia" w:hAnsiTheme="minorHAnsi" w:cstheme="minorBidi"/>
                <w:caps w:val="0"/>
                <w:noProof/>
                <w:kern w:val="2"/>
                <w:szCs w:val="24"/>
                <w:lang w:val="en-IE" w:eastAsia="en-IE"/>
                <w14:ligatures w14:val="standardContextual"/>
              </w:rPr>
              <w:tab/>
            </w:r>
            <w:r w:rsidR="002A554E" w:rsidRPr="00C10676">
              <w:rPr>
                <w:rStyle w:val="Hyperlink"/>
                <w:noProof/>
              </w:rPr>
              <w:t>Consultation of the RSB</w:t>
            </w:r>
            <w:r w:rsidR="002A554E">
              <w:rPr>
                <w:noProof/>
                <w:webHidden/>
              </w:rPr>
              <w:tab/>
            </w:r>
            <w:r w:rsidR="002A554E">
              <w:rPr>
                <w:noProof/>
                <w:webHidden/>
              </w:rPr>
              <w:fldChar w:fldCharType="begin"/>
            </w:r>
            <w:r w:rsidR="002A554E">
              <w:rPr>
                <w:noProof/>
                <w:webHidden/>
              </w:rPr>
              <w:instrText xml:space="preserve"> PAGEREF _Toc230010358 \h </w:instrText>
            </w:r>
            <w:r w:rsidR="002A554E">
              <w:rPr>
                <w:noProof/>
                <w:webHidden/>
              </w:rPr>
            </w:r>
            <w:r w:rsidR="002A554E">
              <w:rPr>
                <w:noProof/>
                <w:webHidden/>
              </w:rPr>
              <w:fldChar w:fldCharType="separate"/>
            </w:r>
            <w:r w:rsidR="00845BCE">
              <w:rPr>
                <w:noProof/>
                <w:webHidden/>
              </w:rPr>
              <w:t>5</w:t>
            </w:r>
            <w:r w:rsidR="002A554E">
              <w:rPr>
                <w:noProof/>
                <w:webHidden/>
              </w:rPr>
              <w:fldChar w:fldCharType="end"/>
            </w:r>
          </w:hyperlink>
        </w:p>
        <w:p w14:paraId="2B64F6AD" w14:textId="3C2A64E2"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359" w:history="1">
            <w:r w:rsidR="002A554E" w:rsidRPr="00C10676">
              <w:rPr>
                <w:rStyle w:val="Hyperlink"/>
                <w:noProof/>
              </w:rPr>
              <w:t>Annex 2: Stakeholder consultation (Synopsis report)</w:t>
            </w:r>
            <w:r w:rsidR="002A554E">
              <w:rPr>
                <w:noProof/>
                <w:webHidden/>
              </w:rPr>
              <w:tab/>
            </w:r>
            <w:r w:rsidR="002A554E">
              <w:rPr>
                <w:noProof/>
                <w:webHidden/>
              </w:rPr>
              <w:fldChar w:fldCharType="begin"/>
            </w:r>
            <w:r w:rsidR="002A554E">
              <w:rPr>
                <w:noProof/>
                <w:webHidden/>
              </w:rPr>
              <w:instrText xml:space="preserve"> PAGEREF _Toc230010359 \h </w:instrText>
            </w:r>
            <w:r w:rsidR="002A554E">
              <w:rPr>
                <w:noProof/>
                <w:webHidden/>
              </w:rPr>
            </w:r>
            <w:r w:rsidR="002A554E">
              <w:rPr>
                <w:noProof/>
                <w:webHidden/>
              </w:rPr>
              <w:fldChar w:fldCharType="separate"/>
            </w:r>
            <w:r w:rsidR="00845BCE">
              <w:rPr>
                <w:noProof/>
                <w:webHidden/>
              </w:rPr>
              <w:t>6</w:t>
            </w:r>
            <w:r w:rsidR="002A554E">
              <w:rPr>
                <w:noProof/>
                <w:webHidden/>
              </w:rPr>
              <w:fldChar w:fldCharType="end"/>
            </w:r>
          </w:hyperlink>
        </w:p>
        <w:p w14:paraId="5B5821B0" w14:textId="5D66A6F0"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360" w:history="1">
            <w:r w:rsidR="002A554E" w:rsidRPr="00C10676">
              <w:rPr>
                <w:rStyle w:val="Hyperlink"/>
                <w:noProof/>
              </w:rPr>
              <w:t>1.</w:t>
            </w:r>
            <w:r w:rsidR="002A554E">
              <w:rPr>
                <w:rFonts w:asciiTheme="minorHAnsi" w:eastAsiaTheme="minorEastAsia" w:hAnsiTheme="minorHAnsi" w:cstheme="minorBidi"/>
                <w:caps w:val="0"/>
                <w:noProof/>
                <w:kern w:val="2"/>
                <w:szCs w:val="24"/>
                <w:lang w:val="en-IE" w:eastAsia="en-IE"/>
                <w14:ligatures w14:val="standardContextual"/>
              </w:rPr>
              <w:tab/>
            </w:r>
            <w:r w:rsidR="002A554E" w:rsidRPr="00C10676">
              <w:rPr>
                <w:rStyle w:val="Hyperlink"/>
                <w:noProof/>
              </w:rPr>
              <w:t>Introduction</w:t>
            </w:r>
            <w:r w:rsidR="002A554E">
              <w:rPr>
                <w:noProof/>
                <w:webHidden/>
              </w:rPr>
              <w:tab/>
            </w:r>
            <w:r w:rsidR="002A554E">
              <w:rPr>
                <w:noProof/>
                <w:webHidden/>
              </w:rPr>
              <w:fldChar w:fldCharType="begin"/>
            </w:r>
            <w:r w:rsidR="002A554E">
              <w:rPr>
                <w:noProof/>
                <w:webHidden/>
              </w:rPr>
              <w:instrText xml:space="preserve"> PAGEREF _Toc230010360 \h </w:instrText>
            </w:r>
            <w:r w:rsidR="002A554E">
              <w:rPr>
                <w:noProof/>
                <w:webHidden/>
              </w:rPr>
            </w:r>
            <w:r w:rsidR="002A554E">
              <w:rPr>
                <w:noProof/>
                <w:webHidden/>
              </w:rPr>
              <w:fldChar w:fldCharType="separate"/>
            </w:r>
            <w:r w:rsidR="00845BCE">
              <w:rPr>
                <w:noProof/>
                <w:webHidden/>
              </w:rPr>
              <w:t>6</w:t>
            </w:r>
            <w:r w:rsidR="002A554E">
              <w:rPr>
                <w:noProof/>
                <w:webHidden/>
              </w:rPr>
              <w:fldChar w:fldCharType="end"/>
            </w:r>
          </w:hyperlink>
        </w:p>
        <w:p w14:paraId="5F114AC8" w14:textId="6D0BBE8D"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361" w:history="1">
            <w:r w:rsidR="002A554E" w:rsidRPr="00C10676">
              <w:rPr>
                <w:rStyle w:val="Hyperlink"/>
                <w:noProof/>
              </w:rPr>
              <w:t>2.</w:t>
            </w:r>
            <w:r w:rsidR="002A554E">
              <w:rPr>
                <w:rFonts w:asciiTheme="minorHAnsi" w:eastAsiaTheme="minorEastAsia" w:hAnsiTheme="minorHAnsi" w:cstheme="minorBidi"/>
                <w:caps w:val="0"/>
                <w:noProof/>
                <w:kern w:val="2"/>
                <w:szCs w:val="24"/>
                <w:lang w:val="en-IE" w:eastAsia="en-IE"/>
                <w14:ligatures w14:val="standardContextual"/>
              </w:rPr>
              <w:tab/>
            </w:r>
            <w:r w:rsidR="002A554E" w:rsidRPr="00C10676">
              <w:rPr>
                <w:rStyle w:val="Hyperlink"/>
                <w:noProof/>
              </w:rPr>
              <w:t>Outline of the consultation strategy and methodology</w:t>
            </w:r>
            <w:r w:rsidR="002A554E">
              <w:rPr>
                <w:noProof/>
                <w:webHidden/>
              </w:rPr>
              <w:tab/>
            </w:r>
            <w:r w:rsidR="002A554E">
              <w:rPr>
                <w:noProof/>
                <w:webHidden/>
              </w:rPr>
              <w:fldChar w:fldCharType="begin"/>
            </w:r>
            <w:r w:rsidR="002A554E">
              <w:rPr>
                <w:noProof/>
                <w:webHidden/>
              </w:rPr>
              <w:instrText xml:space="preserve"> PAGEREF _Toc230010361 \h </w:instrText>
            </w:r>
            <w:r w:rsidR="002A554E">
              <w:rPr>
                <w:noProof/>
                <w:webHidden/>
              </w:rPr>
            </w:r>
            <w:r w:rsidR="002A554E">
              <w:rPr>
                <w:noProof/>
                <w:webHidden/>
              </w:rPr>
              <w:fldChar w:fldCharType="separate"/>
            </w:r>
            <w:r w:rsidR="00845BCE">
              <w:rPr>
                <w:noProof/>
                <w:webHidden/>
              </w:rPr>
              <w:t>6</w:t>
            </w:r>
            <w:r w:rsidR="002A554E">
              <w:rPr>
                <w:noProof/>
                <w:webHidden/>
              </w:rPr>
              <w:fldChar w:fldCharType="end"/>
            </w:r>
          </w:hyperlink>
        </w:p>
        <w:p w14:paraId="356EBF70" w14:textId="24A0DBBF"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362" w:history="1">
            <w:r w:rsidR="002A554E" w:rsidRPr="00C10676">
              <w:rPr>
                <w:rStyle w:val="Hyperlink"/>
                <w:bCs/>
                <w:noProof/>
              </w:rPr>
              <w:t>3.</w:t>
            </w:r>
            <w:r w:rsidR="002A554E">
              <w:rPr>
                <w:rFonts w:asciiTheme="minorHAnsi" w:eastAsiaTheme="minorEastAsia" w:hAnsiTheme="minorHAnsi" w:cstheme="minorBidi"/>
                <w:caps w:val="0"/>
                <w:noProof/>
                <w:kern w:val="2"/>
                <w:szCs w:val="24"/>
                <w:lang w:val="en-IE" w:eastAsia="en-IE"/>
                <w14:ligatures w14:val="standardContextual"/>
              </w:rPr>
              <w:tab/>
            </w:r>
            <w:r w:rsidR="002A554E" w:rsidRPr="00C10676">
              <w:rPr>
                <w:rStyle w:val="Hyperlink"/>
                <w:noProof/>
              </w:rPr>
              <w:t>Methodological adaptations and limitations</w:t>
            </w:r>
            <w:r w:rsidR="002A554E">
              <w:rPr>
                <w:noProof/>
                <w:webHidden/>
              </w:rPr>
              <w:tab/>
            </w:r>
            <w:r w:rsidR="002A554E">
              <w:rPr>
                <w:noProof/>
                <w:webHidden/>
              </w:rPr>
              <w:fldChar w:fldCharType="begin"/>
            </w:r>
            <w:r w:rsidR="002A554E">
              <w:rPr>
                <w:noProof/>
                <w:webHidden/>
              </w:rPr>
              <w:instrText xml:space="preserve"> PAGEREF _Toc230010362 \h </w:instrText>
            </w:r>
            <w:r w:rsidR="002A554E">
              <w:rPr>
                <w:noProof/>
                <w:webHidden/>
              </w:rPr>
            </w:r>
            <w:r w:rsidR="002A554E">
              <w:rPr>
                <w:noProof/>
                <w:webHidden/>
              </w:rPr>
              <w:fldChar w:fldCharType="separate"/>
            </w:r>
            <w:r w:rsidR="00845BCE">
              <w:rPr>
                <w:noProof/>
                <w:webHidden/>
              </w:rPr>
              <w:t>7</w:t>
            </w:r>
            <w:r w:rsidR="002A554E">
              <w:rPr>
                <w:noProof/>
                <w:webHidden/>
              </w:rPr>
              <w:fldChar w:fldCharType="end"/>
            </w:r>
          </w:hyperlink>
        </w:p>
        <w:p w14:paraId="74B2EAED" w14:textId="0A69BC75"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363" w:history="1">
            <w:r w:rsidR="002A554E" w:rsidRPr="00C10676">
              <w:rPr>
                <w:rStyle w:val="Hyperlink"/>
                <w:noProof/>
              </w:rPr>
              <w:t>4.</w:t>
            </w:r>
            <w:r w:rsidR="002A554E">
              <w:rPr>
                <w:rFonts w:asciiTheme="minorHAnsi" w:eastAsiaTheme="minorEastAsia" w:hAnsiTheme="minorHAnsi" w:cstheme="minorBidi"/>
                <w:caps w:val="0"/>
                <w:noProof/>
                <w:kern w:val="2"/>
                <w:szCs w:val="24"/>
                <w:lang w:val="en-IE" w:eastAsia="en-IE"/>
                <w14:ligatures w14:val="standardContextual"/>
              </w:rPr>
              <w:tab/>
            </w:r>
            <w:r w:rsidR="002A554E" w:rsidRPr="00C10676">
              <w:rPr>
                <w:rStyle w:val="Hyperlink"/>
                <w:noProof/>
              </w:rPr>
              <w:t>Summarised results of the open public consultation (OPC)</w:t>
            </w:r>
            <w:r w:rsidR="002A554E">
              <w:rPr>
                <w:noProof/>
                <w:webHidden/>
              </w:rPr>
              <w:tab/>
            </w:r>
            <w:r w:rsidR="002A554E">
              <w:rPr>
                <w:noProof/>
                <w:webHidden/>
              </w:rPr>
              <w:fldChar w:fldCharType="begin"/>
            </w:r>
            <w:r w:rsidR="002A554E">
              <w:rPr>
                <w:noProof/>
                <w:webHidden/>
              </w:rPr>
              <w:instrText xml:space="preserve"> PAGEREF _Toc230010363 \h </w:instrText>
            </w:r>
            <w:r w:rsidR="002A554E">
              <w:rPr>
                <w:noProof/>
                <w:webHidden/>
              </w:rPr>
            </w:r>
            <w:r w:rsidR="002A554E">
              <w:rPr>
                <w:noProof/>
                <w:webHidden/>
              </w:rPr>
              <w:fldChar w:fldCharType="separate"/>
            </w:r>
            <w:r w:rsidR="00845BCE">
              <w:rPr>
                <w:noProof/>
                <w:webHidden/>
              </w:rPr>
              <w:t>7</w:t>
            </w:r>
            <w:r w:rsidR="002A554E">
              <w:rPr>
                <w:noProof/>
                <w:webHidden/>
              </w:rPr>
              <w:fldChar w:fldCharType="end"/>
            </w:r>
          </w:hyperlink>
        </w:p>
        <w:p w14:paraId="0EEB6BA1" w14:textId="4C20C52E"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64" w:history="1">
            <w:r w:rsidR="002A554E" w:rsidRPr="00C10676">
              <w:rPr>
                <w:rStyle w:val="Hyperlink"/>
                <w:noProof/>
              </w:rPr>
              <w:t>4.1.</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Effectiveness</w:t>
            </w:r>
            <w:r w:rsidR="002A554E">
              <w:rPr>
                <w:noProof/>
                <w:webHidden/>
              </w:rPr>
              <w:tab/>
            </w:r>
            <w:r w:rsidR="002A554E">
              <w:rPr>
                <w:noProof/>
                <w:webHidden/>
              </w:rPr>
              <w:fldChar w:fldCharType="begin"/>
            </w:r>
            <w:r w:rsidR="002A554E">
              <w:rPr>
                <w:noProof/>
                <w:webHidden/>
              </w:rPr>
              <w:instrText xml:space="preserve"> PAGEREF _Toc230010364 \h </w:instrText>
            </w:r>
            <w:r w:rsidR="002A554E">
              <w:rPr>
                <w:noProof/>
                <w:webHidden/>
              </w:rPr>
            </w:r>
            <w:r w:rsidR="002A554E">
              <w:rPr>
                <w:noProof/>
                <w:webHidden/>
              </w:rPr>
              <w:fldChar w:fldCharType="separate"/>
            </w:r>
            <w:r w:rsidR="00845BCE">
              <w:rPr>
                <w:noProof/>
                <w:webHidden/>
              </w:rPr>
              <w:t>8</w:t>
            </w:r>
            <w:r w:rsidR="002A554E">
              <w:rPr>
                <w:noProof/>
                <w:webHidden/>
              </w:rPr>
              <w:fldChar w:fldCharType="end"/>
            </w:r>
          </w:hyperlink>
        </w:p>
        <w:p w14:paraId="788CB7C2" w14:textId="50466FBB"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65" w:history="1">
            <w:r w:rsidR="002A554E" w:rsidRPr="00C10676">
              <w:rPr>
                <w:rStyle w:val="Hyperlink"/>
                <w:noProof/>
              </w:rPr>
              <w:t>4.2.</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Efficiency</w:t>
            </w:r>
            <w:r w:rsidR="002A554E">
              <w:rPr>
                <w:noProof/>
                <w:webHidden/>
              </w:rPr>
              <w:tab/>
            </w:r>
            <w:r w:rsidR="002A554E">
              <w:rPr>
                <w:noProof/>
                <w:webHidden/>
              </w:rPr>
              <w:fldChar w:fldCharType="begin"/>
            </w:r>
            <w:r w:rsidR="002A554E">
              <w:rPr>
                <w:noProof/>
                <w:webHidden/>
              </w:rPr>
              <w:instrText xml:space="preserve"> PAGEREF _Toc230010365 \h </w:instrText>
            </w:r>
            <w:r w:rsidR="002A554E">
              <w:rPr>
                <w:noProof/>
                <w:webHidden/>
              </w:rPr>
            </w:r>
            <w:r w:rsidR="002A554E">
              <w:rPr>
                <w:noProof/>
                <w:webHidden/>
              </w:rPr>
              <w:fldChar w:fldCharType="separate"/>
            </w:r>
            <w:r w:rsidR="00845BCE">
              <w:rPr>
                <w:noProof/>
                <w:webHidden/>
              </w:rPr>
              <w:t>11</w:t>
            </w:r>
            <w:r w:rsidR="002A554E">
              <w:rPr>
                <w:noProof/>
                <w:webHidden/>
              </w:rPr>
              <w:fldChar w:fldCharType="end"/>
            </w:r>
          </w:hyperlink>
        </w:p>
        <w:p w14:paraId="49727720" w14:textId="3132CF97"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66" w:history="1">
            <w:r w:rsidR="002A554E" w:rsidRPr="00C10676">
              <w:rPr>
                <w:rStyle w:val="Hyperlink"/>
                <w:noProof/>
              </w:rPr>
              <w:t>4.3.</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Coherence</w:t>
            </w:r>
            <w:r w:rsidR="002A554E">
              <w:rPr>
                <w:noProof/>
                <w:webHidden/>
              </w:rPr>
              <w:tab/>
            </w:r>
            <w:r w:rsidR="002A554E">
              <w:rPr>
                <w:noProof/>
                <w:webHidden/>
              </w:rPr>
              <w:fldChar w:fldCharType="begin"/>
            </w:r>
            <w:r w:rsidR="002A554E">
              <w:rPr>
                <w:noProof/>
                <w:webHidden/>
              </w:rPr>
              <w:instrText xml:space="preserve"> PAGEREF _Toc230010366 \h </w:instrText>
            </w:r>
            <w:r w:rsidR="002A554E">
              <w:rPr>
                <w:noProof/>
                <w:webHidden/>
              </w:rPr>
            </w:r>
            <w:r w:rsidR="002A554E">
              <w:rPr>
                <w:noProof/>
                <w:webHidden/>
              </w:rPr>
              <w:fldChar w:fldCharType="separate"/>
            </w:r>
            <w:r w:rsidR="00845BCE">
              <w:rPr>
                <w:noProof/>
                <w:webHidden/>
              </w:rPr>
              <w:t>11</w:t>
            </w:r>
            <w:r w:rsidR="002A554E">
              <w:rPr>
                <w:noProof/>
                <w:webHidden/>
              </w:rPr>
              <w:fldChar w:fldCharType="end"/>
            </w:r>
          </w:hyperlink>
        </w:p>
        <w:p w14:paraId="4750E4F6" w14:textId="6ACF6F30"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67" w:history="1">
            <w:r w:rsidR="002A554E" w:rsidRPr="00C10676">
              <w:rPr>
                <w:rStyle w:val="Hyperlink"/>
                <w:bCs/>
                <w:noProof/>
              </w:rPr>
              <w:t>4.4.</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EU added value</w:t>
            </w:r>
            <w:r w:rsidR="002A554E">
              <w:rPr>
                <w:noProof/>
                <w:webHidden/>
              </w:rPr>
              <w:tab/>
            </w:r>
            <w:r w:rsidR="002A554E">
              <w:rPr>
                <w:noProof/>
                <w:webHidden/>
              </w:rPr>
              <w:fldChar w:fldCharType="begin"/>
            </w:r>
            <w:r w:rsidR="002A554E">
              <w:rPr>
                <w:noProof/>
                <w:webHidden/>
              </w:rPr>
              <w:instrText xml:space="preserve"> PAGEREF _Toc230010367 \h </w:instrText>
            </w:r>
            <w:r w:rsidR="002A554E">
              <w:rPr>
                <w:noProof/>
                <w:webHidden/>
              </w:rPr>
            </w:r>
            <w:r w:rsidR="002A554E">
              <w:rPr>
                <w:noProof/>
                <w:webHidden/>
              </w:rPr>
              <w:fldChar w:fldCharType="separate"/>
            </w:r>
            <w:r w:rsidR="00845BCE">
              <w:rPr>
                <w:noProof/>
                <w:webHidden/>
              </w:rPr>
              <w:t>12</w:t>
            </w:r>
            <w:r w:rsidR="002A554E">
              <w:rPr>
                <w:noProof/>
                <w:webHidden/>
              </w:rPr>
              <w:fldChar w:fldCharType="end"/>
            </w:r>
          </w:hyperlink>
        </w:p>
        <w:p w14:paraId="056C7F26" w14:textId="43009D81"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68" w:history="1">
            <w:r w:rsidR="002A554E" w:rsidRPr="00C10676">
              <w:rPr>
                <w:rStyle w:val="Hyperlink"/>
                <w:noProof/>
              </w:rPr>
              <w:t>4.5.</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Relevance</w:t>
            </w:r>
            <w:r w:rsidR="002A554E">
              <w:rPr>
                <w:noProof/>
                <w:webHidden/>
              </w:rPr>
              <w:tab/>
            </w:r>
            <w:r w:rsidR="002A554E">
              <w:rPr>
                <w:noProof/>
                <w:webHidden/>
              </w:rPr>
              <w:fldChar w:fldCharType="begin"/>
            </w:r>
            <w:r w:rsidR="002A554E">
              <w:rPr>
                <w:noProof/>
                <w:webHidden/>
              </w:rPr>
              <w:instrText xml:space="preserve"> PAGEREF _Toc230010368 \h </w:instrText>
            </w:r>
            <w:r w:rsidR="002A554E">
              <w:rPr>
                <w:noProof/>
                <w:webHidden/>
              </w:rPr>
            </w:r>
            <w:r w:rsidR="002A554E">
              <w:rPr>
                <w:noProof/>
                <w:webHidden/>
              </w:rPr>
              <w:fldChar w:fldCharType="separate"/>
            </w:r>
            <w:r w:rsidR="00845BCE">
              <w:rPr>
                <w:noProof/>
                <w:webHidden/>
              </w:rPr>
              <w:t>13</w:t>
            </w:r>
            <w:r w:rsidR="002A554E">
              <w:rPr>
                <w:noProof/>
                <w:webHidden/>
              </w:rPr>
              <w:fldChar w:fldCharType="end"/>
            </w:r>
          </w:hyperlink>
        </w:p>
        <w:p w14:paraId="2E5676C0" w14:textId="545A1EDB"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69" w:history="1">
            <w:r w:rsidR="002A554E" w:rsidRPr="00C10676">
              <w:rPr>
                <w:rStyle w:val="Hyperlink"/>
                <w:bCs/>
                <w:noProof/>
              </w:rPr>
              <w:t>4.6.</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Prospective</w:t>
            </w:r>
            <w:r w:rsidR="002A554E">
              <w:rPr>
                <w:noProof/>
                <w:webHidden/>
              </w:rPr>
              <w:tab/>
            </w:r>
            <w:r w:rsidR="002A554E">
              <w:rPr>
                <w:noProof/>
                <w:webHidden/>
              </w:rPr>
              <w:fldChar w:fldCharType="begin"/>
            </w:r>
            <w:r w:rsidR="002A554E">
              <w:rPr>
                <w:noProof/>
                <w:webHidden/>
              </w:rPr>
              <w:instrText xml:space="preserve"> PAGEREF _Toc230010369 \h </w:instrText>
            </w:r>
            <w:r w:rsidR="002A554E">
              <w:rPr>
                <w:noProof/>
                <w:webHidden/>
              </w:rPr>
            </w:r>
            <w:r w:rsidR="002A554E">
              <w:rPr>
                <w:noProof/>
                <w:webHidden/>
              </w:rPr>
              <w:fldChar w:fldCharType="separate"/>
            </w:r>
            <w:r w:rsidR="00845BCE">
              <w:rPr>
                <w:noProof/>
                <w:webHidden/>
              </w:rPr>
              <w:t>15</w:t>
            </w:r>
            <w:r w:rsidR="002A554E">
              <w:rPr>
                <w:noProof/>
                <w:webHidden/>
              </w:rPr>
              <w:fldChar w:fldCharType="end"/>
            </w:r>
          </w:hyperlink>
        </w:p>
        <w:p w14:paraId="46166217" w14:textId="51BC3811"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370" w:history="1">
            <w:r w:rsidR="002A554E" w:rsidRPr="00C10676">
              <w:rPr>
                <w:rStyle w:val="Hyperlink"/>
                <w:noProof/>
              </w:rPr>
              <w:t>5.</w:t>
            </w:r>
            <w:r w:rsidR="002A554E">
              <w:rPr>
                <w:rFonts w:asciiTheme="minorHAnsi" w:eastAsiaTheme="minorEastAsia" w:hAnsiTheme="minorHAnsi" w:cstheme="minorBidi"/>
                <w:caps w:val="0"/>
                <w:noProof/>
                <w:kern w:val="2"/>
                <w:szCs w:val="24"/>
                <w:lang w:val="en-IE" w:eastAsia="en-IE"/>
                <w14:ligatures w14:val="standardContextual"/>
              </w:rPr>
              <w:tab/>
            </w:r>
            <w:r w:rsidR="002A554E" w:rsidRPr="00C10676">
              <w:rPr>
                <w:rStyle w:val="Hyperlink"/>
                <w:noProof/>
              </w:rPr>
              <w:t>Summarised results of the call for evidence</w:t>
            </w:r>
            <w:r w:rsidR="002A554E">
              <w:rPr>
                <w:noProof/>
                <w:webHidden/>
              </w:rPr>
              <w:tab/>
            </w:r>
            <w:r w:rsidR="002A554E">
              <w:rPr>
                <w:noProof/>
                <w:webHidden/>
              </w:rPr>
              <w:fldChar w:fldCharType="begin"/>
            </w:r>
            <w:r w:rsidR="002A554E">
              <w:rPr>
                <w:noProof/>
                <w:webHidden/>
              </w:rPr>
              <w:instrText xml:space="preserve"> PAGEREF _Toc230010370 \h </w:instrText>
            </w:r>
            <w:r w:rsidR="002A554E">
              <w:rPr>
                <w:noProof/>
                <w:webHidden/>
              </w:rPr>
            </w:r>
            <w:r w:rsidR="002A554E">
              <w:rPr>
                <w:noProof/>
                <w:webHidden/>
              </w:rPr>
              <w:fldChar w:fldCharType="separate"/>
            </w:r>
            <w:r w:rsidR="00845BCE">
              <w:rPr>
                <w:noProof/>
                <w:webHidden/>
              </w:rPr>
              <w:t>16</w:t>
            </w:r>
            <w:r w:rsidR="002A554E">
              <w:rPr>
                <w:noProof/>
                <w:webHidden/>
              </w:rPr>
              <w:fldChar w:fldCharType="end"/>
            </w:r>
          </w:hyperlink>
        </w:p>
        <w:p w14:paraId="63BDEAFD" w14:textId="2437D1B3"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71" w:history="1">
            <w:r w:rsidR="002A554E" w:rsidRPr="00C10676">
              <w:rPr>
                <w:rStyle w:val="Hyperlink"/>
                <w:noProof/>
              </w:rPr>
              <w:t>5.1.</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Effectiveness</w:t>
            </w:r>
            <w:r w:rsidR="002A554E">
              <w:rPr>
                <w:noProof/>
                <w:webHidden/>
              </w:rPr>
              <w:tab/>
            </w:r>
            <w:r w:rsidR="002A554E">
              <w:rPr>
                <w:noProof/>
                <w:webHidden/>
              </w:rPr>
              <w:fldChar w:fldCharType="begin"/>
            </w:r>
            <w:r w:rsidR="002A554E">
              <w:rPr>
                <w:noProof/>
                <w:webHidden/>
              </w:rPr>
              <w:instrText xml:space="preserve"> PAGEREF _Toc230010371 \h </w:instrText>
            </w:r>
            <w:r w:rsidR="002A554E">
              <w:rPr>
                <w:noProof/>
                <w:webHidden/>
              </w:rPr>
            </w:r>
            <w:r w:rsidR="002A554E">
              <w:rPr>
                <w:noProof/>
                <w:webHidden/>
              </w:rPr>
              <w:fldChar w:fldCharType="separate"/>
            </w:r>
            <w:r w:rsidR="00845BCE">
              <w:rPr>
                <w:noProof/>
                <w:webHidden/>
              </w:rPr>
              <w:t>16</w:t>
            </w:r>
            <w:r w:rsidR="002A554E">
              <w:rPr>
                <w:noProof/>
                <w:webHidden/>
              </w:rPr>
              <w:fldChar w:fldCharType="end"/>
            </w:r>
          </w:hyperlink>
        </w:p>
        <w:p w14:paraId="07ECD590" w14:textId="5470ACF0"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72" w:history="1">
            <w:r w:rsidR="002A554E" w:rsidRPr="00C10676">
              <w:rPr>
                <w:rStyle w:val="Hyperlink"/>
                <w:noProof/>
              </w:rPr>
              <w:t>5.2.</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Efficiency</w:t>
            </w:r>
            <w:r w:rsidR="002A554E">
              <w:rPr>
                <w:noProof/>
                <w:webHidden/>
              </w:rPr>
              <w:tab/>
            </w:r>
            <w:r w:rsidR="002A554E">
              <w:rPr>
                <w:noProof/>
                <w:webHidden/>
              </w:rPr>
              <w:fldChar w:fldCharType="begin"/>
            </w:r>
            <w:r w:rsidR="002A554E">
              <w:rPr>
                <w:noProof/>
                <w:webHidden/>
              </w:rPr>
              <w:instrText xml:space="preserve"> PAGEREF _Toc230010372 \h </w:instrText>
            </w:r>
            <w:r w:rsidR="002A554E">
              <w:rPr>
                <w:noProof/>
                <w:webHidden/>
              </w:rPr>
            </w:r>
            <w:r w:rsidR="002A554E">
              <w:rPr>
                <w:noProof/>
                <w:webHidden/>
              </w:rPr>
              <w:fldChar w:fldCharType="separate"/>
            </w:r>
            <w:r w:rsidR="00845BCE">
              <w:rPr>
                <w:noProof/>
                <w:webHidden/>
              </w:rPr>
              <w:t>17</w:t>
            </w:r>
            <w:r w:rsidR="002A554E">
              <w:rPr>
                <w:noProof/>
                <w:webHidden/>
              </w:rPr>
              <w:fldChar w:fldCharType="end"/>
            </w:r>
          </w:hyperlink>
        </w:p>
        <w:p w14:paraId="23C9AD23" w14:textId="3743BDCA"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73" w:history="1">
            <w:r w:rsidR="002A554E" w:rsidRPr="00C10676">
              <w:rPr>
                <w:rStyle w:val="Hyperlink"/>
                <w:noProof/>
              </w:rPr>
              <w:t>5.3.</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Coherence</w:t>
            </w:r>
            <w:r w:rsidR="002A554E">
              <w:rPr>
                <w:noProof/>
                <w:webHidden/>
              </w:rPr>
              <w:tab/>
            </w:r>
            <w:r w:rsidR="002A554E">
              <w:rPr>
                <w:noProof/>
                <w:webHidden/>
              </w:rPr>
              <w:fldChar w:fldCharType="begin"/>
            </w:r>
            <w:r w:rsidR="002A554E">
              <w:rPr>
                <w:noProof/>
                <w:webHidden/>
              </w:rPr>
              <w:instrText xml:space="preserve"> PAGEREF _Toc230010373 \h </w:instrText>
            </w:r>
            <w:r w:rsidR="002A554E">
              <w:rPr>
                <w:noProof/>
                <w:webHidden/>
              </w:rPr>
            </w:r>
            <w:r w:rsidR="002A554E">
              <w:rPr>
                <w:noProof/>
                <w:webHidden/>
              </w:rPr>
              <w:fldChar w:fldCharType="separate"/>
            </w:r>
            <w:r w:rsidR="00845BCE">
              <w:rPr>
                <w:noProof/>
                <w:webHidden/>
              </w:rPr>
              <w:t>17</w:t>
            </w:r>
            <w:r w:rsidR="002A554E">
              <w:rPr>
                <w:noProof/>
                <w:webHidden/>
              </w:rPr>
              <w:fldChar w:fldCharType="end"/>
            </w:r>
          </w:hyperlink>
        </w:p>
        <w:p w14:paraId="0B03D78F" w14:textId="53AA1E2C"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74" w:history="1">
            <w:r w:rsidR="002A554E" w:rsidRPr="00C10676">
              <w:rPr>
                <w:rStyle w:val="Hyperlink"/>
                <w:noProof/>
              </w:rPr>
              <w:t>5.4.</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EU added value</w:t>
            </w:r>
            <w:r w:rsidR="002A554E">
              <w:rPr>
                <w:noProof/>
                <w:webHidden/>
              </w:rPr>
              <w:tab/>
            </w:r>
            <w:r w:rsidR="002A554E">
              <w:rPr>
                <w:noProof/>
                <w:webHidden/>
              </w:rPr>
              <w:fldChar w:fldCharType="begin"/>
            </w:r>
            <w:r w:rsidR="002A554E">
              <w:rPr>
                <w:noProof/>
                <w:webHidden/>
              </w:rPr>
              <w:instrText xml:space="preserve"> PAGEREF _Toc230010374 \h </w:instrText>
            </w:r>
            <w:r w:rsidR="002A554E">
              <w:rPr>
                <w:noProof/>
                <w:webHidden/>
              </w:rPr>
            </w:r>
            <w:r w:rsidR="002A554E">
              <w:rPr>
                <w:noProof/>
                <w:webHidden/>
              </w:rPr>
              <w:fldChar w:fldCharType="separate"/>
            </w:r>
            <w:r w:rsidR="00845BCE">
              <w:rPr>
                <w:noProof/>
                <w:webHidden/>
              </w:rPr>
              <w:t>18</w:t>
            </w:r>
            <w:r w:rsidR="002A554E">
              <w:rPr>
                <w:noProof/>
                <w:webHidden/>
              </w:rPr>
              <w:fldChar w:fldCharType="end"/>
            </w:r>
          </w:hyperlink>
        </w:p>
        <w:p w14:paraId="2D713323" w14:textId="66D4CC61"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75" w:history="1">
            <w:r w:rsidR="002A554E" w:rsidRPr="00C10676">
              <w:rPr>
                <w:rStyle w:val="Hyperlink"/>
                <w:noProof/>
              </w:rPr>
              <w:t>5.5.</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Relevance</w:t>
            </w:r>
            <w:r w:rsidR="002A554E">
              <w:rPr>
                <w:noProof/>
                <w:webHidden/>
              </w:rPr>
              <w:tab/>
            </w:r>
            <w:r w:rsidR="002A554E">
              <w:rPr>
                <w:noProof/>
                <w:webHidden/>
              </w:rPr>
              <w:fldChar w:fldCharType="begin"/>
            </w:r>
            <w:r w:rsidR="002A554E">
              <w:rPr>
                <w:noProof/>
                <w:webHidden/>
              </w:rPr>
              <w:instrText xml:space="preserve"> PAGEREF _Toc230010375 \h </w:instrText>
            </w:r>
            <w:r w:rsidR="002A554E">
              <w:rPr>
                <w:noProof/>
                <w:webHidden/>
              </w:rPr>
            </w:r>
            <w:r w:rsidR="002A554E">
              <w:rPr>
                <w:noProof/>
                <w:webHidden/>
              </w:rPr>
              <w:fldChar w:fldCharType="separate"/>
            </w:r>
            <w:r w:rsidR="00845BCE">
              <w:rPr>
                <w:noProof/>
                <w:webHidden/>
              </w:rPr>
              <w:t>18</w:t>
            </w:r>
            <w:r w:rsidR="002A554E">
              <w:rPr>
                <w:noProof/>
                <w:webHidden/>
              </w:rPr>
              <w:fldChar w:fldCharType="end"/>
            </w:r>
          </w:hyperlink>
        </w:p>
        <w:p w14:paraId="6AC3834E" w14:textId="013B8EFA"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76" w:history="1">
            <w:r w:rsidR="002A554E" w:rsidRPr="00C10676">
              <w:rPr>
                <w:rStyle w:val="Hyperlink"/>
                <w:bCs/>
                <w:noProof/>
              </w:rPr>
              <w:t>5.6.</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Prospective</w:t>
            </w:r>
            <w:r w:rsidR="002A554E">
              <w:rPr>
                <w:noProof/>
                <w:webHidden/>
              </w:rPr>
              <w:tab/>
            </w:r>
            <w:r w:rsidR="002A554E">
              <w:rPr>
                <w:noProof/>
                <w:webHidden/>
              </w:rPr>
              <w:fldChar w:fldCharType="begin"/>
            </w:r>
            <w:r w:rsidR="002A554E">
              <w:rPr>
                <w:noProof/>
                <w:webHidden/>
              </w:rPr>
              <w:instrText xml:space="preserve"> PAGEREF _Toc230010376 \h </w:instrText>
            </w:r>
            <w:r w:rsidR="002A554E">
              <w:rPr>
                <w:noProof/>
                <w:webHidden/>
              </w:rPr>
            </w:r>
            <w:r w:rsidR="002A554E">
              <w:rPr>
                <w:noProof/>
                <w:webHidden/>
              </w:rPr>
              <w:fldChar w:fldCharType="separate"/>
            </w:r>
            <w:r w:rsidR="00845BCE">
              <w:rPr>
                <w:noProof/>
                <w:webHidden/>
              </w:rPr>
              <w:t>18</w:t>
            </w:r>
            <w:r w:rsidR="002A554E">
              <w:rPr>
                <w:noProof/>
                <w:webHidden/>
              </w:rPr>
              <w:fldChar w:fldCharType="end"/>
            </w:r>
          </w:hyperlink>
        </w:p>
        <w:p w14:paraId="69912D03" w14:textId="0477AE2B"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377" w:history="1">
            <w:r w:rsidR="002A554E" w:rsidRPr="00C10676">
              <w:rPr>
                <w:rStyle w:val="Hyperlink"/>
                <w:noProof/>
              </w:rPr>
              <w:t>6.</w:t>
            </w:r>
            <w:r w:rsidR="002A554E">
              <w:rPr>
                <w:rFonts w:asciiTheme="minorHAnsi" w:eastAsiaTheme="minorEastAsia" w:hAnsiTheme="minorHAnsi" w:cstheme="minorBidi"/>
                <w:caps w:val="0"/>
                <w:noProof/>
                <w:kern w:val="2"/>
                <w:szCs w:val="24"/>
                <w:lang w:val="en-IE" w:eastAsia="en-IE"/>
                <w14:ligatures w14:val="standardContextual"/>
              </w:rPr>
              <w:tab/>
            </w:r>
            <w:r w:rsidR="002A554E" w:rsidRPr="00C10676">
              <w:rPr>
                <w:rStyle w:val="Hyperlink"/>
                <w:noProof/>
              </w:rPr>
              <w:t>Summarised results of the survey</w:t>
            </w:r>
            <w:r w:rsidR="002A554E">
              <w:rPr>
                <w:noProof/>
                <w:webHidden/>
              </w:rPr>
              <w:tab/>
            </w:r>
            <w:r w:rsidR="002A554E">
              <w:rPr>
                <w:noProof/>
                <w:webHidden/>
              </w:rPr>
              <w:fldChar w:fldCharType="begin"/>
            </w:r>
            <w:r w:rsidR="002A554E">
              <w:rPr>
                <w:noProof/>
                <w:webHidden/>
              </w:rPr>
              <w:instrText xml:space="preserve"> PAGEREF _Toc230010377 \h </w:instrText>
            </w:r>
            <w:r w:rsidR="002A554E">
              <w:rPr>
                <w:noProof/>
                <w:webHidden/>
              </w:rPr>
            </w:r>
            <w:r w:rsidR="002A554E">
              <w:rPr>
                <w:noProof/>
                <w:webHidden/>
              </w:rPr>
              <w:fldChar w:fldCharType="separate"/>
            </w:r>
            <w:r w:rsidR="00845BCE">
              <w:rPr>
                <w:noProof/>
                <w:webHidden/>
              </w:rPr>
              <w:t>19</w:t>
            </w:r>
            <w:r w:rsidR="002A554E">
              <w:rPr>
                <w:noProof/>
                <w:webHidden/>
              </w:rPr>
              <w:fldChar w:fldCharType="end"/>
            </w:r>
          </w:hyperlink>
        </w:p>
        <w:p w14:paraId="0178B897" w14:textId="14F87A6E"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78" w:history="1">
            <w:r w:rsidR="002A554E" w:rsidRPr="00C10676">
              <w:rPr>
                <w:rStyle w:val="Hyperlink"/>
                <w:noProof/>
              </w:rPr>
              <w:t>6.1.</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Effectiveness</w:t>
            </w:r>
            <w:r w:rsidR="002A554E">
              <w:rPr>
                <w:noProof/>
                <w:webHidden/>
              </w:rPr>
              <w:tab/>
            </w:r>
            <w:r w:rsidR="002A554E">
              <w:rPr>
                <w:noProof/>
                <w:webHidden/>
              </w:rPr>
              <w:fldChar w:fldCharType="begin"/>
            </w:r>
            <w:r w:rsidR="002A554E">
              <w:rPr>
                <w:noProof/>
                <w:webHidden/>
              </w:rPr>
              <w:instrText xml:space="preserve"> PAGEREF _Toc230010378 \h </w:instrText>
            </w:r>
            <w:r w:rsidR="002A554E">
              <w:rPr>
                <w:noProof/>
                <w:webHidden/>
              </w:rPr>
            </w:r>
            <w:r w:rsidR="002A554E">
              <w:rPr>
                <w:noProof/>
                <w:webHidden/>
              </w:rPr>
              <w:fldChar w:fldCharType="separate"/>
            </w:r>
            <w:r w:rsidR="00845BCE">
              <w:rPr>
                <w:noProof/>
                <w:webHidden/>
              </w:rPr>
              <w:t>20</w:t>
            </w:r>
            <w:r w:rsidR="002A554E">
              <w:rPr>
                <w:noProof/>
                <w:webHidden/>
              </w:rPr>
              <w:fldChar w:fldCharType="end"/>
            </w:r>
          </w:hyperlink>
        </w:p>
        <w:p w14:paraId="0F4E2CEF" w14:textId="3E6170F7"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79" w:history="1">
            <w:r w:rsidR="002A554E" w:rsidRPr="00C10676">
              <w:rPr>
                <w:rStyle w:val="Hyperlink"/>
                <w:noProof/>
              </w:rPr>
              <w:t>6.2.</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Efficiency</w:t>
            </w:r>
            <w:r w:rsidR="002A554E">
              <w:rPr>
                <w:noProof/>
                <w:webHidden/>
              </w:rPr>
              <w:tab/>
            </w:r>
            <w:r w:rsidR="002A554E">
              <w:rPr>
                <w:noProof/>
                <w:webHidden/>
              </w:rPr>
              <w:fldChar w:fldCharType="begin"/>
            </w:r>
            <w:r w:rsidR="002A554E">
              <w:rPr>
                <w:noProof/>
                <w:webHidden/>
              </w:rPr>
              <w:instrText xml:space="preserve"> PAGEREF _Toc230010379 \h </w:instrText>
            </w:r>
            <w:r w:rsidR="002A554E">
              <w:rPr>
                <w:noProof/>
                <w:webHidden/>
              </w:rPr>
            </w:r>
            <w:r w:rsidR="002A554E">
              <w:rPr>
                <w:noProof/>
                <w:webHidden/>
              </w:rPr>
              <w:fldChar w:fldCharType="separate"/>
            </w:r>
            <w:r w:rsidR="00845BCE">
              <w:rPr>
                <w:noProof/>
                <w:webHidden/>
              </w:rPr>
              <w:t>20</w:t>
            </w:r>
            <w:r w:rsidR="002A554E">
              <w:rPr>
                <w:noProof/>
                <w:webHidden/>
              </w:rPr>
              <w:fldChar w:fldCharType="end"/>
            </w:r>
          </w:hyperlink>
        </w:p>
        <w:p w14:paraId="451E8984" w14:textId="5DEC977D"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80" w:history="1">
            <w:r w:rsidR="002A554E" w:rsidRPr="00C10676">
              <w:rPr>
                <w:rStyle w:val="Hyperlink"/>
                <w:noProof/>
              </w:rPr>
              <w:t>6.3.</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Coherence</w:t>
            </w:r>
            <w:r w:rsidR="002A554E">
              <w:rPr>
                <w:noProof/>
                <w:webHidden/>
              </w:rPr>
              <w:tab/>
            </w:r>
            <w:r w:rsidR="002A554E">
              <w:rPr>
                <w:noProof/>
                <w:webHidden/>
              </w:rPr>
              <w:fldChar w:fldCharType="begin"/>
            </w:r>
            <w:r w:rsidR="002A554E">
              <w:rPr>
                <w:noProof/>
                <w:webHidden/>
              </w:rPr>
              <w:instrText xml:space="preserve"> PAGEREF _Toc230010380 \h </w:instrText>
            </w:r>
            <w:r w:rsidR="002A554E">
              <w:rPr>
                <w:noProof/>
                <w:webHidden/>
              </w:rPr>
            </w:r>
            <w:r w:rsidR="002A554E">
              <w:rPr>
                <w:noProof/>
                <w:webHidden/>
              </w:rPr>
              <w:fldChar w:fldCharType="separate"/>
            </w:r>
            <w:r w:rsidR="00845BCE">
              <w:rPr>
                <w:noProof/>
                <w:webHidden/>
              </w:rPr>
              <w:t>21</w:t>
            </w:r>
            <w:r w:rsidR="002A554E">
              <w:rPr>
                <w:noProof/>
                <w:webHidden/>
              </w:rPr>
              <w:fldChar w:fldCharType="end"/>
            </w:r>
          </w:hyperlink>
        </w:p>
        <w:p w14:paraId="3F8E773D" w14:textId="1848699C"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81" w:history="1">
            <w:r w:rsidR="002A554E" w:rsidRPr="00C10676">
              <w:rPr>
                <w:rStyle w:val="Hyperlink"/>
                <w:noProof/>
              </w:rPr>
              <w:t>6.4.</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EU added value</w:t>
            </w:r>
            <w:r w:rsidR="002A554E">
              <w:rPr>
                <w:noProof/>
                <w:webHidden/>
              </w:rPr>
              <w:tab/>
            </w:r>
            <w:r w:rsidR="002A554E">
              <w:rPr>
                <w:noProof/>
                <w:webHidden/>
              </w:rPr>
              <w:fldChar w:fldCharType="begin"/>
            </w:r>
            <w:r w:rsidR="002A554E">
              <w:rPr>
                <w:noProof/>
                <w:webHidden/>
              </w:rPr>
              <w:instrText xml:space="preserve"> PAGEREF _Toc230010381 \h </w:instrText>
            </w:r>
            <w:r w:rsidR="002A554E">
              <w:rPr>
                <w:noProof/>
                <w:webHidden/>
              </w:rPr>
            </w:r>
            <w:r w:rsidR="002A554E">
              <w:rPr>
                <w:noProof/>
                <w:webHidden/>
              </w:rPr>
              <w:fldChar w:fldCharType="separate"/>
            </w:r>
            <w:r w:rsidR="00845BCE">
              <w:rPr>
                <w:noProof/>
                <w:webHidden/>
              </w:rPr>
              <w:t>21</w:t>
            </w:r>
            <w:r w:rsidR="002A554E">
              <w:rPr>
                <w:noProof/>
                <w:webHidden/>
              </w:rPr>
              <w:fldChar w:fldCharType="end"/>
            </w:r>
          </w:hyperlink>
        </w:p>
        <w:p w14:paraId="57813F11" w14:textId="31CE53E3"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82" w:history="1">
            <w:r w:rsidR="002A554E" w:rsidRPr="00C10676">
              <w:rPr>
                <w:rStyle w:val="Hyperlink"/>
                <w:noProof/>
              </w:rPr>
              <w:t>6.5.</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Relevance</w:t>
            </w:r>
            <w:r w:rsidR="002A554E">
              <w:rPr>
                <w:noProof/>
                <w:webHidden/>
              </w:rPr>
              <w:tab/>
            </w:r>
            <w:r w:rsidR="002A554E">
              <w:rPr>
                <w:noProof/>
                <w:webHidden/>
              </w:rPr>
              <w:fldChar w:fldCharType="begin"/>
            </w:r>
            <w:r w:rsidR="002A554E">
              <w:rPr>
                <w:noProof/>
                <w:webHidden/>
              </w:rPr>
              <w:instrText xml:space="preserve"> PAGEREF _Toc230010382 \h </w:instrText>
            </w:r>
            <w:r w:rsidR="002A554E">
              <w:rPr>
                <w:noProof/>
                <w:webHidden/>
              </w:rPr>
            </w:r>
            <w:r w:rsidR="002A554E">
              <w:rPr>
                <w:noProof/>
                <w:webHidden/>
              </w:rPr>
              <w:fldChar w:fldCharType="separate"/>
            </w:r>
            <w:r w:rsidR="00845BCE">
              <w:rPr>
                <w:noProof/>
                <w:webHidden/>
              </w:rPr>
              <w:t>22</w:t>
            </w:r>
            <w:r w:rsidR="002A554E">
              <w:rPr>
                <w:noProof/>
                <w:webHidden/>
              </w:rPr>
              <w:fldChar w:fldCharType="end"/>
            </w:r>
          </w:hyperlink>
        </w:p>
        <w:p w14:paraId="145D5C33" w14:textId="7D6EB785"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83" w:history="1">
            <w:r w:rsidR="002A554E" w:rsidRPr="00C10676">
              <w:rPr>
                <w:rStyle w:val="Hyperlink"/>
                <w:bCs/>
                <w:noProof/>
              </w:rPr>
              <w:t>6.6.</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Prospective</w:t>
            </w:r>
            <w:r w:rsidR="002A554E">
              <w:rPr>
                <w:noProof/>
                <w:webHidden/>
              </w:rPr>
              <w:tab/>
            </w:r>
            <w:r w:rsidR="002A554E">
              <w:rPr>
                <w:noProof/>
                <w:webHidden/>
              </w:rPr>
              <w:fldChar w:fldCharType="begin"/>
            </w:r>
            <w:r w:rsidR="002A554E">
              <w:rPr>
                <w:noProof/>
                <w:webHidden/>
              </w:rPr>
              <w:instrText xml:space="preserve"> PAGEREF _Toc230010383 \h </w:instrText>
            </w:r>
            <w:r w:rsidR="002A554E">
              <w:rPr>
                <w:noProof/>
                <w:webHidden/>
              </w:rPr>
            </w:r>
            <w:r w:rsidR="002A554E">
              <w:rPr>
                <w:noProof/>
                <w:webHidden/>
              </w:rPr>
              <w:fldChar w:fldCharType="separate"/>
            </w:r>
            <w:r w:rsidR="00845BCE">
              <w:rPr>
                <w:noProof/>
                <w:webHidden/>
              </w:rPr>
              <w:t>23</w:t>
            </w:r>
            <w:r w:rsidR="002A554E">
              <w:rPr>
                <w:noProof/>
                <w:webHidden/>
              </w:rPr>
              <w:fldChar w:fldCharType="end"/>
            </w:r>
          </w:hyperlink>
        </w:p>
        <w:p w14:paraId="5CA6CF04" w14:textId="460A763B"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384" w:history="1">
            <w:r w:rsidR="002A554E" w:rsidRPr="00C10676">
              <w:rPr>
                <w:rStyle w:val="Hyperlink"/>
                <w:noProof/>
              </w:rPr>
              <w:t>7.</w:t>
            </w:r>
            <w:r w:rsidR="002A554E">
              <w:rPr>
                <w:rFonts w:asciiTheme="minorHAnsi" w:eastAsiaTheme="minorEastAsia" w:hAnsiTheme="minorHAnsi" w:cstheme="minorBidi"/>
                <w:caps w:val="0"/>
                <w:noProof/>
                <w:kern w:val="2"/>
                <w:szCs w:val="24"/>
                <w:lang w:val="en-IE" w:eastAsia="en-IE"/>
                <w14:ligatures w14:val="standardContextual"/>
              </w:rPr>
              <w:tab/>
            </w:r>
            <w:r w:rsidR="002A554E" w:rsidRPr="00C10676">
              <w:rPr>
                <w:rStyle w:val="Hyperlink"/>
                <w:noProof/>
              </w:rPr>
              <w:t>Summarised results of the expert interviews</w:t>
            </w:r>
            <w:r w:rsidR="002A554E">
              <w:rPr>
                <w:noProof/>
                <w:webHidden/>
              </w:rPr>
              <w:tab/>
            </w:r>
            <w:r w:rsidR="002A554E">
              <w:rPr>
                <w:noProof/>
                <w:webHidden/>
              </w:rPr>
              <w:fldChar w:fldCharType="begin"/>
            </w:r>
            <w:r w:rsidR="002A554E">
              <w:rPr>
                <w:noProof/>
                <w:webHidden/>
              </w:rPr>
              <w:instrText xml:space="preserve"> PAGEREF _Toc230010384 \h </w:instrText>
            </w:r>
            <w:r w:rsidR="002A554E">
              <w:rPr>
                <w:noProof/>
                <w:webHidden/>
              </w:rPr>
            </w:r>
            <w:r w:rsidR="002A554E">
              <w:rPr>
                <w:noProof/>
                <w:webHidden/>
              </w:rPr>
              <w:fldChar w:fldCharType="separate"/>
            </w:r>
            <w:r w:rsidR="00845BCE">
              <w:rPr>
                <w:noProof/>
                <w:webHidden/>
              </w:rPr>
              <w:t>23</w:t>
            </w:r>
            <w:r w:rsidR="002A554E">
              <w:rPr>
                <w:noProof/>
                <w:webHidden/>
              </w:rPr>
              <w:fldChar w:fldCharType="end"/>
            </w:r>
          </w:hyperlink>
        </w:p>
        <w:p w14:paraId="0660B907" w14:textId="0F746317"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85" w:history="1">
            <w:r w:rsidR="002A554E" w:rsidRPr="00C10676">
              <w:rPr>
                <w:rStyle w:val="Hyperlink"/>
                <w:noProof/>
              </w:rPr>
              <w:t>7.1.</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Effectiveness</w:t>
            </w:r>
            <w:r w:rsidR="002A554E">
              <w:rPr>
                <w:noProof/>
                <w:webHidden/>
              </w:rPr>
              <w:tab/>
            </w:r>
            <w:r w:rsidR="002A554E">
              <w:rPr>
                <w:noProof/>
                <w:webHidden/>
              </w:rPr>
              <w:fldChar w:fldCharType="begin"/>
            </w:r>
            <w:r w:rsidR="002A554E">
              <w:rPr>
                <w:noProof/>
                <w:webHidden/>
              </w:rPr>
              <w:instrText xml:space="preserve"> PAGEREF _Toc230010385 \h </w:instrText>
            </w:r>
            <w:r w:rsidR="002A554E">
              <w:rPr>
                <w:noProof/>
                <w:webHidden/>
              </w:rPr>
            </w:r>
            <w:r w:rsidR="002A554E">
              <w:rPr>
                <w:noProof/>
                <w:webHidden/>
              </w:rPr>
              <w:fldChar w:fldCharType="separate"/>
            </w:r>
            <w:r w:rsidR="00845BCE">
              <w:rPr>
                <w:noProof/>
                <w:webHidden/>
              </w:rPr>
              <w:t>24</w:t>
            </w:r>
            <w:r w:rsidR="002A554E">
              <w:rPr>
                <w:noProof/>
                <w:webHidden/>
              </w:rPr>
              <w:fldChar w:fldCharType="end"/>
            </w:r>
          </w:hyperlink>
        </w:p>
        <w:p w14:paraId="47A6FC96" w14:textId="0FF9ED88"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86" w:history="1">
            <w:r w:rsidR="002A554E" w:rsidRPr="00C10676">
              <w:rPr>
                <w:rStyle w:val="Hyperlink"/>
                <w:noProof/>
              </w:rPr>
              <w:t>7.2.</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Efficiency</w:t>
            </w:r>
            <w:r w:rsidR="002A554E">
              <w:rPr>
                <w:noProof/>
                <w:webHidden/>
              </w:rPr>
              <w:tab/>
            </w:r>
            <w:r w:rsidR="002A554E">
              <w:rPr>
                <w:noProof/>
                <w:webHidden/>
              </w:rPr>
              <w:fldChar w:fldCharType="begin"/>
            </w:r>
            <w:r w:rsidR="002A554E">
              <w:rPr>
                <w:noProof/>
                <w:webHidden/>
              </w:rPr>
              <w:instrText xml:space="preserve"> PAGEREF _Toc230010386 \h </w:instrText>
            </w:r>
            <w:r w:rsidR="002A554E">
              <w:rPr>
                <w:noProof/>
                <w:webHidden/>
              </w:rPr>
            </w:r>
            <w:r w:rsidR="002A554E">
              <w:rPr>
                <w:noProof/>
                <w:webHidden/>
              </w:rPr>
              <w:fldChar w:fldCharType="separate"/>
            </w:r>
            <w:r w:rsidR="00845BCE">
              <w:rPr>
                <w:noProof/>
                <w:webHidden/>
              </w:rPr>
              <w:t>25</w:t>
            </w:r>
            <w:r w:rsidR="002A554E">
              <w:rPr>
                <w:noProof/>
                <w:webHidden/>
              </w:rPr>
              <w:fldChar w:fldCharType="end"/>
            </w:r>
          </w:hyperlink>
        </w:p>
        <w:p w14:paraId="6C34E56D" w14:textId="3EE3FF2C"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87" w:history="1">
            <w:r w:rsidR="002A554E" w:rsidRPr="00C10676">
              <w:rPr>
                <w:rStyle w:val="Hyperlink"/>
                <w:noProof/>
              </w:rPr>
              <w:t>7.3.</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Coherence</w:t>
            </w:r>
            <w:r w:rsidR="002A554E">
              <w:rPr>
                <w:noProof/>
                <w:webHidden/>
              </w:rPr>
              <w:tab/>
            </w:r>
            <w:r w:rsidR="002A554E">
              <w:rPr>
                <w:noProof/>
                <w:webHidden/>
              </w:rPr>
              <w:fldChar w:fldCharType="begin"/>
            </w:r>
            <w:r w:rsidR="002A554E">
              <w:rPr>
                <w:noProof/>
                <w:webHidden/>
              </w:rPr>
              <w:instrText xml:space="preserve"> PAGEREF _Toc230010387 \h </w:instrText>
            </w:r>
            <w:r w:rsidR="002A554E">
              <w:rPr>
                <w:noProof/>
                <w:webHidden/>
              </w:rPr>
            </w:r>
            <w:r w:rsidR="002A554E">
              <w:rPr>
                <w:noProof/>
                <w:webHidden/>
              </w:rPr>
              <w:fldChar w:fldCharType="separate"/>
            </w:r>
            <w:r w:rsidR="00845BCE">
              <w:rPr>
                <w:noProof/>
                <w:webHidden/>
              </w:rPr>
              <w:t>26</w:t>
            </w:r>
            <w:r w:rsidR="002A554E">
              <w:rPr>
                <w:noProof/>
                <w:webHidden/>
              </w:rPr>
              <w:fldChar w:fldCharType="end"/>
            </w:r>
          </w:hyperlink>
        </w:p>
        <w:p w14:paraId="445265C2" w14:textId="70C8B04F"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88" w:history="1">
            <w:r w:rsidR="002A554E" w:rsidRPr="00C10676">
              <w:rPr>
                <w:rStyle w:val="Hyperlink"/>
                <w:noProof/>
              </w:rPr>
              <w:t>7.4.</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EU added value</w:t>
            </w:r>
            <w:r w:rsidR="002A554E">
              <w:rPr>
                <w:noProof/>
                <w:webHidden/>
              </w:rPr>
              <w:tab/>
            </w:r>
            <w:r w:rsidR="002A554E">
              <w:rPr>
                <w:noProof/>
                <w:webHidden/>
              </w:rPr>
              <w:fldChar w:fldCharType="begin"/>
            </w:r>
            <w:r w:rsidR="002A554E">
              <w:rPr>
                <w:noProof/>
                <w:webHidden/>
              </w:rPr>
              <w:instrText xml:space="preserve"> PAGEREF _Toc230010388 \h </w:instrText>
            </w:r>
            <w:r w:rsidR="002A554E">
              <w:rPr>
                <w:noProof/>
                <w:webHidden/>
              </w:rPr>
            </w:r>
            <w:r w:rsidR="002A554E">
              <w:rPr>
                <w:noProof/>
                <w:webHidden/>
              </w:rPr>
              <w:fldChar w:fldCharType="separate"/>
            </w:r>
            <w:r w:rsidR="00845BCE">
              <w:rPr>
                <w:noProof/>
                <w:webHidden/>
              </w:rPr>
              <w:t>27</w:t>
            </w:r>
            <w:r w:rsidR="002A554E">
              <w:rPr>
                <w:noProof/>
                <w:webHidden/>
              </w:rPr>
              <w:fldChar w:fldCharType="end"/>
            </w:r>
          </w:hyperlink>
        </w:p>
        <w:p w14:paraId="28169154" w14:textId="4E4FE907"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89" w:history="1">
            <w:r w:rsidR="002A554E" w:rsidRPr="00C10676">
              <w:rPr>
                <w:rStyle w:val="Hyperlink"/>
                <w:noProof/>
              </w:rPr>
              <w:t>7.5.</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Relevance</w:t>
            </w:r>
            <w:r w:rsidR="002A554E">
              <w:rPr>
                <w:noProof/>
                <w:webHidden/>
              </w:rPr>
              <w:tab/>
            </w:r>
            <w:r w:rsidR="002A554E">
              <w:rPr>
                <w:noProof/>
                <w:webHidden/>
              </w:rPr>
              <w:fldChar w:fldCharType="begin"/>
            </w:r>
            <w:r w:rsidR="002A554E">
              <w:rPr>
                <w:noProof/>
                <w:webHidden/>
              </w:rPr>
              <w:instrText xml:space="preserve"> PAGEREF _Toc230010389 \h </w:instrText>
            </w:r>
            <w:r w:rsidR="002A554E">
              <w:rPr>
                <w:noProof/>
                <w:webHidden/>
              </w:rPr>
            </w:r>
            <w:r w:rsidR="002A554E">
              <w:rPr>
                <w:noProof/>
                <w:webHidden/>
              </w:rPr>
              <w:fldChar w:fldCharType="separate"/>
            </w:r>
            <w:r w:rsidR="00845BCE">
              <w:rPr>
                <w:noProof/>
                <w:webHidden/>
              </w:rPr>
              <w:t>27</w:t>
            </w:r>
            <w:r w:rsidR="002A554E">
              <w:rPr>
                <w:noProof/>
                <w:webHidden/>
              </w:rPr>
              <w:fldChar w:fldCharType="end"/>
            </w:r>
          </w:hyperlink>
        </w:p>
        <w:p w14:paraId="04D212CB" w14:textId="6EE97D32"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90" w:history="1">
            <w:r w:rsidR="002A554E" w:rsidRPr="00C10676">
              <w:rPr>
                <w:rStyle w:val="Hyperlink"/>
                <w:bCs/>
                <w:noProof/>
              </w:rPr>
              <w:t>7.6.</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Prospective</w:t>
            </w:r>
            <w:r w:rsidR="002A554E">
              <w:rPr>
                <w:noProof/>
                <w:webHidden/>
              </w:rPr>
              <w:tab/>
            </w:r>
            <w:r w:rsidR="002A554E">
              <w:rPr>
                <w:noProof/>
                <w:webHidden/>
              </w:rPr>
              <w:fldChar w:fldCharType="begin"/>
            </w:r>
            <w:r w:rsidR="002A554E">
              <w:rPr>
                <w:noProof/>
                <w:webHidden/>
              </w:rPr>
              <w:instrText xml:space="preserve"> PAGEREF _Toc230010390 \h </w:instrText>
            </w:r>
            <w:r w:rsidR="002A554E">
              <w:rPr>
                <w:noProof/>
                <w:webHidden/>
              </w:rPr>
            </w:r>
            <w:r w:rsidR="002A554E">
              <w:rPr>
                <w:noProof/>
                <w:webHidden/>
              </w:rPr>
              <w:fldChar w:fldCharType="separate"/>
            </w:r>
            <w:r w:rsidR="00845BCE">
              <w:rPr>
                <w:noProof/>
                <w:webHidden/>
              </w:rPr>
              <w:t>28</w:t>
            </w:r>
            <w:r w:rsidR="002A554E">
              <w:rPr>
                <w:noProof/>
                <w:webHidden/>
              </w:rPr>
              <w:fldChar w:fldCharType="end"/>
            </w:r>
          </w:hyperlink>
        </w:p>
        <w:p w14:paraId="0A27AFF8" w14:textId="34FB2C4A"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391" w:history="1">
            <w:r w:rsidR="002A554E" w:rsidRPr="00C10676">
              <w:rPr>
                <w:rStyle w:val="Hyperlink"/>
                <w:noProof/>
              </w:rPr>
              <w:t>8.</w:t>
            </w:r>
            <w:r w:rsidR="002A554E">
              <w:rPr>
                <w:rFonts w:asciiTheme="minorHAnsi" w:eastAsiaTheme="minorEastAsia" w:hAnsiTheme="minorHAnsi" w:cstheme="minorBidi"/>
                <w:caps w:val="0"/>
                <w:noProof/>
                <w:kern w:val="2"/>
                <w:szCs w:val="24"/>
                <w:lang w:val="en-IE" w:eastAsia="en-IE"/>
                <w14:ligatures w14:val="standardContextual"/>
              </w:rPr>
              <w:tab/>
            </w:r>
            <w:r w:rsidR="002A554E" w:rsidRPr="00C10676">
              <w:rPr>
                <w:rStyle w:val="Hyperlink"/>
                <w:noProof/>
              </w:rPr>
              <w:t>Summarised results of the workshops</w:t>
            </w:r>
            <w:r w:rsidR="002A554E">
              <w:rPr>
                <w:noProof/>
                <w:webHidden/>
              </w:rPr>
              <w:tab/>
            </w:r>
            <w:r w:rsidR="002A554E">
              <w:rPr>
                <w:noProof/>
                <w:webHidden/>
              </w:rPr>
              <w:fldChar w:fldCharType="begin"/>
            </w:r>
            <w:r w:rsidR="002A554E">
              <w:rPr>
                <w:noProof/>
                <w:webHidden/>
              </w:rPr>
              <w:instrText xml:space="preserve"> PAGEREF _Toc230010391 \h </w:instrText>
            </w:r>
            <w:r w:rsidR="002A554E">
              <w:rPr>
                <w:noProof/>
                <w:webHidden/>
              </w:rPr>
            </w:r>
            <w:r w:rsidR="002A554E">
              <w:rPr>
                <w:noProof/>
                <w:webHidden/>
              </w:rPr>
              <w:fldChar w:fldCharType="separate"/>
            </w:r>
            <w:r w:rsidR="00845BCE">
              <w:rPr>
                <w:noProof/>
                <w:webHidden/>
              </w:rPr>
              <w:t>29</w:t>
            </w:r>
            <w:r w:rsidR="002A554E">
              <w:rPr>
                <w:noProof/>
                <w:webHidden/>
              </w:rPr>
              <w:fldChar w:fldCharType="end"/>
            </w:r>
          </w:hyperlink>
        </w:p>
        <w:p w14:paraId="2F9675BE" w14:textId="2B83D708"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92" w:history="1">
            <w:r w:rsidR="002A554E" w:rsidRPr="00C10676">
              <w:rPr>
                <w:rStyle w:val="Hyperlink"/>
                <w:noProof/>
              </w:rPr>
              <w:t>8.1.</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Effectiveness</w:t>
            </w:r>
            <w:r w:rsidR="002A554E">
              <w:rPr>
                <w:noProof/>
                <w:webHidden/>
              </w:rPr>
              <w:tab/>
            </w:r>
            <w:r w:rsidR="002A554E">
              <w:rPr>
                <w:noProof/>
                <w:webHidden/>
              </w:rPr>
              <w:fldChar w:fldCharType="begin"/>
            </w:r>
            <w:r w:rsidR="002A554E">
              <w:rPr>
                <w:noProof/>
                <w:webHidden/>
              </w:rPr>
              <w:instrText xml:space="preserve"> PAGEREF _Toc230010392 \h </w:instrText>
            </w:r>
            <w:r w:rsidR="002A554E">
              <w:rPr>
                <w:noProof/>
                <w:webHidden/>
              </w:rPr>
            </w:r>
            <w:r w:rsidR="002A554E">
              <w:rPr>
                <w:noProof/>
                <w:webHidden/>
              </w:rPr>
              <w:fldChar w:fldCharType="separate"/>
            </w:r>
            <w:r w:rsidR="00845BCE">
              <w:rPr>
                <w:noProof/>
                <w:webHidden/>
              </w:rPr>
              <w:t>29</w:t>
            </w:r>
            <w:r w:rsidR="002A554E">
              <w:rPr>
                <w:noProof/>
                <w:webHidden/>
              </w:rPr>
              <w:fldChar w:fldCharType="end"/>
            </w:r>
          </w:hyperlink>
        </w:p>
        <w:p w14:paraId="3A2FB9CA" w14:textId="3D46AB37"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93" w:history="1">
            <w:r w:rsidR="002A554E" w:rsidRPr="00C10676">
              <w:rPr>
                <w:rStyle w:val="Hyperlink"/>
                <w:noProof/>
              </w:rPr>
              <w:t>8.2.</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Efficiency</w:t>
            </w:r>
            <w:r w:rsidR="002A554E">
              <w:rPr>
                <w:noProof/>
                <w:webHidden/>
              </w:rPr>
              <w:tab/>
            </w:r>
            <w:r w:rsidR="002A554E">
              <w:rPr>
                <w:noProof/>
                <w:webHidden/>
              </w:rPr>
              <w:fldChar w:fldCharType="begin"/>
            </w:r>
            <w:r w:rsidR="002A554E">
              <w:rPr>
                <w:noProof/>
                <w:webHidden/>
              </w:rPr>
              <w:instrText xml:space="preserve"> PAGEREF _Toc230010393 \h </w:instrText>
            </w:r>
            <w:r w:rsidR="002A554E">
              <w:rPr>
                <w:noProof/>
                <w:webHidden/>
              </w:rPr>
            </w:r>
            <w:r w:rsidR="002A554E">
              <w:rPr>
                <w:noProof/>
                <w:webHidden/>
              </w:rPr>
              <w:fldChar w:fldCharType="separate"/>
            </w:r>
            <w:r w:rsidR="00845BCE">
              <w:rPr>
                <w:noProof/>
                <w:webHidden/>
              </w:rPr>
              <w:t>30</w:t>
            </w:r>
            <w:r w:rsidR="002A554E">
              <w:rPr>
                <w:noProof/>
                <w:webHidden/>
              </w:rPr>
              <w:fldChar w:fldCharType="end"/>
            </w:r>
          </w:hyperlink>
        </w:p>
        <w:p w14:paraId="53F743F6" w14:textId="57D46843"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94" w:history="1">
            <w:r w:rsidR="002A554E" w:rsidRPr="00C10676">
              <w:rPr>
                <w:rStyle w:val="Hyperlink"/>
                <w:noProof/>
              </w:rPr>
              <w:t>8.3.</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Coherence</w:t>
            </w:r>
            <w:r w:rsidR="002A554E">
              <w:rPr>
                <w:noProof/>
                <w:webHidden/>
              </w:rPr>
              <w:tab/>
            </w:r>
            <w:r w:rsidR="002A554E">
              <w:rPr>
                <w:noProof/>
                <w:webHidden/>
              </w:rPr>
              <w:fldChar w:fldCharType="begin"/>
            </w:r>
            <w:r w:rsidR="002A554E">
              <w:rPr>
                <w:noProof/>
                <w:webHidden/>
              </w:rPr>
              <w:instrText xml:space="preserve"> PAGEREF _Toc230010394 \h </w:instrText>
            </w:r>
            <w:r w:rsidR="002A554E">
              <w:rPr>
                <w:noProof/>
                <w:webHidden/>
              </w:rPr>
            </w:r>
            <w:r w:rsidR="002A554E">
              <w:rPr>
                <w:noProof/>
                <w:webHidden/>
              </w:rPr>
              <w:fldChar w:fldCharType="separate"/>
            </w:r>
            <w:r w:rsidR="00845BCE">
              <w:rPr>
                <w:noProof/>
                <w:webHidden/>
              </w:rPr>
              <w:t>31</w:t>
            </w:r>
            <w:r w:rsidR="002A554E">
              <w:rPr>
                <w:noProof/>
                <w:webHidden/>
              </w:rPr>
              <w:fldChar w:fldCharType="end"/>
            </w:r>
          </w:hyperlink>
        </w:p>
        <w:p w14:paraId="4FF71C71" w14:textId="25C3F790"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95" w:history="1">
            <w:r w:rsidR="002A554E" w:rsidRPr="00C10676">
              <w:rPr>
                <w:rStyle w:val="Hyperlink"/>
                <w:noProof/>
              </w:rPr>
              <w:t>8.4.</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EU added value</w:t>
            </w:r>
            <w:r w:rsidR="002A554E">
              <w:rPr>
                <w:noProof/>
                <w:webHidden/>
              </w:rPr>
              <w:tab/>
            </w:r>
            <w:r w:rsidR="002A554E">
              <w:rPr>
                <w:noProof/>
                <w:webHidden/>
              </w:rPr>
              <w:fldChar w:fldCharType="begin"/>
            </w:r>
            <w:r w:rsidR="002A554E">
              <w:rPr>
                <w:noProof/>
                <w:webHidden/>
              </w:rPr>
              <w:instrText xml:space="preserve"> PAGEREF _Toc230010395 \h </w:instrText>
            </w:r>
            <w:r w:rsidR="002A554E">
              <w:rPr>
                <w:noProof/>
                <w:webHidden/>
              </w:rPr>
            </w:r>
            <w:r w:rsidR="002A554E">
              <w:rPr>
                <w:noProof/>
                <w:webHidden/>
              </w:rPr>
              <w:fldChar w:fldCharType="separate"/>
            </w:r>
            <w:r w:rsidR="00845BCE">
              <w:rPr>
                <w:noProof/>
                <w:webHidden/>
              </w:rPr>
              <w:t>32</w:t>
            </w:r>
            <w:r w:rsidR="002A554E">
              <w:rPr>
                <w:noProof/>
                <w:webHidden/>
              </w:rPr>
              <w:fldChar w:fldCharType="end"/>
            </w:r>
          </w:hyperlink>
        </w:p>
        <w:p w14:paraId="560B005A" w14:textId="67E7E277"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96" w:history="1">
            <w:r w:rsidR="002A554E" w:rsidRPr="00C10676">
              <w:rPr>
                <w:rStyle w:val="Hyperlink"/>
                <w:noProof/>
              </w:rPr>
              <w:t>8.5.</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Relevance</w:t>
            </w:r>
            <w:r w:rsidR="002A554E">
              <w:rPr>
                <w:noProof/>
                <w:webHidden/>
              </w:rPr>
              <w:tab/>
            </w:r>
            <w:r w:rsidR="002A554E">
              <w:rPr>
                <w:noProof/>
                <w:webHidden/>
              </w:rPr>
              <w:fldChar w:fldCharType="begin"/>
            </w:r>
            <w:r w:rsidR="002A554E">
              <w:rPr>
                <w:noProof/>
                <w:webHidden/>
              </w:rPr>
              <w:instrText xml:space="preserve"> PAGEREF _Toc230010396 \h </w:instrText>
            </w:r>
            <w:r w:rsidR="002A554E">
              <w:rPr>
                <w:noProof/>
                <w:webHidden/>
              </w:rPr>
            </w:r>
            <w:r w:rsidR="002A554E">
              <w:rPr>
                <w:noProof/>
                <w:webHidden/>
              </w:rPr>
              <w:fldChar w:fldCharType="separate"/>
            </w:r>
            <w:r w:rsidR="00845BCE">
              <w:rPr>
                <w:noProof/>
                <w:webHidden/>
              </w:rPr>
              <w:t>33</w:t>
            </w:r>
            <w:r w:rsidR="002A554E">
              <w:rPr>
                <w:noProof/>
                <w:webHidden/>
              </w:rPr>
              <w:fldChar w:fldCharType="end"/>
            </w:r>
          </w:hyperlink>
        </w:p>
        <w:p w14:paraId="7F196CB6" w14:textId="453F76AB"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397" w:history="1">
            <w:r w:rsidR="002A554E" w:rsidRPr="00C10676">
              <w:rPr>
                <w:rStyle w:val="Hyperlink"/>
                <w:bCs/>
                <w:noProof/>
              </w:rPr>
              <w:t>8.6.</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Prospective</w:t>
            </w:r>
            <w:r w:rsidR="002A554E">
              <w:rPr>
                <w:noProof/>
                <w:webHidden/>
              </w:rPr>
              <w:tab/>
            </w:r>
            <w:r w:rsidR="002A554E">
              <w:rPr>
                <w:noProof/>
                <w:webHidden/>
              </w:rPr>
              <w:fldChar w:fldCharType="begin"/>
            </w:r>
            <w:r w:rsidR="002A554E">
              <w:rPr>
                <w:noProof/>
                <w:webHidden/>
              </w:rPr>
              <w:instrText xml:space="preserve"> PAGEREF _Toc230010397 \h </w:instrText>
            </w:r>
            <w:r w:rsidR="002A554E">
              <w:rPr>
                <w:noProof/>
                <w:webHidden/>
              </w:rPr>
            </w:r>
            <w:r w:rsidR="002A554E">
              <w:rPr>
                <w:noProof/>
                <w:webHidden/>
              </w:rPr>
              <w:fldChar w:fldCharType="separate"/>
            </w:r>
            <w:r w:rsidR="00845BCE">
              <w:rPr>
                <w:noProof/>
                <w:webHidden/>
              </w:rPr>
              <w:t>34</w:t>
            </w:r>
            <w:r w:rsidR="002A554E">
              <w:rPr>
                <w:noProof/>
                <w:webHidden/>
              </w:rPr>
              <w:fldChar w:fldCharType="end"/>
            </w:r>
          </w:hyperlink>
        </w:p>
        <w:p w14:paraId="0D6C712A" w14:textId="313E6A07"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398" w:history="1">
            <w:r w:rsidR="002A554E" w:rsidRPr="00C10676">
              <w:rPr>
                <w:rStyle w:val="Hyperlink"/>
                <w:rFonts w:eastAsia="Calibri"/>
                <w:noProof/>
              </w:rPr>
              <w:t>9.</w:t>
            </w:r>
            <w:r w:rsidR="002A554E">
              <w:rPr>
                <w:rFonts w:asciiTheme="minorHAnsi" w:eastAsiaTheme="minorEastAsia" w:hAnsiTheme="minorHAnsi" w:cstheme="minorBidi"/>
                <w:caps w:val="0"/>
                <w:noProof/>
                <w:kern w:val="2"/>
                <w:szCs w:val="24"/>
                <w:lang w:val="en-IE" w:eastAsia="en-IE"/>
                <w14:ligatures w14:val="standardContextual"/>
              </w:rPr>
              <w:tab/>
            </w:r>
            <w:r w:rsidR="002A554E" w:rsidRPr="00C10676">
              <w:rPr>
                <w:rStyle w:val="Hyperlink"/>
                <w:rFonts w:eastAsia="Calibri"/>
                <w:noProof/>
              </w:rPr>
              <w:t>Comparison of the results of consultation activities</w:t>
            </w:r>
            <w:r w:rsidR="002A554E">
              <w:rPr>
                <w:noProof/>
                <w:webHidden/>
              </w:rPr>
              <w:tab/>
            </w:r>
            <w:r w:rsidR="002A554E">
              <w:rPr>
                <w:noProof/>
                <w:webHidden/>
              </w:rPr>
              <w:fldChar w:fldCharType="begin"/>
            </w:r>
            <w:r w:rsidR="002A554E">
              <w:rPr>
                <w:noProof/>
                <w:webHidden/>
              </w:rPr>
              <w:instrText xml:space="preserve"> PAGEREF _Toc230010398 \h </w:instrText>
            </w:r>
            <w:r w:rsidR="002A554E">
              <w:rPr>
                <w:noProof/>
                <w:webHidden/>
              </w:rPr>
            </w:r>
            <w:r w:rsidR="002A554E">
              <w:rPr>
                <w:noProof/>
                <w:webHidden/>
              </w:rPr>
              <w:fldChar w:fldCharType="separate"/>
            </w:r>
            <w:r w:rsidR="00845BCE">
              <w:rPr>
                <w:noProof/>
                <w:webHidden/>
              </w:rPr>
              <w:t>35</w:t>
            </w:r>
            <w:r w:rsidR="002A554E">
              <w:rPr>
                <w:noProof/>
                <w:webHidden/>
              </w:rPr>
              <w:fldChar w:fldCharType="end"/>
            </w:r>
          </w:hyperlink>
        </w:p>
        <w:p w14:paraId="143E133B" w14:textId="38953DF0"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399" w:history="1">
            <w:r w:rsidR="002A554E" w:rsidRPr="00C10676">
              <w:rPr>
                <w:rStyle w:val="Hyperlink"/>
                <w:noProof/>
              </w:rPr>
              <w:t>Annex 3: Who is affected and how?</w:t>
            </w:r>
            <w:r w:rsidR="002A554E">
              <w:rPr>
                <w:noProof/>
                <w:webHidden/>
              </w:rPr>
              <w:tab/>
            </w:r>
            <w:r w:rsidR="002A554E">
              <w:rPr>
                <w:noProof/>
                <w:webHidden/>
              </w:rPr>
              <w:fldChar w:fldCharType="begin"/>
            </w:r>
            <w:r w:rsidR="002A554E">
              <w:rPr>
                <w:noProof/>
                <w:webHidden/>
              </w:rPr>
              <w:instrText xml:space="preserve"> PAGEREF _Toc230010399 \h </w:instrText>
            </w:r>
            <w:r w:rsidR="002A554E">
              <w:rPr>
                <w:noProof/>
                <w:webHidden/>
              </w:rPr>
            </w:r>
            <w:r w:rsidR="002A554E">
              <w:rPr>
                <w:noProof/>
                <w:webHidden/>
              </w:rPr>
              <w:fldChar w:fldCharType="separate"/>
            </w:r>
            <w:r w:rsidR="00845BCE">
              <w:rPr>
                <w:noProof/>
                <w:webHidden/>
              </w:rPr>
              <w:t>42</w:t>
            </w:r>
            <w:r w:rsidR="002A554E">
              <w:rPr>
                <w:noProof/>
                <w:webHidden/>
              </w:rPr>
              <w:fldChar w:fldCharType="end"/>
            </w:r>
          </w:hyperlink>
        </w:p>
        <w:p w14:paraId="2C74700A" w14:textId="3A3F8997"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400" w:history="1">
            <w:r w:rsidR="002A554E" w:rsidRPr="00C10676">
              <w:rPr>
                <w:rStyle w:val="Hyperlink"/>
                <w:noProof/>
              </w:rPr>
              <w:t>1.</w:t>
            </w:r>
            <w:r w:rsidR="002A554E">
              <w:rPr>
                <w:rFonts w:asciiTheme="minorHAnsi" w:eastAsiaTheme="minorEastAsia" w:hAnsiTheme="minorHAnsi" w:cstheme="minorBidi"/>
                <w:caps w:val="0"/>
                <w:noProof/>
                <w:kern w:val="2"/>
                <w:szCs w:val="24"/>
                <w:lang w:val="en-IE" w:eastAsia="en-IE"/>
                <w14:ligatures w14:val="standardContextual"/>
              </w:rPr>
              <w:tab/>
            </w:r>
            <w:r w:rsidR="002A554E" w:rsidRPr="00C10676">
              <w:rPr>
                <w:rStyle w:val="Hyperlink"/>
                <w:noProof/>
              </w:rPr>
              <w:t>Practical implications of the initiative</w:t>
            </w:r>
            <w:r w:rsidR="002A554E">
              <w:rPr>
                <w:noProof/>
                <w:webHidden/>
              </w:rPr>
              <w:tab/>
            </w:r>
            <w:r w:rsidR="002A554E">
              <w:rPr>
                <w:noProof/>
                <w:webHidden/>
              </w:rPr>
              <w:fldChar w:fldCharType="begin"/>
            </w:r>
            <w:r w:rsidR="002A554E">
              <w:rPr>
                <w:noProof/>
                <w:webHidden/>
              </w:rPr>
              <w:instrText xml:space="preserve"> PAGEREF _Toc230010400 \h </w:instrText>
            </w:r>
            <w:r w:rsidR="002A554E">
              <w:rPr>
                <w:noProof/>
                <w:webHidden/>
              </w:rPr>
            </w:r>
            <w:r w:rsidR="002A554E">
              <w:rPr>
                <w:noProof/>
                <w:webHidden/>
              </w:rPr>
              <w:fldChar w:fldCharType="separate"/>
            </w:r>
            <w:r w:rsidR="00845BCE">
              <w:rPr>
                <w:noProof/>
                <w:webHidden/>
              </w:rPr>
              <w:t>42</w:t>
            </w:r>
            <w:r w:rsidR="002A554E">
              <w:rPr>
                <w:noProof/>
                <w:webHidden/>
              </w:rPr>
              <w:fldChar w:fldCharType="end"/>
            </w:r>
          </w:hyperlink>
        </w:p>
        <w:p w14:paraId="09FAEC8E" w14:textId="13BBFEBA"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401" w:history="1">
            <w:r w:rsidR="002A554E" w:rsidRPr="00C10676">
              <w:rPr>
                <w:rStyle w:val="Hyperlink"/>
                <w:noProof/>
              </w:rPr>
              <w:t>2.</w:t>
            </w:r>
            <w:r w:rsidR="002A554E">
              <w:rPr>
                <w:rFonts w:asciiTheme="minorHAnsi" w:eastAsiaTheme="minorEastAsia" w:hAnsiTheme="minorHAnsi" w:cstheme="minorBidi"/>
                <w:caps w:val="0"/>
                <w:noProof/>
                <w:kern w:val="2"/>
                <w:szCs w:val="24"/>
                <w:lang w:val="en-IE" w:eastAsia="en-IE"/>
                <w14:ligatures w14:val="standardContextual"/>
              </w:rPr>
              <w:tab/>
            </w:r>
            <w:r w:rsidR="002A554E" w:rsidRPr="00C10676">
              <w:rPr>
                <w:rStyle w:val="Hyperlink"/>
                <w:noProof/>
              </w:rPr>
              <w:t>Summary of costs and benefits</w:t>
            </w:r>
            <w:r w:rsidR="002A554E">
              <w:rPr>
                <w:noProof/>
                <w:webHidden/>
              </w:rPr>
              <w:tab/>
            </w:r>
            <w:r w:rsidR="002A554E">
              <w:rPr>
                <w:noProof/>
                <w:webHidden/>
              </w:rPr>
              <w:fldChar w:fldCharType="begin"/>
            </w:r>
            <w:r w:rsidR="002A554E">
              <w:rPr>
                <w:noProof/>
                <w:webHidden/>
              </w:rPr>
              <w:instrText xml:space="preserve"> PAGEREF _Toc230010401 \h </w:instrText>
            </w:r>
            <w:r w:rsidR="002A554E">
              <w:rPr>
                <w:noProof/>
                <w:webHidden/>
              </w:rPr>
            </w:r>
            <w:r w:rsidR="002A554E">
              <w:rPr>
                <w:noProof/>
                <w:webHidden/>
              </w:rPr>
              <w:fldChar w:fldCharType="separate"/>
            </w:r>
            <w:r w:rsidR="00845BCE">
              <w:rPr>
                <w:noProof/>
                <w:webHidden/>
              </w:rPr>
              <w:t>44</w:t>
            </w:r>
            <w:r w:rsidR="002A554E">
              <w:rPr>
                <w:noProof/>
                <w:webHidden/>
              </w:rPr>
              <w:fldChar w:fldCharType="end"/>
            </w:r>
          </w:hyperlink>
        </w:p>
        <w:p w14:paraId="7A51AA8C" w14:textId="54D58150"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402" w:history="1">
            <w:r w:rsidR="002A554E" w:rsidRPr="00C10676">
              <w:rPr>
                <w:rStyle w:val="Hyperlink"/>
                <w:noProof/>
              </w:rPr>
              <w:t>3.</w:t>
            </w:r>
            <w:r w:rsidR="002A554E">
              <w:rPr>
                <w:rFonts w:asciiTheme="minorHAnsi" w:eastAsiaTheme="minorEastAsia" w:hAnsiTheme="minorHAnsi" w:cstheme="minorBidi"/>
                <w:caps w:val="0"/>
                <w:noProof/>
                <w:kern w:val="2"/>
                <w:szCs w:val="24"/>
                <w:lang w:val="en-IE" w:eastAsia="en-IE"/>
                <w14:ligatures w14:val="standardContextual"/>
              </w:rPr>
              <w:tab/>
            </w:r>
            <w:r w:rsidR="002A554E" w:rsidRPr="00C10676">
              <w:rPr>
                <w:rStyle w:val="Hyperlink"/>
                <w:noProof/>
              </w:rPr>
              <w:t>Relevant sustainable development goals</w:t>
            </w:r>
            <w:r w:rsidR="002A554E">
              <w:rPr>
                <w:noProof/>
                <w:webHidden/>
              </w:rPr>
              <w:tab/>
            </w:r>
            <w:r w:rsidR="002A554E">
              <w:rPr>
                <w:noProof/>
                <w:webHidden/>
              </w:rPr>
              <w:fldChar w:fldCharType="begin"/>
            </w:r>
            <w:r w:rsidR="002A554E">
              <w:rPr>
                <w:noProof/>
                <w:webHidden/>
              </w:rPr>
              <w:instrText xml:space="preserve"> PAGEREF _Toc230010402 \h </w:instrText>
            </w:r>
            <w:r w:rsidR="002A554E">
              <w:rPr>
                <w:noProof/>
                <w:webHidden/>
              </w:rPr>
            </w:r>
            <w:r w:rsidR="002A554E">
              <w:rPr>
                <w:noProof/>
                <w:webHidden/>
              </w:rPr>
              <w:fldChar w:fldCharType="separate"/>
            </w:r>
            <w:r w:rsidR="00845BCE">
              <w:rPr>
                <w:noProof/>
                <w:webHidden/>
              </w:rPr>
              <w:t>59</w:t>
            </w:r>
            <w:r w:rsidR="002A554E">
              <w:rPr>
                <w:noProof/>
                <w:webHidden/>
              </w:rPr>
              <w:fldChar w:fldCharType="end"/>
            </w:r>
          </w:hyperlink>
        </w:p>
        <w:p w14:paraId="2A08A815" w14:textId="5E15544F"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403" w:history="1">
            <w:r w:rsidR="002A554E" w:rsidRPr="00C10676">
              <w:rPr>
                <w:rStyle w:val="Hyperlink"/>
                <w:noProof/>
              </w:rPr>
              <w:t>Annex 4: Analytical methods</w:t>
            </w:r>
            <w:r w:rsidR="002A554E">
              <w:rPr>
                <w:noProof/>
                <w:webHidden/>
              </w:rPr>
              <w:tab/>
            </w:r>
            <w:r w:rsidR="002A554E">
              <w:rPr>
                <w:noProof/>
                <w:webHidden/>
              </w:rPr>
              <w:fldChar w:fldCharType="begin"/>
            </w:r>
            <w:r w:rsidR="002A554E">
              <w:rPr>
                <w:noProof/>
                <w:webHidden/>
              </w:rPr>
              <w:instrText xml:space="preserve"> PAGEREF _Toc230010403 \h </w:instrText>
            </w:r>
            <w:r w:rsidR="002A554E">
              <w:rPr>
                <w:noProof/>
                <w:webHidden/>
              </w:rPr>
            </w:r>
            <w:r w:rsidR="002A554E">
              <w:rPr>
                <w:noProof/>
                <w:webHidden/>
              </w:rPr>
              <w:fldChar w:fldCharType="separate"/>
            </w:r>
            <w:r w:rsidR="00845BCE">
              <w:rPr>
                <w:noProof/>
                <w:webHidden/>
              </w:rPr>
              <w:t>60</w:t>
            </w:r>
            <w:r w:rsidR="002A554E">
              <w:rPr>
                <w:noProof/>
                <w:webHidden/>
              </w:rPr>
              <w:fldChar w:fldCharType="end"/>
            </w:r>
          </w:hyperlink>
        </w:p>
        <w:p w14:paraId="292504C6" w14:textId="40C03D06"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404" w:history="1">
            <w:r w:rsidR="002A554E" w:rsidRPr="00C10676">
              <w:rPr>
                <w:rStyle w:val="Hyperlink"/>
                <w:noProof/>
              </w:rPr>
              <w:t>1.</w:t>
            </w:r>
            <w:r w:rsidR="002A554E">
              <w:rPr>
                <w:rFonts w:asciiTheme="minorHAnsi" w:eastAsiaTheme="minorEastAsia" w:hAnsiTheme="minorHAnsi" w:cstheme="minorBidi"/>
                <w:caps w:val="0"/>
                <w:noProof/>
                <w:kern w:val="2"/>
                <w:szCs w:val="24"/>
                <w:lang w:val="en-IE" w:eastAsia="en-IE"/>
                <w14:ligatures w14:val="standardContextual"/>
              </w:rPr>
              <w:tab/>
            </w:r>
            <w:r w:rsidR="002A554E" w:rsidRPr="00C10676">
              <w:rPr>
                <w:rStyle w:val="Hyperlink"/>
                <w:noProof/>
              </w:rPr>
              <w:t>Modelling economic impacts</w:t>
            </w:r>
            <w:r w:rsidR="002A554E">
              <w:rPr>
                <w:noProof/>
                <w:webHidden/>
              </w:rPr>
              <w:tab/>
            </w:r>
            <w:r w:rsidR="002A554E">
              <w:rPr>
                <w:noProof/>
                <w:webHidden/>
              </w:rPr>
              <w:fldChar w:fldCharType="begin"/>
            </w:r>
            <w:r w:rsidR="002A554E">
              <w:rPr>
                <w:noProof/>
                <w:webHidden/>
              </w:rPr>
              <w:instrText xml:space="preserve"> PAGEREF _Toc230010404 \h </w:instrText>
            </w:r>
            <w:r w:rsidR="002A554E">
              <w:rPr>
                <w:noProof/>
                <w:webHidden/>
              </w:rPr>
            </w:r>
            <w:r w:rsidR="002A554E">
              <w:rPr>
                <w:noProof/>
                <w:webHidden/>
              </w:rPr>
              <w:fldChar w:fldCharType="separate"/>
            </w:r>
            <w:r w:rsidR="00845BCE">
              <w:rPr>
                <w:noProof/>
                <w:webHidden/>
              </w:rPr>
              <w:t>60</w:t>
            </w:r>
            <w:r w:rsidR="002A554E">
              <w:rPr>
                <w:noProof/>
                <w:webHidden/>
              </w:rPr>
              <w:fldChar w:fldCharType="end"/>
            </w:r>
          </w:hyperlink>
        </w:p>
        <w:p w14:paraId="0C34DCED" w14:textId="2882CC3D"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405" w:history="1">
            <w:r w:rsidR="002A554E" w:rsidRPr="00C10676">
              <w:rPr>
                <w:rStyle w:val="Hyperlink"/>
                <w:noProof/>
              </w:rPr>
              <w:t>1.1.</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EU semiconductor market size estimation</w:t>
            </w:r>
            <w:r w:rsidR="002A554E">
              <w:rPr>
                <w:noProof/>
                <w:webHidden/>
              </w:rPr>
              <w:tab/>
            </w:r>
            <w:r w:rsidR="002A554E">
              <w:rPr>
                <w:noProof/>
                <w:webHidden/>
              </w:rPr>
              <w:fldChar w:fldCharType="begin"/>
            </w:r>
            <w:r w:rsidR="002A554E">
              <w:rPr>
                <w:noProof/>
                <w:webHidden/>
              </w:rPr>
              <w:instrText xml:space="preserve"> PAGEREF _Toc230010405 \h </w:instrText>
            </w:r>
            <w:r w:rsidR="002A554E">
              <w:rPr>
                <w:noProof/>
                <w:webHidden/>
              </w:rPr>
            </w:r>
            <w:r w:rsidR="002A554E">
              <w:rPr>
                <w:noProof/>
                <w:webHidden/>
              </w:rPr>
              <w:fldChar w:fldCharType="separate"/>
            </w:r>
            <w:r w:rsidR="00845BCE">
              <w:rPr>
                <w:noProof/>
                <w:webHidden/>
              </w:rPr>
              <w:t>60</w:t>
            </w:r>
            <w:r w:rsidR="002A554E">
              <w:rPr>
                <w:noProof/>
                <w:webHidden/>
              </w:rPr>
              <w:fldChar w:fldCharType="end"/>
            </w:r>
          </w:hyperlink>
        </w:p>
        <w:p w14:paraId="630C1E07" w14:textId="4DD7F982" w:rsidR="002A554E" w:rsidRDefault="0029590C">
          <w:pPr>
            <w:pStyle w:val="TOC3"/>
            <w:rPr>
              <w:rFonts w:asciiTheme="minorHAnsi" w:eastAsiaTheme="minorEastAsia" w:hAnsiTheme="minorHAnsi" w:cstheme="minorBidi"/>
              <w:noProof/>
              <w:kern w:val="2"/>
              <w:szCs w:val="24"/>
              <w:lang w:val="en-IE"/>
              <w14:ligatures w14:val="standardContextual"/>
            </w:rPr>
          </w:pPr>
          <w:hyperlink w:anchor="_Toc230010406" w:history="1">
            <w:r w:rsidR="002A554E" w:rsidRPr="00C10676">
              <w:rPr>
                <w:rStyle w:val="Hyperlink"/>
                <w:bCs/>
                <w:noProof/>
              </w:rPr>
              <w:t>1.1.1.</w:t>
            </w:r>
            <w:r w:rsidR="002A554E">
              <w:rPr>
                <w:rFonts w:asciiTheme="minorHAnsi" w:eastAsiaTheme="minorEastAsia" w:hAnsiTheme="minorHAnsi" w:cstheme="minorBidi"/>
                <w:noProof/>
                <w:kern w:val="2"/>
                <w:szCs w:val="24"/>
                <w:lang w:val="en-IE"/>
                <w14:ligatures w14:val="standardContextual"/>
              </w:rPr>
              <w:tab/>
            </w:r>
            <w:r w:rsidR="002A554E" w:rsidRPr="00C10676">
              <w:rPr>
                <w:rStyle w:val="Hyperlink"/>
                <w:noProof/>
              </w:rPr>
              <w:t>Establishing a starting point for BAU scenario</w:t>
            </w:r>
            <w:r w:rsidR="002A554E">
              <w:rPr>
                <w:noProof/>
                <w:webHidden/>
              </w:rPr>
              <w:tab/>
            </w:r>
            <w:r w:rsidR="002A554E">
              <w:rPr>
                <w:noProof/>
                <w:webHidden/>
              </w:rPr>
              <w:fldChar w:fldCharType="begin"/>
            </w:r>
            <w:r w:rsidR="002A554E">
              <w:rPr>
                <w:noProof/>
                <w:webHidden/>
              </w:rPr>
              <w:instrText xml:space="preserve"> PAGEREF _Toc230010406 \h </w:instrText>
            </w:r>
            <w:r w:rsidR="002A554E">
              <w:rPr>
                <w:noProof/>
                <w:webHidden/>
              </w:rPr>
            </w:r>
            <w:r w:rsidR="002A554E">
              <w:rPr>
                <w:noProof/>
                <w:webHidden/>
              </w:rPr>
              <w:fldChar w:fldCharType="separate"/>
            </w:r>
            <w:r w:rsidR="00845BCE">
              <w:rPr>
                <w:noProof/>
                <w:webHidden/>
              </w:rPr>
              <w:t>60</w:t>
            </w:r>
            <w:r w:rsidR="002A554E">
              <w:rPr>
                <w:noProof/>
                <w:webHidden/>
              </w:rPr>
              <w:fldChar w:fldCharType="end"/>
            </w:r>
          </w:hyperlink>
        </w:p>
        <w:p w14:paraId="62E8D9A4" w14:textId="6D9C1317" w:rsidR="002A554E" w:rsidRDefault="0029590C">
          <w:pPr>
            <w:pStyle w:val="TOC3"/>
            <w:rPr>
              <w:rFonts w:asciiTheme="minorHAnsi" w:eastAsiaTheme="minorEastAsia" w:hAnsiTheme="minorHAnsi" w:cstheme="minorBidi"/>
              <w:noProof/>
              <w:kern w:val="2"/>
              <w:szCs w:val="24"/>
              <w:lang w:val="en-IE"/>
              <w14:ligatures w14:val="standardContextual"/>
            </w:rPr>
          </w:pPr>
          <w:hyperlink w:anchor="_Toc230010407" w:history="1">
            <w:r w:rsidR="002A554E" w:rsidRPr="00C10676">
              <w:rPr>
                <w:rStyle w:val="Hyperlink"/>
                <w:bCs/>
                <w:noProof/>
              </w:rPr>
              <w:t>1.1.2.</w:t>
            </w:r>
            <w:r w:rsidR="002A554E">
              <w:rPr>
                <w:rFonts w:asciiTheme="minorHAnsi" w:eastAsiaTheme="minorEastAsia" w:hAnsiTheme="minorHAnsi" w:cstheme="minorBidi"/>
                <w:noProof/>
                <w:kern w:val="2"/>
                <w:szCs w:val="24"/>
                <w:lang w:val="en-IE"/>
                <w14:ligatures w14:val="standardContextual"/>
              </w:rPr>
              <w:tab/>
            </w:r>
            <w:r w:rsidR="002A554E" w:rsidRPr="00C10676">
              <w:rPr>
                <w:rStyle w:val="Hyperlink"/>
                <w:noProof/>
              </w:rPr>
              <w:t>Modelling the BAU scenario</w:t>
            </w:r>
            <w:r w:rsidR="002A554E">
              <w:rPr>
                <w:noProof/>
                <w:webHidden/>
              </w:rPr>
              <w:tab/>
            </w:r>
            <w:r w:rsidR="002A554E">
              <w:rPr>
                <w:noProof/>
                <w:webHidden/>
              </w:rPr>
              <w:fldChar w:fldCharType="begin"/>
            </w:r>
            <w:r w:rsidR="002A554E">
              <w:rPr>
                <w:noProof/>
                <w:webHidden/>
              </w:rPr>
              <w:instrText xml:space="preserve"> PAGEREF _Toc230010407 \h </w:instrText>
            </w:r>
            <w:r w:rsidR="002A554E">
              <w:rPr>
                <w:noProof/>
                <w:webHidden/>
              </w:rPr>
            </w:r>
            <w:r w:rsidR="002A554E">
              <w:rPr>
                <w:noProof/>
                <w:webHidden/>
              </w:rPr>
              <w:fldChar w:fldCharType="separate"/>
            </w:r>
            <w:r w:rsidR="00845BCE">
              <w:rPr>
                <w:noProof/>
                <w:webHidden/>
              </w:rPr>
              <w:t>61</w:t>
            </w:r>
            <w:r w:rsidR="002A554E">
              <w:rPr>
                <w:noProof/>
                <w:webHidden/>
              </w:rPr>
              <w:fldChar w:fldCharType="end"/>
            </w:r>
          </w:hyperlink>
        </w:p>
        <w:p w14:paraId="19F26663" w14:textId="62ADF4C4"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408" w:history="1">
            <w:r w:rsidR="002A554E" w:rsidRPr="00C10676">
              <w:rPr>
                <w:rStyle w:val="Hyperlink"/>
                <w:noProof/>
              </w:rPr>
              <w:t>1.2.</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EU Semiconductor manufacturing capacity estimation</w:t>
            </w:r>
            <w:r w:rsidR="002A554E">
              <w:rPr>
                <w:noProof/>
                <w:webHidden/>
              </w:rPr>
              <w:tab/>
            </w:r>
            <w:r w:rsidR="002A554E">
              <w:rPr>
                <w:noProof/>
                <w:webHidden/>
              </w:rPr>
              <w:fldChar w:fldCharType="begin"/>
            </w:r>
            <w:r w:rsidR="002A554E">
              <w:rPr>
                <w:noProof/>
                <w:webHidden/>
              </w:rPr>
              <w:instrText xml:space="preserve"> PAGEREF _Toc230010408 \h </w:instrText>
            </w:r>
            <w:r w:rsidR="002A554E">
              <w:rPr>
                <w:noProof/>
                <w:webHidden/>
              </w:rPr>
            </w:r>
            <w:r w:rsidR="002A554E">
              <w:rPr>
                <w:noProof/>
                <w:webHidden/>
              </w:rPr>
              <w:fldChar w:fldCharType="separate"/>
            </w:r>
            <w:r w:rsidR="00845BCE">
              <w:rPr>
                <w:noProof/>
                <w:webHidden/>
              </w:rPr>
              <w:t>63</w:t>
            </w:r>
            <w:r w:rsidR="002A554E">
              <w:rPr>
                <w:noProof/>
                <w:webHidden/>
              </w:rPr>
              <w:fldChar w:fldCharType="end"/>
            </w:r>
          </w:hyperlink>
        </w:p>
        <w:p w14:paraId="034E9678" w14:textId="38D60885" w:rsidR="002A554E" w:rsidRDefault="0029590C">
          <w:pPr>
            <w:pStyle w:val="TOC3"/>
            <w:rPr>
              <w:rFonts w:asciiTheme="minorHAnsi" w:eastAsiaTheme="minorEastAsia" w:hAnsiTheme="minorHAnsi" w:cstheme="minorBidi"/>
              <w:noProof/>
              <w:kern w:val="2"/>
              <w:szCs w:val="24"/>
              <w:lang w:val="en-IE"/>
              <w14:ligatures w14:val="standardContextual"/>
            </w:rPr>
          </w:pPr>
          <w:hyperlink w:anchor="_Toc230010409" w:history="1">
            <w:r w:rsidR="002A554E" w:rsidRPr="00C10676">
              <w:rPr>
                <w:rStyle w:val="Hyperlink"/>
                <w:bCs/>
                <w:noProof/>
              </w:rPr>
              <w:t>1.2.1.</w:t>
            </w:r>
            <w:r w:rsidR="002A554E">
              <w:rPr>
                <w:rFonts w:asciiTheme="minorHAnsi" w:eastAsiaTheme="minorEastAsia" w:hAnsiTheme="minorHAnsi" w:cstheme="minorBidi"/>
                <w:noProof/>
                <w:kern w:val="2"/>
                <w:szCs w:val="24"/>
                <w:lang w:val="en-IE"/>
                <w14:ligatures w14:val="standardContextual"/>
              </w:rPr>
              <w:tab/>
            </w:r>
            <w:r w:rsidR="002A554E" w:rsidRPr="00C10676">
              <w:rPr>
                <w:rStyle w:val="Hyperlink"/>
                <w:noProof/>
              </w:rPr>
              <w:t>Establishing a starting point for BAU scenario</w:t>
            </w:r>
            <w:r w:rsidR="002A554E">
              <w:rPr>
                <w:noProof/>
                <w:webHidden/>
              </w:rPr>
              <w:tab/>
            </w:r>
            <w:r w:rsidR="002A554E">
              <w:rPr>
                <w:noProof/>
                <w:webHidden/>
              </w:rPr>
              <w:fldChar w:fldCharType="begin"/>
            </w:r>
            <w:r w:rsidR="002A554E">
              <w:rPr>
                <w:noProof/>
                <w:webHidden/>
              </w:rPr>
              <w:instrText xml:space="preserve"> PAGEREF _Toc230010409 \h </w:instrText>
            </w:r>
            <w:r w:rsidR="002A554E">
              <w:rPr>
                <w:noProof/>
                <w:webHidden/>
              </w:rPr>
            </w:r>
            <w:r w:rsidR="002A554E">
              <w:rPr>
                <w:noProof/>
                <w:webHidden/>
              </w:rPr>
              <w:fldChar w:fldCharType="separate"/>
            </w:r>
            <w:r w:rsidR="00845BCE">
              <w:rPr>
                <w:noProof/>
                <w:webHidden/>
              </w:rPr>
              <w:t>63</w:t>
            </w:r>
            <w:r w:rsidR="002A554E">
              <w:rPr>
                <w:noProof/>
                <w:webHidden/>
              </w:rPr>
              <w:fldChar w:fldCharType="end"/>
            </w:r>
          </w:hyperlink>
        </w:p>
        <w:p w14:paraId="78EF3D67" w14:textId="5264F3B3" w:rsidR="002A554E" w:rsidRDefault="0029590C">
          <w:pPr>
            <w:pStyle w:val="TOC3"/>
            <w:rPr>
              <w:rFonts w:asciiTheme="minorHAnsi" w:eastAsiaTheme="minorEastAsia" w:hAnsiTheme="minorHAnsi" w:cstheme="minorBidi"/>
              <w:noProof/>
              <w:kern w:val="2"/>
              <w:szCs w:val="24"/>
              <w:lang w:val="en-IE"/>
              <w14:ligatures w14:val="standardContextual"/>
            </w:rPr>
          </w:pPr>
          <w:hyperlink w:anchor="_Toc230010410" w:history="1">
            <w:r w:rsidR="002A554E" w:rsidRPr="00C10676">
              <w:rPr>
                <w:rStyle w:val="Hyperlink"/>
                <w:bCs/>
                <w:noProof/>
              </w:rPr>
              <w:t>1.2.2.</w:t>
            </w:r>
            <w:r w:rsidR="002A554E">
              <w:rPr>
                <w:rFonts w:asciiTheme="minorHAnsi" w:eastAsiaTheme="minorEastAsia" w:hAnsiTheme="minorHAnsi" w:cstheme="minorBidi"/>
                <w:noProof/>
                <w:kern w:val="2"/>
                <w:szCs w:val="24"/>
                <w:lang w:val="en-IE"/>
                <w14:ligatures w14:val="standardContextual"/>
              </w:rPr>
              <w:tab/>
            </w:r>
            <w:r w:rsidR="002A554E" w:rsidRPr="00C10676">
              <w:rPr>
                <w:rStyle w:val="Hyperlink"/>
                <w:noProof/>
              </w:rPr>
              <w:t>Modelling the BAU scenario</w:t>
            </w:r>
            <w:r w:rsidR="002A554E">
              <w:rPr>
                <w:noProof/>
                <w:webHidden/>
              </w:rPr>
              <w:tab/>
            </w:r>
            <w:r w:rsidR="002A554E">
              <w:rPr>
                <w:noProof/>
                <w:webHidden/>
              </w:rPr>
              <w:fldChar w:fldCharType="begin"/>
            </w:r>
            <w:r w:rsidR="002A554E">
              <w:rPr>
                <w:noProof/>
                <w:webHidden/>
              </w:rPr>
              <w:instrText xml:space="preserve"> PAGEREF _Toc230010410 \h </w:instrText>
            </w:r>
            <w:r w:rsidR="002A554E">
              <w:rPr>
                <w:noProof/>
                <w:webHidden/>
              </w:rPr>
            </w:r>
            <w:r w:rsidR="002A554E">
              <w:rPr>
                <w:noProof/>
                <w:webHidden/>
              </w:rPr>
              <w:fldChar w:fldCharType="separate"/>
            </w:r>
            <w:r w:rsidR="00845BCE">
              <w:rPr>
                <w:noProof/>
                <w:webHidden/>
              </w:rPr>
              <w:t>64</w:t>
            </w:r>
            <w:r w:rsidR="002A554E">
              <w:rPr>
                <w:noProof/>
                <w:webHidden/>
              </w:rPr>
              <w:fldChar w:fldCharType="end"/>
            </w:r>
          </w:hyperlink>
        </w:p>
        <w:p w14:paraId="0D138106" w14:textId="02CAA6D9"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411" w:history="1">
            <w:r w:rsidR="002A554E" w:rsidRPr="00C10676">
              <w:rPr>
                <w:rStyle w:val="Hyperlink"/>
                <w:noProof/>
              </w:rPr>
              <w:t>1.3.</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EU positioning in the global value chain and EU value chain strength and resilience</w:t>
            </w:r>
            <w:r w:rsidR="002A554E">
              <w:rPr>
                <w:noProof/>
                <w:webHidden/>
              </w:rPr>
              <w:tab/>
            </w:r>
            <w:r w:rsidR="002A554E">
              <w:rPr>
                <w:noProof/>
                <w:webHidden/>
              </w:rPr>
              <w:fldChar w:fldCharType="begin"/>
            </w:r>
            <w:r w:rsidR="002A554E">
              <w:rPr>
                <w:noProof/>
                <w:webHidden/>
              </w:rPr>
              <w:instrText xml:space="preserve"> PAGEREF _Toc230010411 \h </w:instrText>
            </w:r>
            <w:r w:rsidR="002A554E">
              <w:rPr>
                <w:noProof/>
                <w:webHidden/>
              </w:rPr>
            </w:r>
            <w:r w:rsidR="002A554E">
              <w:rPr>
                <w:noProof/>
                <w:webHidden/>
              </w:rPr>
              <w:fldChar w:fldCharType="separate"/>
            </w:r>
            <w:r w:rsidR="00845BCE">
              <w:rPr>
                <w:noProof/>
                <w:webHidden/>
              </w:rPr>
              <w:t>65</w:t>
            </w:r>
            <w:r w:rsidR="002A554E">
              <w:rPr>
                <w:noProof/>
                <w:webHidden/>
              </w:rPr>
              <w:fldChar w:fldCharType="end"/>
            </w:r>
          </w:hyperlink>
        </w:p>
        <w:p w14:paraId="40497D40" w14:textId="3BE480EA" w:rsidR="002A554E" w:rsidRDefault="0029590C">
          <w:pPr>
            <w:pStyle w:val="TOC3"/>
            <w:rPr>
              <w:rFonts w:asciiTheme="minorHAnsi" w:eastAsiaTheme="minorEastAsia" w:hAnsiTheme="minorHAnsi" w:cstheme="minorBidi"/>
              <w:noProof/>
              <w:kern w:val="2"/>
              <w:szCs w:val="24"/>
              <w:lang w:val="en-IE"/>
              <w14:ligatures w14:val="standardContextual"/>
            </w:rPr>
          </w:pPr>
          <w:hyperlink w:anchor="_Toc230010412" w:history="1">
            <w:r w:rsidR="002A554E" w:rsidRPr="00C10676">
              <w:rPr>
                <w:rStyle w:val="Hyperlink"/>
                <w:bCs/>
                <w:noProof/>
              </w:rPr>
              <w:t>1.3.1.</w:t>
            </w:r>
            <w:r w:rsidR="002A554E">
              <w:rPr>
                <w:rFonts w:asciiTheme="minorHAnsi" w:eastAsiaTheme="minorEastAsia" w:hAnsiTheme="minorHAnsi" w:cstheme="minorBidi"/>
                <w:noProof/>
                <w:kern w:val="2"/>
                <w:szCs w:val="24"/>
                <w:lang w:val="en-IE"/>
                <w14:ligatures w14:val="standardContextual"/>
              </w:rPr>
              <w:tab/>
            </w:r>
            <w:r w:rsidR="002A554E" w:rsidRPr="00C10676">
              <w:rPr>
                <w:rStyle w:val="Hyperlink"/>
                <w:noProof/>
              </w:rPr>
              <w:t>Detailed analysis of semiconductor value chain</w:t>
            </w:r>
            <w:r w:rsidR="002A554E">
              <w:rPr>
                <w:noProof/>
                <w:webHidden/>
              </w:rPr>
              <w:tab/>
            </w:r>
            <w:r w:rsidR="002A554E">
              <w:rPr>
                <w:noProof/>
                <w:webHidden/>
              </w:rPr>
              <w:fldChar w:fldCharType="begin"/>
            </w:r>
            <w:r w:rsidR="002A554E">
              <w:rPr>
                <w:noProof/>
                <w:webHidden/>
              </w:rPr>
              <w:instrText xml:space="preserve"> PAGEREF _Toc230010412 \h </w:instrText>
            </w:r>
            <w:r w:rsidR="002A554E">
              <w:rPr>
                <w:noProof/>
                <w:webHidden/>
              </w:rPr>
            </w:r>
            <w:r w:rsidR="002A554E">
              <w:rPr>
                <w:noProof/>
                <w:webHidden/>
              </w:rPr>
              <w:fldChar w:fldCharType="separate"/>
            </w:r>
            <w:r w:rsidR="00845BCE">
              <w:rPr>
                <w:noProof/>
                <w:webHidden/>
              </w:rPr>
              <w:t>69</w:t>
            </w:r>
            <w:r w:rsidR="002A554E">
              <w:rPr>
                <w:noProof/>
                <w:webHidden/>
              </w:rPr>
              <w:fldChar w:fldCharType="end"/>
            </w:r>
          </w:hyperlink>
        </w:p>
        <w:p w14:paraId="5E56D152" w14:textId="0EEAAC7F" w:rsidR="002A554E" w:rsidRDefault="0029590C">
          <w:pPr>
            <w:pStyle w:val="TOC4"/>
            <w:rPr>
              <w:rFonts w:asciiTheme="minorHAnsi" w:eastAsiaTheme="minorEastAsia" w:hAnsiTheme="minorHAnsi" w:cstheme="minorBidi"/>
              <w:kern w:val="2"/>
              <w:szCs w:val="24"/>
              <w:lang w:val="en-IE"/>
              <w14:ligatures w14:val="standardContextual"/>
            </w:rPr>
          </w:pPr>
          <w:hyperlink w:anchor="_Toc230010413" w:history="1">
            <w:r w:rsidR="002A554E" w:rsidRPr="00C10676">
              <w:rPr>
                <w:rStyle w:val="Hyperlink"/>
                <w:rFonts w:eastAsiaTheme="minorHAnsi"/>
              </w:rPr>
              <w:t>1.3.1.1</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Fonts w:eastAsiaTheme="minorHAnsi"/>
              </w:rPr>
              <w:t>Electronic Design Automation</w:t>
            </w:r>
            <w:r w:rsidR="002A554E">
              <w:rPr>
                <w:webHidden/>
              </w:rPr>
              <w:tab/>
            </w:r>
            <w:r w:rsidR="002A554E">
              <w:rPr>
                <w:webHidden/>
              </w:rPr>
              <w:fldChar w:fldCharType="begin"/>
            </w:r>
            <w:r w:rsidR="002A554E">
              <w:rPr>
                <w:webHidden/>
              </w:rPr>
              <w:instrText xml:space="preserve"> PAGEREF _Toc230010413 \h </w:instrText>
            </w:r>
            <w:r w:rsidR="002A554E">
              <w:rPr>
                <w:webHidden/>
              </w:rPr>
            </w:r>
            <w:r w:rsidR="002A554E">
              <w:rPr>
                <w:webHidden/>
              </w:rPr>
              <w:fldChar w:fldCharType="separate"/>
            </w:r>
            <w:r w:rsidR="00845BCE">
              <w:rPr>
                <w:webHidden/>
              </w:rPr>
              <w:t>69</w:t>
            </w:r>
            <w:r w:rsidR="002A554E">
              <w:rPr>
                <w:webHidden/>
              </w:rPr>
              <w:fldChar w:fldCharType="end"/>
            </w:r>
          </w:hyperlink>
        </w:p>
        <w:p w14:paraId="43A92529" w14:textId="7C2E0D34" w:rsidR="002A554E" w:rsidRDefault="0029590C">
          <w:pPr>
            <w:pStyle w:val="TOC4"/>
            <w:rPr>
              <w:rFonts w:asciiTheme="minorHAnsi" w:eastAsiaTheme="minorEastAsia" w:hAnsiTheme="minorHAnsi" w:cstheme="minorBidi"/>
              <w:kern w:val="2"/>
              <w:szCs w:val="24"/>
              <w:lang w:val="en-IE"/>
              <w14:ligatures w14:val="standardContextual"/>
            </w:rPr>
          </w:pPr>
          <w:hyperlink w:anchor="_Toc230010414" w:history="1">
            <w:r w:rsidR="002A554E" w:rsidRPr="00C10676">
              <w:rPr>
                <w:rStyle w:val="Hyperlink"/>
              </w:rPr>
              <w:t>1.3.1.2</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Materials</w:t>
            </w:r>
            <w:r w:rsidR="002A554E">
              <w:rPr>
                <w:webHidden/>
              </w:rPr>
              <w:tab/>
            </w:r>
            <w:r w:rsidR="002A554E">
              <w:rPr>
                <w:webHidden/>
              </w:rPr>
              <w:fldChar w:fldCharType="begin"/>
            </w:r>
            <w:r w:rsidR="002A554E">
              <w:rPr>
                <w:webHidden/>
              </w:rPr>
              <w:instrText xml:space="preserve"> PAGEREF _Toc230010414 \h </w:instrText>
            </w:r>
            <w:r w:rsidR="002A554E">
              <w:rPr>
                <w:webHidden/>
              </w:rPr>
            </w:r>
            <w:r w:rsidR="002A554E">
              <w:rPr>
                <w:webHidden/>
              </w:rPr>
              <w:fldChar w:fldCharType="separate"/>
            </w:r>
            <w:r w:rsidR="00845BCE">
              <w:rPr>
                <w:webHidden/>
              </w:rPr>
              <w:t>70</w:t>
            </w:r>
            <w:r w:rsidR="002A554E">
              <w:rPr>
                <w:webHidden/>
              </w:rPr>
              <w:fldChar w:fldCharType="end"/>
            </w:r>
          </w:hyperlink>
        </w:p>
        <w:p w14:paraId="4B035EB9" w14:textId="2D27E046" w:rsidR="002A554E" w:rsidRDefault="0029590C">
          <w:pPr>
            <w:pStyle w:val="TOC4"/>
            <w:rPr>
              <w:rFonts w:asciiTheme="minorHAnsi" w:eastAsiaTheme="minorEastAsia" w:hAnsiTheme="minorHAnsi" w:cstheme="minorBidi"/>
              <w:kern w:val="2"/>
              <w:szCs w:val="24"/>
              <w:lang w:val="en-IE"/>
              <w14:ligatures w14:val="standardContextual"/>
            </w:rPr>
          </w:pPr>
          <w:hyperlink w:anchor="_Toc230010415" w:history="1">
            <w:r w:rsidR="002A554E" w:rsidRPr="00C10676">
              <w:rPr>
                <w:rStyle w:val="Hyperlink"/>
              </w:rPr>
              <w:t>1.3.1.2.1</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Critical raw materials</w:t>
            </w:r>
            <w:r w:rsidR="002A554E">
              <w:rPr>
                <w:webHidden/>
              </w:rPr>
              <w:tab/>
            </w:r>
            <w:r w:rsidR="002A554E">
              <w:rPr>
                <w:webHidden/>
              </w:rPr>
              <w:fldChar w:fldCharType="begin"/>
            </w:r>
            <w:r w:rsidR="002A554E">
              <w:rPr>
                <w:webHidden/>
              </w:rPr>
              <w:instrText xml:space="preserve"> PAGEREF _Toc230010415 \h </w:instrText>
            </w:r>
            <w:r w:rsidR="002A554E">
              <w:rPr>
                <w:webHidden/>
              </w:rPr>
            </w:r>
            <w:r w:rsidR="002A554E">
              <w:rPr>
                <w:webHidden/>
              </w:rPr>
              <w:fldChar w:fldCharType="separate"/>
            </w:r>
            <w:r w:rsidR="00845BCE">
              <w:rPr>
                <w:webHidden/>
              </w:rPr>
              <w:t>70</w:t>
            </w:r>
            <w:r w:rsidR="002A554E">
              <w:rPr>
                <w:webHidden/>
              </w:rPr>
              <w:fldChar w:fldCharType="end"/>
            </w:r>
          </w:hyperlink>
        </w:p>
        <w:p w14:paraId="5B55CE53" w14:textId="289B6894" w:rsidR="002A554E" w:rsidRDefault="0029590C">
          <w:pPr>
            <w:pStyle w:val="TOC4"/>
            <w:rPr>
              <w:rFonts w:asciiTheme="minorHAnsi" w:eastAsiaTheme="minorEastAsia" w:hAnsiTheme="minorHAnsi" w:cstheme="minorBidi"/>
              <w:kern w:val="2"/>
              <w:szCs w:val="24"/>
              <w:lang w:val="en-IE"/>
              <w14:ligatures w14:val="standardContextual"/>
            </w:rPr>
          </w:pPr>
          <w:hyperlink w:anchor="_Toc230010416" w:history="1">
            <w:r w:rsidR="002A554E" w:rsidRPr="00C10676">
              <w:rPr>
                <w:rStyle w:val="Hyperlink"/>
              </w:rPr>
              <w:t>1.3.1.2.2</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Compound semiconductor Substrates/Epiwafers</w:t>
            </w:r>
            <w:r w:rsidR="002A554E">
              <w:rPr>
                <w:webHidden/>
              </w:rPr>
              <w:tab/>
            </w:r>
            <w:r w:rsidR="002A554E">
              <w:rPr>
                <w:webHidden/>
              </w:rPr>
              <w:fldChar w:fldCharType="begin"/>
            </w:r>
            <w:r w:rsidR="002A554E">
              <w:rPr>
                <w:webHidden/>
              </w:rPr>
              <w:instrText xml:space="preserve"> PAGEREF _Toc230010416 \h </w:instrText>
            </w:r>
            <w:r w:rsidR="002A554E">
              <w:rPr>
                <w:webHidden/>
              </w:rPr>
            </w:r>
            <w:r w:rsidR="002A554E">
              <w:rPr>
                <w:webHidden/>
              </w:rPr>
              <w:fldChar w:fldCharType="separate"/>
            </w:r>
            <w:r w:rsidR="00845BCE">
              <w:rPr>
                <w:webHidden/>
              </w:rPr>
              <w:t>72</w:t>
            </w:r>
            <w:r w:rsidR="002A554E">
              <w:rPr>
                <w:webHidden/>
              </w:rPr>
              <w:fldChar w:fldCharType="end"/>
            </w:r>
          </w:hyperlink>
        </w:p>
        <w:p w14:paraId="05D92E4E" w14:textId="4BAC284D" w:rsidR="002A554E" w:rsidRDefault="0029590C">
          <w:pPr>
            <w:pStyle w:val="TOC4"/>
            <w:rPr>
              <w:rFonts w:asciiTheme="minorHAnsi" w:eastAsiaTheme="minorEastAsia" w:hAnsiTheme="minorHAnsi" w:cstheme="minorBidi"/>
              <w:kern w:val="2"/>
              <w:szCs w:val="24"/>
              <w:lang w:val="en-IE"/>
              <w14:ligatures w14:val="standardContextual"/>
            </w:rPr>
          </w:pPr>
          <w:hyperlink w:anchor="_Toc230010417" w:history="1">
            <w:r w:rsidR="002A554E" w:rsidRPr="00C10676">
              <w:rPr>
                <w:rStyle w:val="Hyperlink"/>
              </w:rPr>
              <w:t>1.3.1.3</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Ultra-high-purity process gases and chemicals</w:t>
            </w:r>
            <w:r w:rsidR="002A554E">
              <w:rPr>
                <w:webHidden/>
              </w:rPr>
              <w:tab/>
            </w:r>
            <w:r w:rsidR="002A554E">
              <w:rPr>
                <w:webHidden/>
              </w:rPr>
              <w:fldChar w:fldCharType="begin"/>
            </w:r>
            <w:r w:rsidR="002A554E">
              <w:rPr>
                <w:webHidden/>
              </w:rPr>
              <w:instrText xml:space="preserve"> PAGEREF _Toc230010417 \h </w:instrText>
            </w:r>
            <w:r w:rsidR="002A554E">
              <w:rPr>
                <w:webHidden/>
              </w:rPr>
            </w:r>
            <w:r w:rsidR="002A554E">
              <w:rPr>
                <w:webHidden/>
              </w:rPr>
              <w:fldChar w:fldCharType="separate"/>
            </w:r>
            <w:r w:rsidR="00845BCE">
              <w:rPr>
                <w:webHidden/>
              </w:rPr>
              <w:t>73</w:t>
            </w:r>
            <w:r w:rsidR="002A554E">
              <w:rPr>
                <w:webHidden/>
              </w:rPr>
              <w:fldChar w:fldCharType="end"/>
            </w:r>
          </w:hyperlink>
        </w:p>
        <w:p w14:paraId="77D22C3E" w14:textId="447073DD" w:rsidR="002A554E" w:rsidRDefault="0029590C">
          <w:pPr>
            <w:pStyle w:val="TOC4"/>
            <w:rPr>
              <w:rFonts w:asciiTheme="minorHAnsi" w:eastAsiaTheme="minorEastAsia" w:hAnsiTheme="minorHAnsi" w:cstheme="minorBidi"/>
              <w:kern w:val="2"/>
              <w:szCs w:val="24"/>
              <w:lang w:val="en-IE"/>
              <w14:ligatures w14:val="standardContextual"/>
            </w:rPr>
          </w:pPr>
          <w:hyperlink w:anchor="_Toc230010418" w:history="1">
            <w:r w:rsidR="002A554E" w:rsidRPr="00C10676">
              <w:rPr>
                <w:rStyle w:val="Hyperlink"/>
              </w:rPr>
              <w:t>1.3.1.3.1</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Gases</w:t>
            </w:r>
            <w:r w:rsidR="002A554E">
              <w:rPr>
                <w:webHidden/>
              </w:rPr>
              <w:tab/>
            </w:r>
            <w:r w:rsidR="002A554E">
              <w:rPr>
                <w:webHidden/>
              </w:rPr>
              <w:fldChar w:fldCharType="begin"/>
            </w:r>
            <w:r w:rsidR="002A554E">
              <w:rPr>
                <w:webHidden/>
              </w:rPr>
              <w:instrText xml:space="preserve"> PAGEREF _Toc230010418 \h </w:instrText>
            </w:r>
            <w:r w:rsidR="002A554E">
              <w:rPr>
                <w:webHidden/>
              </w:rPr>
            </w:r>
            <w:r w:rsidR="002A554E">
              <w:rPr>
                <w:webHidden/>
              </w:rPr>
              <w:fldChar w:fldCharType="separate"/>
            </w:r>
            <w:r w:rsidR="00845BCE">
              <w:rPr>
                <w:webHidden/>
              </w:rPr>
              <w:t>73</w:t>
            </w:r>
            <w:r w:rsidR="002A554E">
              <w:rPr>
                <w:webHidden/>
              </w:rPr>
              <w:fldChar w:fldCharType="end"/>
            </w:r>
          </w:hyperlink>
        </w:p>
        <w:p w14:paraId="54F8326B" w14:textId="5FAAC912" w:rsidR="002A554E" w:rsidRDefault="0029590C">
          <w:pPr>
            <w:pStyle w:val="TOC4"/>
            <w:tabs>
              <w:tab w:val="left" w:pos="1855"/>
            </w:tabs>
            <w:rPr>
              <w:rFonts w:asciiTheme="minorHAnsi" w:eastAsiaTheme="minorEastAsia" w:hAnsiTheme="minorHAnsi" w:cstheme="minorBidi"/>
              <w:kern w:val="2"/>
              <w:szCs w:val="24"/>
              <w:lang w:val="en-IE"/>
              <w14:ligatures w14:val="standardContextual"/>
            </w:rPr>
          </w:pPr>
          <w:hyperlink w:anchor="_Toc230010419" w:history="1">
            <w:r w:rsidR="002A554E" w:rsidRPr="00C10676">
              <w:rPr>
                <w:rStyle w:val="Hyperlink"/>
              </w:rPr>
              <w:t>1.3.1.3.1.1</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Gases manufactured within Europe and principal functions</w:t>
            </w:r>
            <w:r w:rsidR="002A554E">
              <w:rPr>
                <w:webHidden/>
              </w:rPr>
              <w:tab/>
            </w:r>
            <w:r w:rsidR="002A554E">
              <w:rPr>
                <w:webHidden/>
              </w:rPr>
              <w:fldChar w:fldCharType="begin"/>
            </w:r>
            <w:r w:rsidR="002A554E">
              <w:rPr>
                <w:webHidden/>
              </w:rPr>
              <w:instrText xml:space="preserve"> PAGEREF _Toc230010419 \h </w:instrText>
            </w:r>
            <w:r w:rsidR="002A554E">
              <w:rPr>
                <w:webHidden/>
              </w:rPr>
            </w:r>
            <w:r w:rsidR="002A554E">
              <w:rPr>
                <w:webHidden/>
              </w:rPr>
              <w:fldChar w:fldCharType="separate"/>
            </w:r>
            <w:r w:rsidR="00845BCE">
              <w:rPr>
                <w:webHidden/>
              </w:rPr>
              <w:t>73</w:t>
            </w:r>
            <w:r w:rsidR="002A554E">
              <w:rPr>
                <w:webHidden/>
              </w:rPr>
              <w:fldChar w:fldCharType="end"/>
            </w:r>
          </w:hyperlink>
        </w:p>
        <w:p w14:paraId="50B3224A" w14:textId="2529B94C" w:rsidR="002A554E" w:rsidRDefault="0029590C">
          <w:pPr>
            <w:pStyle w:val="TOC4"/>
            <w:tabs>
              <w:tab w:val="left" w:pos="1855"/>
            </w:tabs>
            <w:rPr>
              <w:rFonts w:asciiTheme="minorHAnsi" w:eastAsiaTheme="minorEastAsia" w:hAnsiTheme="minorHAnsi" w:cstheme="minorBidi"/>
              <w:kern w:val="2"/>
              <w:szCs w:val="24"/>
              <w:lang w:val="en-IE"/>
              <w14:ligatures w14:val="standardContextual"/>
            </w:rPr>
          </w:pPr>
          <w:hyperlink w:anchor="_Toc230010420" w:history="1">
            <w:r w:rsidR="002A554E" w:rsidRPr="00C10676">
              <w:rPr>
                <w:rStyle w:val="Hyperlink"/>
              </w:rPr>
              <w:t>1.3.1.3.1.2</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Gases predominantly sourced from outside Europe and principal functions</w:t>
            </w:r>
            <w:r w:rsidR="002A554E">
              <w:rPr>
                <w:webHidden/>
              </w:rPr>
              <w:tab/>
            </w:r>
            <w:r w:rsidR="002A554E">
              <w:rPr>
                <w:webHidden/>
              </w:rPr>
              <w:fldChar w:fldCharType="begin"/>
            </w:r>
            <w:r w:rsidR="002A554E">
              <w:rPr>
                <w:webHidden/>
              </w:rPr>
              <w:instrText xml:space="preserve"> PAGEREF _Toc230010420 \h </w:instrText>
            </w:r>
            <w:r w:rsidR="002A554E">
              <w:rPr>
                <w:webHidden/>
              </w:rPr>
            </w:r>
            <w:r w:rsidR="002A554E">
              <w:rPr>
                <w:webHidden/>
              </w:rPr>
              <w:fldChar w:fldCharType="separate"/>
            </w:r>
            <w:r w:rsidR="00845BCE">
              <w:rPr>
                <w:webHidden/>
              </w:rPr>
              <w:t>74</w:t>
            </w:r>
            <w:r w:rsidR="002A554E">
              <w:rPr>
                <w:webHidden/>
              </w:rPr>
              <w:fldChar w:fldCharType="end"/>
            </w:r>
          </w:hyperlink>
        </w:p>
        <w:p w14:paraId="03374E8C" w14:textId="248158C0" w:rsidR="002A554E" w:rsidRDefault="0029590C">
          <w:pPr>
            <w:pStyle w:val="TOC4"/>
            <w:tabs>
              <w:tab w:val="left" w:pos="1855"/>
            </w:tabs>
            <w:rPr>
              <w:rFonts w:asciiTheme="minorHAnsi" w:eastAsiaTheme="minorEastAsia" w:hAnsiTheme="minorHAnsi" w:cstheme="minorBidi"/>
              <w:kern w:val="2"/>
              <w:szCs w:val="24"/>
              <w:lang w:val="en-IE"/>
              <w14:ligatures w14:val="standardContextual"/>
            </w:rPr>
          </w:pPr>
          <w:hyperlink w:anchor="_Toc230010421" w:history="1">
            <w:r w:rsidR="002A554E" w:rsidRPr="00C10676">
              <w:rPr>
                <w:rStyle w:val="Hyperlink"/>
              </w:rPr>
              <w:t>1.3.1.3.1.3</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Structural characteristics of the dependency</w:t>
            </w:r>
            <w:r w:rsidR="002A554E">
              <w:rPr>
                <w:webHidden/>
              </w:rPr>
              <w:tab/>
            </w:r>
            <w:r w:rsidR="002A554E">
              <w:rPr>
                <w:webHidden/>
              </w:rPr>
              <w:fldChar w:fldCharType="begin"/>
            </w:r>
            <w:r w:rsidR="002A554E">
              <w:rPr>
                <w:webHidden/>
              </w:rPr>
              <w:instrText xml:space="preserve"> PAGEREF _Toc230010421 \h </w:instrText>
            </w:r>
            <w:r w:rsidR="002A554E">
              <w:rPr>
                <w:webHidden/>
              </w:rPr>
            </w:r>
            <w:r w:rsidR="002A554E">
              <w:rPr>
                <w:webHidden/>
              </w:rPr>
              <w:fldChar w:fldCharType="separate"/>
            </w:r>
            <w:r w:rsidR="00845BCE">
              <w:rPr>
                <w:webHidden/>
              </w:rPr>
              <w:t>74</w:t>
            </w:r>
            <w:r w:rsidR="002A554E">
              <w:rPr>
                <w:webHidden/>
              </w:rPr>
              <w:fldChar w:fldCharType="end"/>
            </w:r>
          </w:hyperlink>
        </w:p>
        <w:p w14:paraId="7BCD0648" w14:textId="539469AE" w:rsidR="002A554E" w:rsidRDefault="0029590C">
          <w:pPr>
            <w:pStyle w:val="TOC4"/>
            <w:rPr>
              <w:rFonts w:asciiTheme="minorHAnsi" w:eastAsiaTheme="minorEastAsia" w:hAnsiTheme="minorHAnsi" w:cstheme="minorBidi"/>
              <w:kern w:val="2"/>
              <w:szCs w:val="24"/>
              <w:lang w:val="en-IE"/>
              <w14:ligatures w14:val="standardContextual"/>
            </w:rPr>
          </w:pPr>
          <w:hyperlink w:anchor="_Toc230010422" w:history="1">
            <w:r w:rsidR="002A554E" w:rsidRPr="00C10676">
              <w:rPr>
                <w:rStyle w:val="Hyperlink"/>
              </w:rPr>
              <w:t>1.3.1.3.2</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Chemicals</w:t>
            </w:r>
            <w:r w:rsidR="002A554E">
              <w:rPr>
                <w:webHidden/>
              </w:rPr>
              <w:tab/>
            </w:r>
            <w:r w:rsidR="002A554E">
              <w:rPr>
                <w:webHidden/>
              </w:rPr>
              <w:fldChar w:fldCharType="begin"/>
            </w:r>
            <w:r w:rsidR="002A554E">
              <w:rPr>
                <w:webHidden/>
              </w:rPr>
              <w:instrText xml:space="preserve"> PAGEREF _Toc230010422 \h </w:instrText>
            </w:r>
            <w:r w:rsidR="002A554E">
              <w:rPr>
                <w:webHidden/>
              </w:rPr>
            </w:r>
            <w:r w:rsidR="002A554E">
              <w:rPr>
                <w:webHidden/>
              </w:rPr>
              <w:fldChar w:fldCharType="separate"/>
            </w:r>
            <w:r w:rsidR="00845BCE">
              <w:rPr>
                <w:webHidden/>
              </w:rPr>
              <w:t>75</w:t>
            </w:r>
            <w:r w:rsidR="002A554E">
              <w:rPr>
                <w:webHidden/>
              </w:rPr>
              <w:fldChar w:fldCharType="end"/>
            </w:r>
          </w:hyperlink>
        </w:p>
        <w:p w14:paraId="0376E58F" w14:textId="7A206779" w:rsidR="002A554E" w:rsidRDefault="0029590C">
          <w:pPr>
            <w:pStyle w:val="TOC4"/>
            <w:tabs>
              <w:tab w:val="left" w:pos="1855"/>
            </w:tabs>
            <w:rPr>
              <w:rFonts w:asciiTheme="minorHAnsi" w:eastAsiaTheme="minorEastAsia" w:hAnsiTheme="minorHAnsi" w:cstheme="minorBidi"/>
              <w:kern w:val="2"/>
              <w:szCs w:val="24"/>
              <w:lang w:val="en-IE"/>
              <w14:ligatures w14:val="standardContextual"/>
            </w:rPr>
          </w:pPr>
          <w:hyperlink w:anchor="_Toc230010423" w:history="1">
            <w:r w:rsidR="002A554E" w:rsidRPr="00C10676">
              <w:rPr>
                <w:rStyle w:val="Hyperlink"/>
              </w:rPr>
              <w:t>1.3.1.3.2.1</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Photoresist</w:t>
            </w:r>
            <w:r w:rsidR="002A554E">
              <w:rPr>
                <w:webHidden/>
              </w:rPr>
              <w:tab/>
            </w:r>
            <w:r w:rsidR="002A554E">
              <w:rPr>
                <w:webHidden/>
              </w:rPr>
              <w:fldChar w:fldCharType="begin"/>
            </w:r>
            <w:r w:rsidR="002A554E">
              <w:rPr>
                <w:webHidden/>
              </w:rPr>
              <w:instrText xml:space="preserve"> PAGEREF _Toc230010423 \h </w:instrText>
            </w:r>
            <w:r w:rsidR="002A554E">
              <w:rPr>
                <w:webHidden/>
              </w:rPr>
            </w:r>
            <w:r w:rsidR="002A554E">
              <w:rPr>
                <w:webHidden/>
              </w:rPr>
              <w:fldChar w:fldCharType="separate"/>
            </w:r>
            <w:r w:rsidR="00845BCE">
              <w:rPr>
                <w:webHidden/>
              </w:rPr>
              <w:t>75</w:t>
            </w:r>
            <w:r w:rsidR="002A554E">
              <w:rPr>
                <w:webHidden/>
              </w:rPr>
              <w:fldChar w:fldCharType="end"/>
            </w:r>
          </w:hyperlink>
        </w:p>
        <w:p w14:paraId="03514AA3" w14:textId="702A2180" w:rsidR="002A554E" w:rsidRDefault="0029590C">
          <w:pPr>
            <w:pStyle w:val="TOC4"/>
            <w:tabs>
              <w:tab w:val="left" w:pos="1855"/>
            </w:tabs>
            <w:rPr>
              <w:rFonts w:asciiTheme="minorHAnsi" w:eastAsiaTheme="minorEastAsia" w:hAnsiTheme="minorHAnsi" w:cstheme="minorBidi"/>
              <w:kern w:val="2"/>
              <w:szCs w:val="24"/>
              <w:lang w:val="en-IE"/>
              <w14:ligatures w14:val="standardContextual"/>
            </w:rPr>
          </w:pPr>
          <w:hyperlink w:anchor="_Toc230010424" w:history="1">
            <w:r w:rsidR="002A554E" w:rsidRPr="00C10676">
              <w:rPr>
                <w:rStyle w:val="Hyperlink"/>
              </w:rPr>
              <w:t>1.3.1.3.2.2</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Polysilicon</w:t>
            </w:r>
            <w:r w:rsidR="002A554E">
              <w:rPr>
                <w:webHidden/>
              </w:rPr>
              <w:tab/>
            </w:r>
            <w:r w:rsidR="002A554E">
              <w:rPr>
                <w:webHidden/>
              </w:rPr>
              <w:fldChar w:fldCharType="begin"/>
            </w:r>
            <w:r w:rsidR="002A554E">
              <w:rPr>
                <w:webHidden/>
              </w:rPr>
              <w:instrText xml:space="preserve"> PAGEREF _Toc230010424 \h </w:instrText>
            </w:r>
            <w:r w:rsidR="002A554E">
              <w:rPr>
                <w:webHidden/>
              </w:rPr>
            </w:r>
            <w:r w:rsidR="002A554E">
              <w:rPr>
                <w:webHidden/>
              </w:rPr>
              <w:fldChar w:fldCharType="separate"/>
            </w:r>
            <w:r w:rsidR="00845BCE">
              <w:rPr>
                <w:webHidden/>
              </w:rPr>
              <w:t>76</w:t>
            </w:r>
            <w:r w:rsidR="002A554E">
              <w:rPr>
                <w:webHidden/>
              </w:rPr>
              <w:fldChar w:fldCharType="end"/>
            </w:r>
          </w:hyperlink>
        </w:p>
        <w:p w14:paraId="60A8FEB8" w14:textId="53BC3A27" w:rsidR="002A554E" w:rsidRDefault="0029590C">
          <w:pPr>
            <w:pStyle w:val="TOC4"/>
            <w:tabs>
              <w:tab w:val="left" w:pos="1855"/>
            </w:tabs>
            <w:rPr>
              <w:rFonts w:asciiTheme="minorHAnsi" w:eastAsiaTheme="minorEastAsia" w:hAnsiTheme="minorHAnsi" w:cstheme="minorBidi"/>
              <w:kern w:val="2"/>
              <w:szCs w:val="24"/>
              <w:lang w:val="en-IE"/>
              <w14:ligatures w14:val="standardContextual"/>
            </w:rPr>
          </w:pPr>
          <w:hyperlink w:anchor="_Toc230010425" w:history="1">
            <w:r w:rsidR="002A554E" w:rsidRPr="00C10676">
              <w:rPr>
                <w:rStyle w:val="Hyperlink"/>
              </w:rPr>
              <w:t>1.3.1.3.2.3</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Precursors</w:t>
            </w:r>
            <w:r w:rsidR="002A554E">
              <w:rPr>
                <w:webHidden/>
              </w:rPr>
              <w:tab/>
            </w:r>
            <w:r w:rsidR="002A554E">
              <w:rPr>
                <w:webHidden/>
              </w:rPr>
              <w:fldChar w:fldCharType="begin"/>
            </w:r>
            <w:r w:rsidR="002A554E">
              <w:rPr>
                <w:webHidden/>
              </w:rPr>
              <w:instrText xml:space="preserve"> PAGEREF _Toc230010425 \h </w:instrText>
            </w:r>
            <w:r w:rsidR="002A554E">
              <w:rPr>
                <w:webHidden/>
              </w:rPr>
            </w:r>
            <w:r w:rsidR="002A554E">
              <w:rPr>
                <w:webHidden/>
              </w:rPr>
              <w:fldChar w:fldCharType="separate"/>
            </w:r>
            <w:r w:rsidR="00845BCE">
              <w:rPr>
                <w:webHidden/>
              </w:rPr>
              <w:t>76</w:t>
            </w:r>
            <w:r w:rsidR="002A554E">
              <w:rPr>
                <w:webHidden/>
              </w:rPr>
              <w:fldChar w:fldCharType="end"/>
            </w:r>
          </w:hyperlink>
        </w:p>
        <w:p w14:paraId="4E40B8D4" w14:textId="72BA5494" w:rsidR="002A554E" w:rsidRDefault="0029590C">
          <w:pPr>
            <w:pStyle w:val="TOC4"/>
            <w:rPr>
              <w:rFonts w:asciiTheme="minorHAnsi" w:eastAsiaTheme="minorEastAsia" w:hAnsiTheme="minorHAnsi" w:cstheme="minorBidi"/>
              <w:kern w:val="2"/>
              <w:szCs w:val="24"/>
              <w:lang w:val="en-IE"/>
              <w14:ligatures w14:val="standardContextual"/>
            </w:rPr>
          </w:pPr>
          <w:hyperlink w:anchor="_Toc230010426" w:history="1">
            <w:r w:rsidR="002A554E" w:rsidRPr="00C10676">
              <w:rPr>
                <w:rStyle w:val="Hyperlink"/>
              </w:rPr>
              <w:t>1.3.1.4</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Manufactured inputs</w:t>
            </w:r>
            <w:r w:rsidR="002A554E">
              <w:rPr>
                <w:webHidden/>
              </w:rPr>
              <w:tab/>
            </w:r>
            <w:r w:rsidR="002A554E">
              <w:rPr>
                <w:webHidden/>
              </w:rPr>
              <w:fldChar w:fldCharType="begin"/>
            </w:r>
            <w:r w:rsidR="002A554E">
              <w:rPr>
                <w:webHidden/>
              </w:rPr>
              <w:instrText xml:space="preserve"> PAGEREF _Toc230010426 \h </w:instrText>
            </w:r>
            <w:r w:rsidR="002A554E">
              <w:rPr>
                <w:webHidden/>
              </w:rPr>
            </w:r>
            <w:r w:rsidR="002A554E">
              <w:rPr>
                <w:webHidden/>
              </w:rPr>
              <w:fldChar w:fldCharType="separate"/>
            </w:r>
            <w:r w:rsidR="00845BCE">
              <w:rPr>
                <w:webHidden/>
              </w:rPr>
              <w:t>77</w:t>
            </w:r>
            <w:r w:rsidR="002A554E">
              <w:rPr>
                <w:webHidden/>
              </w:rPr>
              <w:fldChar w:fldCharType="end"/>
            </w:r>
          </w:hyperlink>
        </w:p>
        <w:p w14:paraId="23FF81A5" w14:textId="304B028E" w:rsidR="002A554E" w:rsidRDefault="0029590C">
          <w:pPr>
            <w:pStyle w:val="TOC4"/>
            <w:rPr>
              <w:rFonts w:asciiTheme="minorHAnsi" w:eastAsiaTheme="minorEastAsia" w:hAnsiTheme="minorHAnsi" w:cstheme="minorBidi"/>
              <w:kern w:val="2"/>
              <w:szCs w:val="24"/>
              <w:lang w:val="en-IE"/>
              <w14:ligatures w14:val="standardContextual"/>
            </w:rPr>
          </w:pPr>
          <w:hyperlink w:anchor="_Toc230010427" w:history="1">
            <w:r w:rsidR="002A554E" w:rsidRPr="00C10676">
              <w:rPr>
                <w:rStyle w:val="Hyperlink"/>
              </w:rPr>
              <w:t>1.3.1.4.1</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Front-end manufacturing</w:t>
            </w:r>
            <w:r w:rsidR="002A554E">
              <w:rPr>
                <w:webHidden/>
              </w:rPr>
              <w:tab/>
            </w:r>
            <w:r w:rsidR="002A554E">
              <w:rPr>
                <w:webHidden/>
              </w:rPr>
              <w:fldChar w:fldCharType="begin"/>
            </w:r>
            <w:r w:rsidR="002A554E">
              <w:rPr>
                <w:webHidden/>
              </w:rPr>
              <w:instrText xml:space="preserve"> PAGEREF _Toc230010427 \h </w:instrText>
            </w:r>
            <w:r w:rsidR="002A554E">
              <w:rPr>
                <w:webHidden/>
              </w:rPr>
            </w:r>
            <w:r w:rsidR="002A554E">
              <w:rPr>
                <w:webHidden/>
              </w:rPr>
              <w:fldChar w:fldCharType="separate"/>
            </w:r>
            <w:r w:rsidR="00845BCE">
              <w:rPr>
                <w:webHidden/>
              </w:rPr>
              <w:t>77</w:t>
            </w:r>
            <w:r w:rsidR="002A554E">
              <w:rPr>
                <w:webHidden/>
              </w:rPr>
              <w:fldChar w:fldCharType="end"/>
            </w:r>
          </w:hyperlink>
        </w:p>
        <w:p w14:paraId="1C1D6E9C" w14:textId="03889D44" w:rsidR="002A554E" w:rsidRDefault="0029590C">
          <w:pPr>
            <w:pStyle w:val="TOC4"/>
            <w:tabs>
              <w:tab w:val="left" w:pos="1855"/>
            </w:tabs>
            <w:rPr>
              <w:rFonts w:asciiTheme="minorHAnsi" w:eastAsiaTheme="minorEastAsia" w:hAnsiTheme="minorHAnsi" w:cstheme="minorBidi"/>
              <w:kern w:val="2"/>
              <w:szCs w:val="24"/>
              <w:lang w:val="en-IE"/>
              <w14:ligatures w14:val="standardContextual"/>
            </w:rPr>
          </w:pPr>
          <w:hyperlink w:anchor="_Toc230010428" w:history="1">
            <w:r w:rsidR="002A554E" w:rsidRPr="00C10676">
              <w:rPr>
                <w:rStyle w:val="Hyperlink"/>
              </w:rPr>
              <w:t>1.3.1.4.1.1</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Masks</w:t>
            </w:r>
            <w:r w:rsidR="002A554E">
              <w:rPr>
                <w:webHidden/>
              </w:rPr>
              <w:tab/>
            </w:r>
            <w:r w:rsidR="002A554E">
              <w:rPr>
                <w:webHidden/>
              </w:rPr>
              <w:fldChar w:fldCharType="begin"/>
            </w:r>
            <w:r w:rsidR="002A554E">
              <w:rPr>
                <w:webHidden/>
              </w:rPr>
              <w:instrText xml:space="preserve"> PAGEREF _Toc230010428 \h </w:instrText>
            </w:r>
            <w:r w:rsidR="002A554E">
              <w:rPr>
                <w:webHidden/>
              </w:rPr>
            </w:r>
            <w:r w:rsidR="002A554E">
              <w:rPr>
                <w:webHidden/>
              </w:rPr>
              <w:fldChar w:fldCharType="separate"/>
            </w:r>
            <w:r w:rsidR="00845BCE">
              <w:rPr>
                <w:webHidden/>
              </w:rPr>
              <w:t>77</w:t>
            </w:r>
            <w:r w:rsidR="002A554E">
              <w:rPr>
                <w:webHidden/>
              </w:rPr>
              <w:fldChar w:fldCharType="end"/>
            </w:r>
          </w:hyperlink>
        </w:p>
        <w:p w14:paraId="30291E14" w14:textId="5C3F636A" w:rsidR="002A554E" w:rsidRDefault="0029590C">
          <w:pPr>
            <w:pStyle w:val="TOC4"/>
            <w:rPr>
              <w:rFonts w:asciiTheme="minorHAnsi" w:eastAsiaTheme="minorEastAsia" w:hAnsiTheme="minorHAnsi" w:cstheme="minorBidi"/>
              <w:kern w:val="2"/>
              <w:szCs w:val="24"/>
              <w:lang w:val="en-IE"/>
              <w14:ligatures w14:val="standardContextual"/>
            </w:rPr>
          </w:pPr>
          <w:hyperlink w:anchor="_Toc230010429" w:history="1">
            <w:r w:rsidR="002A554E" w:rsidRPr="00C10676">
              <w:rPr>
                <w:rStyle w:val="Hyperlink"/>
              </w:rPr>
              <w:t>1.3.1.4.2</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Advanced packaging</w:t>
            </w:r>
            <w:r w:rsidR="002A554E">
              <w:rPr>
                <w:webHidden/>
              </w:rPr>
              <w:tab/>
            </w:r>
            <w:r w:rsidR="002A554E">
              <w:rPr>
                <w:webHidden/>
              </w:rPr>
              <w:fldChar w:fldCharType="begin"/>
            </w:r>
            <w:r w:rsidR="002A554E">
              <w:rPr>
                <w:webHidden/>
              </w:rPr>
              <w:instrText xml:space="preserve"> PAGEREF _Toc230010429 \h </w:instrText>
            </w:r>
            <w:r w:rsidR="002A554E">
              <w:rPr>
                <w:webHidden/>
              </w:rPr>
            </w:r>
            <w:r w:rsidR="002A554E">
              <w:rPr>
                <w:webHidden/>
              </w:rPr>
              <w:fldChar w:fldCharType="separate"/>
            </w:r>
            <w:r w:rsidR="00845BCE">
              <w:rPr>
                <w:webHidden/>
              </w:rPr>
              <w:t>77</w:t>
            </w:r>
            <w:r w:rsidR="002A554E">
              <w:rPr>
                <w:webHidden/>
              </w:rPr>
              <w:fldChar w:fldCharType="end"/>
            </w:r>
          </w:hyperlink>
        </w:p>
        <w:p w14:paraId="3473C314" w14:textId="7F1124CC" w:rsidR="002A554E" w:rsidRDefault="0029590C">
          <w:pPr>
            <w:pStyle w:val="TOC4"/>
            <w:tabs>
              <w:tab w:val="left" w:pos="1855"/>
            </w:tabs>
            <w:rPr>
              <w:rFonts w:asciiTheme="minorHAnsi" w:eastAsiaTheme="minorEastAsia" w:hAnsiTheme="minorHAnsi" w:cstheme="minorBidi"/>
              <w:kern w:val="2"/>
              <w:szCs w:val="24"/>
              <w:lang w:val="en-IE"/>
              <w14:ligatures w14:val="standardContextual"/>
            </w:rPr>
          </w:pPr>
          <w:hyperlink w:anchor="_Toc230010430" w:history="1">
            <w:r w:rsidR="002A554E" w:rsidRPr="00C10676">
              <w:rPr>
                <w:rStyle w:val="Hyperlink"/>
              </w:rPr>
              <w:t>1.3.1.4.2.1</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T-Glass</w:t>
            </w:r>
            <w:r w:rsidR="002A554E">
              <w:rPr>
                <w:webHidden/>
              </w:rPr>
              <w:tab/>
            </w:r>
            <w:r w:rsidR="002A554E">
              <w:rPr>
                <w:webHidden/>
              </w:rPr>
              <w:fldChar w:fldCharType="begin"/>
            </w:r>
            <w:r w:rsidR="002A554E">
              <w:rPr>
                <w:webHidden/>
              </w:rPr>
              <w:instrText xml:space="preserve"> PAGEREF _Toc230010430 \h </w:instrText>
            </w:r>
            <w:r w:rsidR="002A554E">
              <w:rPr>
                <w:webHidden/>
              </w:rPr>
            </w:r>
            <w:r w:rsidR="002A554E">
              <w:rPr>
                <w:webHidden/>
              </w:rPr>
              <w:fldChar w:fldCharType="separate"/>
            </w:r>
            <w:r w:rsidR="00845BCE">
              <w:rPr>
                <w:webHidden/>
              </w:rPr>
              <w:t>77</w:t>
            </w:r>
            <w:r w:rsidR="002A554E">
              <w:rPr>
                <w:webHidden/>
              </w:rPr>
              <w:fldChar w:fldCharType="end"/>
            </w:r>
          </w:hyperlink>
        </w:p>
        <w:p w14:paraId="580F99A0" w14:textId="4E85856C" w:rsidR="002A554E" w:rsidRDefault="0029590C">
          <w:pPr>
            <w:pStyle w:val="TOC4"/>
            <w:tabs>
              <w:tab w:val="left" w:pos="1855"/>
            </w:tabs>
            <w:rPr>
              <w:rFonts w:asciiTheme="minorHAnsi" w:eastAsiaTheme="minorEastAsia" w:hAnsiTheme="minorHAnsi" w:cstheme="minorBidi"/>
              <w:kern w:val="2"/>
              <w:szCs w:val="24"/>
              <w:lang w:val="en-IE"/>
              <w14:ligatures w14:val="standardContextual"/>
            </w:rPr>
          </w:pPr>
          <w:hyperlink w:anchor="_Toc230010431" w:history="1">
            <w:r w:rsidR="002A554E" w:rsidRPr="00C10676">
              <w:rPr>
                <w:rStyle w:val="Hyperlink"/>
              </w:rPr>
              <w:t>1.3.1.4.2.2</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Dielectric polymer film</w:t>
            </w:r>
            <w:r w:rsidR="002A554E">
              <w:rPr>
                <w:webHidden/>
              </w:rPr>
              <w:tab/>
            </w:r>
            <w:r w:rsidR="002A554E">
              <w:rPr>
                <w:webHidden/>
              </w:rPr>
              <w:fldChar w:fldCharType="begin"/>
            </w:r>
            <w:r w:rsidR="002A554E">
              <w:rPr>
                <w:webHidden/>
              </w:rPr>
              <w:instrText xml:space="preserve"> PAGEREF _Toc230010431 \h </w:instrText>
            </w:r>
            <w:r w:rsidR="002A554E">
              <w:rPr>
                <w:webHidden/>
              </w:rPr>
            </w:r>
            <w:r w:rsidR="002A554E">
              <w:rPr>
                <w:webHidden/>
              </w:rPr>
              <w:fldChar w:fldCharType="separate"/>
            </w:r>
            <w:r w:rsidR="00845BCE">
              <w:rPr>
                <w:webHidden/>
              </w:rPr>
              <w:t>78</w:t>
            </w:r>
            <w:r w:rsidR="002A554E">
              <w:rPr>
                <w:webHidden/>
              </w:rPr>
              <w:fldChar w:fldCharType="end"/>
            </w:r>
          </w:hyperlink>
        </w:p>
        <w:p w14:paraId="69857447" w14:textId="205BC1FE" w:rsidR="002A554E" w:rsidRDefault="0029590C">
          <w:pPr>
            <w:pStyle w:val="TOC4"/>
            <w:rPr>
              <w:rFonts w:asciiTheme="minorHAnsi" w:eastAsiaTheme="minorEastAsia" w:hAnsiTheme="minorHAnsi" w:cstheme="minorBidi"/>
              <w:kern w:val="2"/>
              <w:szCs w:val="24"/>
              <w:lang w:val="en-IE"/>
              <w14:ligatures w14:val="standardContextual"/>
            </w:rPr>
          </w:pPr>
          <w:hyperlink w:anchor="_Toc230010432" w:history="1">
            <w:r w:rsidR="002A554E" w:rsidRPr="00C10676">
              <w:rPr>
                <w:rStyle w:val="Hyperlink"/>
              </w:rPr>
              <w:t>1.3.1.5</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Manufacturing equipment ()</w:t>
            </w:r>
            <w:r w:rsidR="002A554E">
              <w:rPr>
                <w:webHidden/>
              </w:rPr>
              <w:tab/>
            </w:r>
            <w:r w:rsidR="002A554E">
              <w:rPr>
                <w:webHidden/>
              </w:rPr>
              <w:fldChar w:fldCharType="begin"/>
            </w:r>
            <w:r w:rsidR="002A554E">
              <w:rPr>
                <w:webHidden/>
              </w:rPr>
              <w:instrText xml:space="preserve"> PAGEREF _Toc230010432 \h </w:instrText>
            </w:r>
            <w:r w:rsidR="002A554E">
              <w:rPr>
                <w:webHidden/>
              </w:rPr>
            </w:r>
            <w:r w:rsidR="002A554E">
              <w:rPr>
                <w:webHidden/>
              </w:rPr>
              <w:fldChar w:fldCharType="separate"/>
            </w:r>
            <w:r w:rsidR="00845BCE">
              <w:rPr>
                <w:webHidden/>
              </w:rPr>
              <w:t>78</w:t>
            </w:r>
            <w:r w:rsidR="002A554E">
              <w:rPr>
                <w:webHidden/>
              </w:rPr>
              <w:fldChar w:fldCharType="end"/>
            </w:r>
          </w:hyperlink>
        </w:p>
        <w:p w14:paraId="3FCAA9E0" w14:textId="21AA3B7B" w:rsidR="002A554E" w:rsidRDefault="0029590C">
          <w:pPr>
            <w:pStyle w:val="TOC4"/>
            <w:rPr>
              <w:rFonts w:asciiTheme="minorHAnsi" w:eastAsiaTheme="minorEastAsia" w:hAnsiTheme="minorHAnsi" w:cstheme="minorBidi"/>
              <w:kern w:val="2"/>
              <w:szCs w:val="24"/>
              <w:lang w:val="en-IE"/>
              <w14:ligatures w14:val="standardContextual"/>
            </w:rPr>
          </w:pPr>
          <w:hyperlink w:anchor="_Toc230010433" w:history="1">
            <w:r w:rsidR="002A554E" w:rsidRPr="00C10676">
              <w:rPr>
                <w:rStyle w:val="Hyperlink"/>
              </w:rPr>
              <w:t>1.3.1.5.1</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Front end equipment</w:t>
            </w:r>
            <w:r w:rsidR="002A554E">
              <w:rPr>
                <w:webHidden/>
              </w:rPr>
              <w:tab/>
            </w:r>
            <w:r w:rsidR="002A554E">
              <w:rPr>
                <w:webHidden/>
              </w:rPr>
              <w:fldChar w:fldCharType="begin"/>
            </w:r>
            <w:r w:rsidR="002A554E">
              <w:rPr>
                <w:webHidden/>
              </w:rPr>
              <w:instrText xml:space="preserve"> PAGEREF _Toc230010433 \h </w:instrText>
            </w:r>
            <w:r w:rsidR="002A554E">
              <w:rPr>
                <w:webHidden/>
              </w:rPr>
            </w:r>
            <w:r w:rsidR="002A554E">
              <w:rPr>
                <w:webHidden/>
              </w:rPr>
              <w:fldChar w:fldCharType="separate"/>
            </w:r>
            <w:r w:rsidR="00845BCE">
              <w:rPr>
                <w:webHidden/>
              </w:rPr>
              <w:t>78</w:t>
            </w:r>
            <w:r w:rsidR="002A554E">
              <w:rPr>
                <w:webHidden/>
              </w:rPr>
              <w:fldChar w:fldCharType="end"/>
            </w:r>
          </w:hyperlink>
        </w:p>
        <w:p w14:paraId="5CE3C74C" w14:textId="5A6DF434" w:rsidR="002A554E" w:rsidRDefault="0029590C">
          <w:pPr>
            <w:pStyle w:val="TOC4"/>
            <w:tabs>
              <w:tab w:val="left" w:pos="1855"/>
            </w:tabs>
            <w:rPr>
              <w:rFonts w:asciiTheme="minorHAnsi" w:eastAsiaTheme="minorEastAsia" w:hAnsiTheme="minorHAnsi" w:cstheme="minorBidi"/>
              <w:kern w:val="2"/>
              <w:szCs w:val="24"/>
              <w:lang w:val="en-IE"/>
              <w14:ligatures w14:val="standardContextual"/>
            </w:rPr>
          </w:pPr>
          <w:hyperlink w:anchor="_Toc230010434" w:history="1">
            <w:r w:rsidR="002A554E" w:rsidRPr="00C10676">
              <w:rPr>
                <w:rStyle w:val="Hyperlink"/>
              </w:rPr>
              <w:t>1.3.1.5.1.1</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Deposition</w:t>
            </w:r>
            <w:r w:rsidR="002A554E">
              <w:rPr>
                <w:webHidden/>
              </w:rPr>
              <w:tab/>
            </w:r>
            <w:r w:rsidR="002A554E">
              <w:rPr>
                <w:webHidden/>
              </w:rPr>
              <w:fldChar w:fldCharType="begin"/>
            </w:r>
            <w:r w:rsidR="002A554E">
              <w:rPr>
                <w:webHidden/>
              </w:rPr>
              <w:instrText xml:space="preserve"> PAGEREF _Toc230010434 \h </w:instrText>
            </w:r>
            <w:r w:rsidR="002A554E">
              <w:rPr>
                <w:webHidden/>
              </w:rPr>
            </w:r>
            <w:r w:rsidR="002A554E">
              <w:rPr>
                <w:webHidden/>
              </w:rPr>
              <w:fldChar w:fldCharType="separate"/>
            </w:r>
            <w:r w:rsidR="00845BCE">
              <w:rPr>
                <w:webHidden/>
              </w:rPr>
              <w:t>78</w:t>
            </w:r>
            <w:r w:rsidR="002A554E">
              <w:rPr>
                <w:webHidden/>
              </w:rPr>
              <w:fldChar w:fldCharType="end"/>
            </w:r>
          </w:hyperlink>
        </w:p>
        <w:p w14:paraId="29618F0B" w14:textId="2D21A078" w:rsidR="002A554E" w:rsidRDefault="0029590C">
          <w:pPr>
            <w:pStyle w:val="TOC4"/>
            <w:tabs>
              <w:tab w:val="left" w:pos="1855"/>
            </w:tabs>
            <w:rPr>
              <w:rFonts w:asciiTheme="minorHAnsi" w:eastAsiaTheme="minorEastAsia" w:hAnsiTheme="minorHAnsi" w:cstheme="minorBidi"/>
              <w:kern w:val="2"/>
              <w:szCs w:val="24"/>
              <w:lang w:val="en-IE"/>
              <w14:ligatures w14:val="standardContextual"/>
            </w:rPr>
          </w:pPr>
          <w:hyperlink w:anchor="_Toc230010435" w:history="1">
            <w:r w:rsidR="002A554E" w:rsidRPr="00C10676">
              <w:rPr>
                <w:rStyle w:val="Hyperlink"/>
              </w:rPr>
              <w:t>1.3.1.5.1.2</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Lithography</w:t>
            </w:r>
            <w:r w:rsidR="002A554E">
              <w:rPr>
                <w:webHidden/>
              </w:rPr>
              <w:tab/>
            </w:r>
            <w:r w:rsidR="002A554E">
              <w:rPr>
                <w:webHidden/>
              </w:rPr>
              <w:fldChar w:fldCharType="begin"/>
            </w:r>
            <w:r w:rsidR="002A554E">
              <w:rPr>
                <w:webHidden/>
              </w:rPr>
              <w:instrText xml:space="preserve"> PAGEREF _Toc230010435 \h </w:instrText>
            </w:r>
            <w:r w:rsidR="002A554E">
              <w:rPr>
                <w:webHidden/>
              </w:rPr>
            </w:r>
            <w:r w:rsidR="002A554E">
              <w:rPr>
                <w:webHidden/>
              </w:rPr>
              <w:fldChar w:fldCharType="separate"/>
            </w:r>
            <w:r w:rsidR="00845BCE">
              <w:rPr>
                <w:webHidden/>
              </w:rPr>
              <w:t>79</w:t>
            </w:r>
            <w:r w:rsidR="002A554E">
              <w:rPr>
                <w:webHidden/>
              </w:rPr>
              <w:fldChar w:fldCharType="end"/>
            </w:r>
          </w:hyperlink>
        </w:p>
        <w:p w14:paraId="1EB96A12" w14:textId="7D5BE748" w:rsidR="002A554E" w:rsidRDefault="0029590C">
          <w:pPr>
            <w:pStyle w:val="TOC4"/>
            <w:tabs>
              <w:tab w:val="left" w:pos="1855"/>
            </w:tabs>
            <w:rPr>
              <w:rFonts w:asciiTheme="minorHAnsi" w:eastAsiaTheme="minorEastAsia" w:hAnsiTheme="minorHAnsi" w:cstheme="minorBidi"/>
              <w:kern w:val="2"/>
              <w:szCs w:val="24"/>
              <w:lang w:val="en-IE"/>
              <w14:ligatures w14:val="standardContextual"/>
            </w:rPr>
          </w:pPr>
          <w:hyperlink w:anchor="_Toc230010436" w:history="1">
            <w:r w:rsidR="002A554E" w:rsidRPr="00C10676">
              <w:rPr>
                <w:rStyle w:val="Hyperlink"/>
              </w:rPr>
              <w:t>1.3.1.5.1.3</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Etch</w:t>
            </w:r>
            <w:r w:rsidR="002A554E">
              <w:rPr>
                <w:webHidden/>
              </w:rPr>
              <w:tab/>
            </w:r>
            <w:r w:rsidR="002A554E">
              <w:rPr>
                <w:webHidden/>
              </w:rPr>
              <w:fldChar w:fldCharType="begin"/>
            </w:r>
            <w:r w:rsidR="002A554E">
              <w:rPr>
                <w:webHidden/>
              </w:rPr>
              <w:instrText xml:space="preserve"> PAGEREF _Toc230010436 \h </w:instrText>
            </w:r>
            <w:r w:rsidR="002A554E">
              <w:rPr>
                <w:webHidden/>
              </w:rPr>
            </w:r>
            <w:r w:rsidR="002A554E">
              <w:rPr>
                <w:webHidden/>
              </w:rPr>
              <w:fldChar w:fldCharType="separate"/>
            </w:r>
            <w:r w:rsidR="00845BCE">
              <w:rPr>
                <w:webHidden/>
              </w:rPr>
              <w:t>79</w:t>
            </w:r>
            <w:r w:rsidR="002A554E">
              <w:rPr>
                <w:webHidden/>
              </w:rPr>
              <w:fldChar w:fldCharType="end"/>
            </w:r>
          </w:hyperlink>
        </w:p>
        <w:p w14:paraId="4A26FC8B" w14:textId="3C6BF994" w:rsidR="002A554E" w:rsidRDefault="0029590C">
          <w:pPr>
            <w:pStyle w:val="TOC4"/>
            <w:tabs>
              <w:tab w:val="left" w:pos="1855"/>
            </w:tabs>
            <w:rPr>
              <w:rFonts w:asciiTheme="minorHAnsi" w:eastAsiaTheme="minorEastAsia" w:hAnsiTheme="minorHAnsi" w:cstheme="minorBidi"/>
              <w:kern w:val="2"/>
              <w:szCs w:val="24"/>
              <w:lang w:val="en-IE"/>
              <w14:ligatures w14:val="standardContextual"/>
            </w:rPr>
          </w:pPr>
          <w:hyperlink w:anchor="_Toc230010437" w:history="1">
            <w:r w:rsidR="002A554E" w:rsidRPr="00C10676">
              <w:rPr>
                <w:rStyle w:val="Hyperlink"/>
              </w:rPr>
              <w:t>1.3.1.5.1.4</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Clean</w:t>
            </w:r>
            <w:r w:rsidR="002A554E">
              <w:rPr>
                <w:webHidden/>
              </w:rPr>
              <w:tab/>
            </w:r>
            <w:r w:rsidR="002A554E">
              <w:rPr>
                <w:webHidden/>
              </w:rPr>
              <w:fldChar w:fldCharType="begin"/>
            </w:r>
            <w:r w:rsidR="002A554E">
              <w:rPr>
                <w:webHidden/>
              </w:rPr>
              <w:instrText xml:space="preserve"> PAGEREF _Toc230010437 \h </w:instrText>
            </w:r>
            <w:r w:rsidR="002A554E">
              <w:rPr>
                <w:webHidden/>
              </w:rPr>
            </w:r>
            <w:r w:rsidR="002A554E">
              <w:rPr>
                <w:webHidden/>
              </w:rPr>
              <w:fldChar w:fldCharType="separate"/>
            </w:r>
            <w:r w:rsidR="00845BCE">
              <w:rPr>
                <w:webHidden/>
              </w:rPr>
              <w:t>80</w:t>
            </w:r>
            <w:r w:rsidR="002A554E">
              <w:rPr>
                <w:webHidden/>
              </w:rPr>
              <w:fldChar w:fldCharType="end"/>
            </w:r>
          </w:hyperlink>
        </w:p>
        <w:p w14:paraId="54B34FB0" w14:textId="29438AB9" w:rsidR="002A554E" w:rsidRDefault="0029590C">
          <w:pPr>
            <w:pStyle w:val="TOC4"/>
            <w:tabs>
              <w:tab w:val="left" w:pos="1855"/>
            </w:tabs>
            <w:rPr>
              <w:rFonts w:asciiTheme="minorHAnsi" w:eastAsiaTheme="minorEastAsia" w:hAnsiTheme="minorHAnsi" w:cstheme="minorBidi"/>
              <w:kern w:val="2"/>
              <w:szCs w:val="24"/>
              <w:lang w:val="en-IE"/>
              <w14:ligatures w14:val="standardContextual"/>
            </w:rPr>
          </w:pPr>
          <w:hyperlink w:anchor="_Toc230010438" w:history="1">
            <w:r w:rsidR="002A554E" w:rsidRPr="00C10676">
              <w:rPr>
                <w:rStyle w:val="Hyperlink"/>
              </w:rPr>
              <w:t>1.3.1.5.1.5</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Metrology and inspection</w:t>
            </w:r>
            <w:r w:rsidR="002A554E">
              <w:rPr>
                <w:webHidden/>
              </w:rPr>
              <w:tab/>
            </w:r>
            <w:r w:rsidR="002A554E">
              <w:rPr>
                <w:webHidden/>
              </w:rPr>
              <w:fldChar w:fldCharType="begin"/>
            </w:r>
            <w:r w:rsidR="002A554E">
              <w:rPr>
                <w:webHidden/>
              </w:rPr>
              <w:instrText xml:space="preserve"> PAGEREF _Toc230010438 \h </w:instrText>
            </w:r>
            <w:r w:rsidR="002A554E">
              <w:rPr>
                <w:webHidden/>
              </w:rPr>
            </w:r>
            <w:r w:rsidR="002A554E">
              <w:rPr>
                <w:webHidden/>
              </w:rPr>
              <w:fldChar w:fldCharType="separate"/>
            </w:r>
            <w:r w:rsidR="00845BCE">
              <w:rPr>
                <w:webHidden/>
              </w:rPr>
              <w:t>80</w:t>
            </w:r>
            <w:r w:rsidR="002A554E">
              <w:rPr>
                <w:webHidden/>
              </w:rPr>
              <w:fldChar w:fldCharType="end"/>
            </w:r>
          </w:hyperlink>
        </w:p>
        <w:p w14:paraId="7E05020D" w14:textId="3F44E31F" w:rsidR="002A554E" w:rsidRDefault="0029590C">
          <w:pPr>
            <w:pStyle w:val="TOC4"/>
            <w:tabs>
              <w:tab w:val="left" w:pos="1855"/>
            </w:tabs>
            <w:rPr>
              <w:rFonts w:asciiTheme="minorHAnsi" w:eastAsiaTheme="minorEastAsia" w:hAnsiTheme="minorHAnsi" w:cstheme="minorBidi"/>
              <w:kern w:val="2"/>
              <w:szCs w:val="24"/>
              <w:lang w:val="en-IE"/>
              <w14:ligatures w14:val="standardContextual"/>
            </w:rPr>
          </w:pPr>
          <w:hyperlink w:anchor="_Toc230010439" w:history="1">
            <w:r w:rsidR="002A554E" w:rsidRPr="00C10676">
              <w:rPr>
                <w:rStyle w:val="Hyperlink"/>
              </w:rPr>
              <w:t>1.3.1.5.1.6</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Planarisation</w:t>
            </w:r>
            <w:r w:rsidR="002A554E">
              <w:rPr>
                <w:webHidden/>
              </w:rPr>
              <w:tab/>
            </w:r>
            <w:r w:rsidR="002A554E">
              <w:rPr>
                <w:webHidden/>
              </w:rPr>
              <w:fldChar w:fldCharType="begin"/>
            </w:r>
            <w:r w:rsidR="002A554E">
              <w:rPr>
                <w:webHidden/>
              </w:rPr>
              <w:instrText xml:space="preserve"> PAGEREF _Toc230010439 \h </w:instrText>
            </w:r>
            <w:r w:rsidR="002A554E">
              <w:rPr>
                <w:webHidden/>
              </w:rPr>
            </w:r>
            <w:r w:rsidR="002A554E">
              <w:rPr>
                <w:webHidden/>
              </w:rPr>
              <w:fldChar w:fldCharType="separate"/>
            </w:r>
            <w:r w:rsidR="00845BCE">
              <w:rPr>
                <w:webHidden/>
              </w:rPr>
              <w:t>80</w:t>
            </w:r>
            <w:r w:rsidR="002A554E">
              <w:rPr>
                <w:webHidden/>
              </w:rPr>
              <w:fldChar w:fldCharType="end"/>
            </w:r>
          </w:hyperlink>
        </w:p>
        <w:p w14:paraId="212CBB3D" w14:textId="4BE18387" w:rsidR="002A554E" w:rsidRDefault="0029590C">
          <w:pPr>
            <w:pStyle w:val="TOC4"/>
            <w:rPr>
              <w:rFonts w:asciiTheme="minorHAnsi" w:eastAsiaTheme="minorEastAsia" w:hAnsiTheme="minorHAnsi" w:cstheme="minorBidi"/>
              <w:kern w:val="2"/>
              <w:szCs w:val="24"/>
              <w:lang w:val="en-IE"/>
              <w14:ligatures w14:val="standardContextual"/>
            </w:rPr>
          </w:pPr>
          <w:hyperlink w:anchor="_Toc230010440" w:history="1">
            <w:r w:rsidR="002A554E" w:rsidRPr="00C10676">
              <w:rPr>
                <w:rStyle w:val="Hyperlink"/>
              </w:rPr>
              <w:t>1.3.1.5.2</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Back-end</w:t>
            </w:r>
            <w:r w:rsidR="002A554E">
              <w:rPr>
                <w:webHidden/>
              </w:rPr>
              <w:tab/>
            </w:r>
            <w:r w:rsidR="002A554E">
              <w:rPr>
                <w:webHidden/>
              </w:rPr>
              <w:fldChar w:fldCharType="begin"/>
            </w:r>
            <w:r w:rsidR="002A554E">
              <w:rPr>
                <w:webHidden/>
              </w:rPr>
              <w:instrText xml:space="preserve"> PAGEREF _Toc230010440 \h </w:instrText>
            </w:r>
            <w:r w:rsidR="002A554E">
              <w:rPr>
                <w:webHidden/>
              </w:rPr>
            </w:r>
            <w:r w:rsidR="002A554E">
              <w:rPr>
                <w:webHidden/>
              </w:rPr>
              <w:fldChar w:fldCharType="separate"/>
            </w:r>
            <w:r w:rsidR="00845BCE">
              <w:rPr>
                <w:webHidden/>
              </w:rPr>
              <w:t>81</w:t>
            </w:r>
            <w:r w:rsidR="002A554E">
              <w:rPr>
                <w:webHidden/>
              </w:rPr>
              <w:fldChar w:fldCharType="end"/>
            </w:r>
          </w:hyperlink>
        </w:p>
        <w:p w14:paraId="4C17D938" w14:textId="11030DF8" w:rsidR="002A554E" w:rsidRDefault="0029590C">
          <w:pPr>
            <w:pStyle w:val="TOC4"/>
            <w:tabs>
              <w:tab w:val="left" w:pos="1855"/>
            </w:tabs>
            <w:rPr>
              <w:rFonts w:asciiTheme="minorHAnsi" w:eastAsiaTheme="minorEastAsia" w:hAnsiTheme="minorHAnsi" w:cstheme="minorBidi"/>
              <w:kern w:val="2"/>
              <w:szCs w:val="24"/>
              <w:lang w:val="en-IE"/>
              <w14:ligatures w14:val="standardContextual"/>
            </w:rPr>
          </w:pPr>
          <w:hyperlink w:anchor="_Toc230010441" w:history="1">
            <w:r w:rsidR="002A554E" w:rsidRPr="00C10676">
              <w:rPr>
                <w:rStyle w:val="Hyperlink"/>
              </w:rPr>
              <w:t>1.3.1.5.2.1</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Wafer dicing and thinning</w:t>
            </w:r>
            <w:r w:rsidR="002A554E">
              <w:rPr>
                <w:webHidden/>
              </w:rPr>
              <w:tab/>
            </w:r>
            <w:r w:rsidR="002A554E">
              <w:rPr>
                <w:webHidden/>
              </w:rPr>
              <w:fldChar w:fldCharType="begin"/>
            </w:r>
            <w:r w:rsidR="002A554E">
              <w:rPr>
                <w:webHidden/>
              </w:rPr>
              <w:instrText xml:space="preserve"> PAGEREF _Toc230010441 \h </w:instrText>
            </w:r>
            <w:r w:rsidR="002A554E">
              <w:rPr>
                <w:webHidden/>
              </w:rPr>
            </w:r>
            <w:r w:rsidR="002A554E">
              <w:rPr>
                <w:webHidden/>
              </w:rPr>
              <w:fldChar w:fldCharType="separate"/>
            </w:r>
            <w:r w:rsidR="00845BCE">
              <w:rPr>
                <w:webHidden/>
              </w:rPr>
              <w:t>81</w:t>
            </w:r>
            <w:r w:rsidR="002A554E">
              <w:rPr>
                <w:webHidden/>
              </w:rPr>
              <w:fldChar w:fldCharType="end"/>
            </w:r>
          </w:hyperlink>
        </w:p>
        <w:p w14:paraId="49F50CD0" w14:textId="6F58634E" w:rsidR="002A554E" w:rsidRDefault="0029590C">
          <w:pPr>
            <w:pStyle w:val="TOC4"/>
            <w:tabs>
              <w:tab w:val="left" w:pos="1855"/>
            </w:tabs>
            <w:rPr>
              <w:rFonts w:asciiTheme="minorHAnsi" w:eastAsiaTheme="minorEastAsia" w:hAnsiTheme="minorHAnsi" w:cstheme="minorBidi"/>
              <w:kern w:val="2"/>
              <w:szCs w:val="24"/>
              <w:lang w:val="en-IE"/>
              <w14:ligatures w14:val="standardContextual"/>
            </w:rPr>
          </w:pPr>
          <w:hyperlink w:anchor="_Toc230010442" w:history="1">
            <w:r w:rsidR="002A554E" w:rsidRPr="00C10676">
              <w:rPr>
                <w:rStyle w:val="Hyperlink"/>
              </w:rPr>
              <w:t>1.3.1.5.2.2</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Bonding and interconnect</w:t>
            </w:r>
            <w:r w:rsidR="002A554E">
              <w:rPr>
                <w:webHidden/>
              </w:rPr>
              <w:tab/>
            </w:r>
            <w:r w:rsidR="002A554E">
              <w:rPr>
                <w:webHidden/>
              </w:rPr>
              <w:fldChar w:fldCharType="begin"/>
            </w:r>
            <w:r w:rsidR="002A554E">
              <w:rPr>
                <w:webHidden/>
              </w:rPr>
              <w:instrText xml:space="preserve"> PAGEREF _Toc230010442 \h </w:instrText>
            </w:r>
            <w:r w:rsidR="002A554E">
              <w:rPr>
                <w:webHidden/>
              </w:rPr>
            </w:r>
            <w:r w:rsidR="002A554E">
              <w:rPr>
                <w:webHidden/>
              </w:rPr>
              <w:fldChar w:fldCharType="separate"/>
            </w:r>
            <w:r w:rsidR="00845BCE">
              <w:rPr>
                <w:webHidden/>
              </w:rPr>
              <w:t>82</w:t>
            </w:r>
            <w:r w:rsidR="002A554E">
              <w:rPr>
                <w:webHidden/>
              </w:rPr>
              <w:fldChar w:fldCharType="end"/>
            </w:r>
          </w:hyperlink>
        </w:p>
        <w:p w14:paraId="58F96EBD" w14:textId="00F93CD0" w:rsidR="002A554E" w:rsidRDefault="0029590C">
          <w:pPr>
            <w:pStyle w:val="TOC4"/>
            <w:tabs>
              <w:tab w:val="left" w:pos="1855"/>
            </w:tabs>
            <w:rPr>
              <w:rFonts w:asciiTheme="minorHAnsi" w:eastAsiaTheme="minorEastAsia" w:hAnsiTheme="minorHAnsi" w:cstheme="minorBidi"/>
              <w:kern w:val="2"/>
              <w:szCs w:val="24"/>
              <w:lang w:val="en-IE"/>
              <w14:ligatures w14:val="standardContextual"/>
            </w:rPr>
          </w:pPr>
          <w:hyperlink w:anchor="_Toc230010443" w:history="1">
            <w:r w:rsidR="002A554E" w:rsidRPr="00C10676">
              <w:rPr>
                <w:rStyle w:val="Hyperlink"/>
              </w:rPr>
              <w:t>1.3.1.5.2.3</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Moulding, sealing and finishing</w:t>
            </w:r>
            <w:r w:rsidR="002A554E">
              <w:rPr>
                <w:webHidden/>
              </w:rPr>
              <w:tab/>
            </w:r>
            <w:r w:rsidR="002A554E">
              <w:rPr>
                <w:webHidden/>
              </w:rPr>
              <w:fldChar w:fldCharType="begin"/>
            </w:r>
            <w:r w:rsidR="002A554E">
              <w:rPr>
                <w:webHidden/>
              </w:rPr>
              <w:instrText xml:space="preserve"> PAGEREF _Toc230010443 \h </w:instrText>
            </w:r>
            <w:r w:rsidR="002A554E">
              <w:rPr>
                <w:webHidden/>
              </w:rPr>
            </w:r>
            <w:r w:rsidR="002A554E">
              <w:rPr>
                <w:webHidden/>
              </w:rPr>
              <w:fldChar w:fldCharType="separate"/>
            </w:r>
            <w:r w:rsidR="00845BCE">
              <w:rPr>
                <w:webHidden/>
              </w:rPr>
              <w:t>82</w:t>
            </w:r>
            <w:r w:rsidR="002A554E">
              <w:rPr>
                <w:webHidden/>
              </w:rPr>
              <w:fldChar w:fldCharType="end"/>
            </w:r>
          </w:hyperlink>
        </w:p>
        <w:p w14:paraId="741A2711" w14:textId="6ADF3538" w:rsidR="002A554E" w:rsidRDefault="0029590C">
          <w:pPr>
            <w:pStyle w:val="TOC4"/>
            <w:tabs>
              <w:tab w:val="left" w:pos="1855"/>
            </w:tabs>
            <w:rPr>
              <w:rFonts w:asciiTheme="minorHAnsi" w:eastAsiaTheme="minorEastAsia" w:hAnsiTheme="minorHAnsi" w:cstheme="minorBidi"/>
              <w:kern w:val="2"/>
              <w:szCs w:val="24"/>
              <w:lang w:val="en-IE"/>
              <w14:ligatures w14:val="standardContextual"/>
            </w:rPr>
          </w:pPr>
          <w:hyperlink w:anchor="_Toc230010444" w:history="1">
            <w:r w:rsidR="002A554E" w:rsidRPr="00C10676">
              <w:rPr>
                <w:rStyle w:val="Hyperlink"/>
              </w:rPr>
              <w:t>1.3.1.5.2.4</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Inspection and handling</w:t>
            </w:r>
            <w:r w:rsidR="002A554E">
              <w:rPr>
                <w:webHidden/>
              </w:rPr>
              <w:tab/>
            </w:r>
            <w:r w:rsidR="002A554E">
              <w:rPr>
                <w:webHidden/>
              </w:rPr>
              <w:fldChar w:fldCharType="begin"/>
            </w:r>
            <w:r w:rsidR="002A554E">
              <w:rPr>
                <w:webHidden/>
              </w:rPr>
              <w:instrText xml:space="preserve"> PAGEREF _Toc230010444 \h </w:instrText>
            </w:r>
            <w:r w:rsidR="002A554E">
              <w:rPr>
                <w:webHidden/>
              </w:rPr>
            </w:r>
            <w:r w:rsidR="002A554E">
              <w:rPr>
                <w:webHidden/>
              </w:rPr>
              <w:fldChar w:fldCharType="separate"/>
            </w:r>
            <w:r w:rsidR="00845BCE">
              <w:rPr>
                <w:webHidden/>
              </w:rPr>
              <w:t>82</w:t>
            </w:r>
            <w:r w:rsidR="002A554E">
              <w:rPr>
                <w:webHidden/>
              </w:rPr>
              <w:fldChar w:fldCharType="end"/>
            </w:r>
          </w:hyperlink>
        </w:p>
        <w:p w14:paraId="2A59B249" w14:textId="7D0C783A" w:rsidR="002A554E" w:rsidRDefault="0029590C">
          <w:pPr>
            <w:pStyle w:val="TOC4"/>
            <w:tabs>
              <w:tab w:val="left" w:pos="1855"/>
            </w:tabs>
            <w:rPr>
              <w:rFonts w:asciiTheme="minorHAnsi" w:eastAsiaTheme="minorEastAsia" w:hAnsiTheme="minorHAnsi" w:cstheme="minorBidi"/>
              <w:kern w:val="2"/>
              <w:szCs w:val="24"/>
              <w:lang w:val="en-IE"/>
              <w14:ligatures w14:val="standardContextual"/>
            </w:rPr>
          </w:pPr>
          <w:hyperlink w:anchor="_Toc230010445" w:history="1">
            <w:r w:rsidR="002A554E" w:rsidRPr="00C10676">
              <w:rPr>
                <w:rStyle w:val="Hyperlink"/>
              </w:rPr>
              <w:t>1.3.1.5.2.5</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rPr>
              <w:t>Test equipment</w:t>
            </w:r>
            <w:r w:rsidR="002A554E">
              <w:rPr>
                <w:webHidden/>
              </w:rPr>
              <w:tab/>
            </w:r>
            <w:r w:rsidR="002A554E">
              <w:rPr>
                <w:webHidden/>
              </w:rPr>
              <w:fldChar w:fldCharType="begin"/>
            </w:r>
            <w:r w:rsidR="002A554E">
              <w:rPr>
                <w:webHidden/>
              </w:rPr>
              <w:instrText xml:space="preserve"> PAGEREF _Toc230010445 \h </w:instrText>
            </w:r>
            <w:r w:rsidR="002A554E">
              <w:rPr>
                <w:webHidden/>
              </w:rPr>
            </w:r>
            <w:r w:rsidR="002A554E">
              <w:rPr>
                <w:webHidden/>
              </w:rPr>
              <w:fldChar w:fldCharType="separate"/>
            </w:r>
            <w:r w:rsidR="00845BCE">
              <w:rPr>
                <w:webHidden/>
              </w:rPr>
              <w:t>82</w:t>
            </w:r>
            <w:r w:rsidR="002A554E">
              <w:rPr>
                <w:webHidden/>
              </w:rPr>
              <w:fldChar w:fldCharType="end"/>
            </w:r>
          </w:hyperlink>
        </w:p>
        <w:p w14:paraId="4E195EC7" w14:textId="43DA89BA" w:rsidR="002A554E" w:rsidRDefault="0029590C">
          <w:pPr>
            <w:pStyle w:val="TOC3"/>
            <w:rPr>
              <w:rFonts w:asciiTheme="minorHAnsi" w:eastAsiaTheme="minorEastAsia" w:hAnsiTheme="minorHAnsi" w:cstheme="minorBidi"/>
              <w:noProof/>
              <w:kern w:val="2"/>
              <w:szCs w:val="24"/>
              <w:lang w:val="en-IE"/>
              <w14:ligatures w14:val="standardContextual"/>
            </w:rPr>
          </w:pPr>
          <w:hyperlink w:anchor="_Toc230010446" w:history="1">
            <w:r w:rsidR="002A554E" w:rsidRPr="00C10676">
              <w:rPr>
                <w:rStyle w:val="Hyperlink"/>
                <w:bCs/>
                <w:noProof/>
              </w:rPr>
              <w:t>1.3.2.</w:t>
            </w:r>
            <w:r w:rsidR="002A554E">
              <w:rPr>
                <w:rFonts w:asciiTheme="minorHAnsi" w:eastAsiaTheme="minorEastAsia" w:hAnsiTheme="minorHAnsi" w:cstheme="minorBidi"/>
                <w:noProof/>
                <w:kern w:val="2"/>
                <w:szCs w:val="24"/>
                <w:lang w:val="en-IE"/>
                <w14:ligatures w14:val="standardContextual"/>
              </w:rPr>
              <w:tab/>
            </w:r>
            <w:r w:rsidR="002A554E" w:rsidRPr="00C10676">
              <w:rPr>
                <w:rStyle w:val="Hyperlink"/>
                <w:noProof/>
              </w:rPr>
              <w:t>Establishing a starting point for BAU scenario</w:t>
            </w:r>
            <w:r w:rsidR="002A554E">
              <w:rPr>
                <w:noProof/>
                <w:webHidden/>
              </w:rPr>
              <w:tab/>
            </w:r>
            <w:r w:rsidR="002A554E">
              <w:rPr>
                <w:noProof/>
                <w:webHidden/>
              </w:rPr>
              <w:fldChar w:fldCharType="begin"/>
            </w:r>
            <w:r w:rsidR="002A554E">
              <w:rPr>
                <w:noProof/>
                <w:webHidden/>
              </w:rPr>
              <w:instrText xml:space="preserve"> PAGEREF _Toc230010446 \h </w:instrText>
            </w:r>
            <w:r w:rsidR="002A554E">
              <w:rPr>
                <w:noProof/>
                <w:webHidden/>
              </w:rPr>
            </w:r>
            <w:r w:rsidR="002A554E">
              <w:rPr>
                <w:noProof/>
                <w:webHidden/>
              </w:rPr>
              <w:fldChar w:fldCharType="separate"/>
            </w:r>
            <w:r w:rsidR="00845BCE">
              <w:rPr>
                <w:noProof/>
                <w:webHidden/>
              </w:rPr>
              <w:t>84</w:t>
            </w:r>
            <w:r w:rsidR="002A554E">
              <w:rPr>
                <w:noProof/>
                <w:webHidden/>
              </w:rPr>
              <w:fldChar w:fldCharType="end"/>
            </w:r>
          </w:hyperlink>
        </w:p>
        <w:p w14:paraId="3E55E457" w14:textId="60C7635F" w:rsidR="002A554E" w:rsidRDefault="0029590C">
          <w:pPr>
            <w:pStyle w:val="TOC3"/>
            <w:rPr>
              <w:rFonts w:asciiTheme="minorHAnsi" w:eastAsiaTheme="minorEastAsia" w:hAnsiTheme="minorHAnsi" w:cstheme="minorBidi"/>
              <w:noProof/>
              <w:kern w:val="2"/>
              <w:szCs w:val="24"/>
              <w:lang w:val="en-IE"/>
              <w14:ligatures w14:val="standardContextual"/>
            </w:rPr>
          </w:pPr>
          <w:hyperlink w:anchor="_Toc230010447" w:history="1">
            <w:r w:rsidR="002A554E" w:rsidRPr="00C10676">
              <w:rPr>
                <w:rStyle w:val="Hyperlink"/>
                <w:bCs/>
                <w:noProof/>
              </w:rPr>
              <w:t>1.3.3.</w:t>
            </w:r>
            <w:r w:rsidR="002A554E">
              <w:rPr>
                <w:rFonts w:asciiTheme="minorHAnsi" w:eastAsiaTheme="minorEastAsia" w:hAnsiTheme="minorHAnsi" w:cstheme="minorBidi"/>
                <w:noProof/>
                <w:kern w:val="2"/>
                <w:szCs w:val="24"/>
                <w:lang w:val="en-IE"/>
                <w14:ligatures w14:val="standardContextual"/>
              </w:rPr>
              <w:tab/>
            </w:r>
            <w:r w:rsidR="002A554E" w:rsidRPr="00C10676">
              <w:rPr>
                <w:rStyle w:val="Hyperlink"/>
                <w:noProof/>
              </w:rPr>
              <w:t>Semiconductor design, production and packaging</w:t>
            </w:r>
            <w:r w:rsidR="002A554E">
              <w:rPr>
                <w:noProof/>
                <w:webHidden/>
              </w:rPr>
              <w:tab/>
            </w:r>
            <w:r w:rsidR="002A554E">
              <w:rPr>
                <w:noProof/>
                <w:webHidden/>
              </w:rPr>
              <w:fldChar w:fldCharType="begin"/>
            </w:r>
            <w:r w:rsidR="002A554E">
              <w:rPr>
                <w:noProof/>
                <w:webHidden/>
              </w:rPr>
              <w:instrText xml:space="preserve"> PAGEREF _Toc230010447 \h </w:instrText>
            </w:r>
            <w:r w:rsidR="002A554E">
              <w:rPr>
                <w:noProof/>
                <w:webHidden/>
              </w:rPr>
            </w:r>
            <w:r w:rsidR="002A554E">
              <w:rPr>
                <w:noProof/>
                <w:webHidden/>
              </w:rPr>
              <w:fldChar w:fldCharType="separate"/>
            </w:r>
            <w:r w:rsidR="00845BCE">
              <w:rPr>
                <w:noProof/>
                <w:webHidden/>
              </w:rPr>
              <w:t>89</w:t>
            </w:r>
            <w:r w:rsidR="002A554E">
              <w:rPr>
                <w:noProof/>
                <w:webHidden/>
              </w:rPr>
              <w:fldChar w:fldCharType="end"/>
            </w:r>
          </w:hyperlink>
        </w:p>
        <w:p w14:paraId="0025B49A" w14:textId="2D7D4B3A" w:rsidR="002A554E" w:rsidRDefault="0029590C">
          <w:pPr>
            <w:pStyle w:val="TOC3"/>
            <w:rPr>
              <w:rFonts w:asciiTheme="minorHAnsi" w:eastAsiaTheme="minorEastAsia" w:hAnsiTheme="minorHAnsi" w:cstheme="minorBidi"/>
              <w:noProof/>
              <w:kern w:val="2"/>
              <w:szCs w:val="24"/>
              <w:lang w:val="en-IE"/>
              <w14:ligatures w14:val="standardContextual"/>
            </w:rPr>
          </w:pPr>
          <w:hyperlink w:anchor="_Toc230010448" w:history="1">
            <w:r w:rsidR="002A554E" w:rsidRPr="00C10676">
              <w:rPr>
                <w:rStyle w:val="Hyperlink"/>
                <w:bCs/>
                <w:noProof/>
              </w:rPr>
              <w:t>1.3.4.</w:t>
            </w:r>
            <w:r w:rsidR="002A554E">
              <w:rPr>
                <w:rFonts w:asciiTheme="minorHAnsi" w:eastAsiaTheme="minorEastAsia" w:hAnsiTheme="minorHAnsi" w:cstheme="minorBidi"/>
                <w:noProof/>
                <w:kern w:val="2"/>
                <w:szCs w:val="24"/>
                <w:lang w:val="en-IE"/>
                <w14:ligatures w14:val="standardContextual"/>
              </w:rPr>
              <w:tab/>
            </w:r>
            <w:r w:rsidR="002A554E" w:rsidRPr="00C10676">
              <w:rPr>
                <w:rStyle w:val="Hyperlink"/>
                <w:noProof/>
              </w:rPr>
              <w:t>Downstream integration and end-use applications</w:t>
            </w:r>
            <w:r w:rsidR="002A554E">
              <w:rPr>
                <w:noProof/>
                <w:webHidden/>
              </w:rPr>
              <w:tab/>
            </w:r>
            <w:r w:rsidR="002A554E">
              <w:rPr>
                <w:noProof/>
                <w:webHidden/>
              </w:rPr>
              <w:fldChar w:fldCharType="begin"/>
            </w:r>
            <w:r w:rsidR="002A554E">
              <w:rPr>
                <w:noProof/>
                <w:webHidden/>
              </w:rPr>
              <w:instrText xml:space="preserve"> PAGEREF _Toc230010448 \h </w:instrText>
            </w:r>
            <w:r w:rsidR="002A554E">
              <w:rPr>
                <w:noProof/>
                <w:webHidden/>
              </w:rPr>
            </w:r>
            <w:r w:rsidR="002A554E">
              <w:rPr>
                <w:noProof/>
                <w:webHidden/>
              </w:rPr>
              <w:fldChar w:fldCharType="separate"/>
            </w:r>
            <w:r w:rsidR="00845BCE">
              <w:rPr>
                <w:noProof/>
                <w:webHidden/>
              </w:rPr>
              <w:t>94</w:t>
            </w:r>
            <w:r w:rsidR="002A554E">
              <w:rPr>
                <w:noProof/>
                <w:webHidden/>
              </w:rPr>
              <w:fldChar w:fldCharType="end"/>
            </w:r>
          </w:hyperlink>
        </w:p>
        <w:p w14:paraId="418E2700" w14:textId="54076A92" w:rsidR="002A554E" w:rsidRDefault="0029590C">
          <w:pPr>
            <w:pStyle w:val="TOC3"/>
            <w:rPr>
              <w:rFonts w:asciiTheme="minorHAnsi" w:eastAsiaTheme="minorEastAsia" w:hAnsiTheme="minorHAnsi" w:cstheme="minorBidi"/>
              <w:noProof/>
              <w:kern w:val="2"/>
              <w:szCs w:val="24"/>
              <w:lang w:val="en-IE"/>
              <w14:ligatures w14:val="standardContextual"/>
            </w:rPr>
          </w:pPr>
          <w:hyperlink w:anchor="_Toc230010449" w:history="1">
            <w:r w:rsidR="002A554E" w:rsidRPr="00C10676">
              <w:rPr>
                <w:rStyle w:val="Hyperlink"/>
                <w:bCs/>
                <w:noProof/>
              </w:rPr>
              <w:t>1.3.5.</w:t>
            </w:r>
            <w:r w:rsidR="002A554E">
              <w:rPr>
                <w:rFonts w:asciiTheme="minorHAnsi" w:eastAsiaTheme="minorEastAsia" w:hAnsiTheme="minorHAnsi" w:cstheme="minorBidi"/>
                <w:noProof/>
                <w:kern w:val="2"/>
                <w:szCs w:val="24"/>
                <w:lang w:val="en-IE"/>
                <w14:ligatures w14:val="standardContextual"/>
              </w:rPr>
              <w:tab/>
            </w:r>
            <w:r w:rsidR="002A554E" w:rsidRPr="00C10676">
              <w:rPr>
                <w:rStyle w:val="Hyperlink"/>
                <w:noProof/>
              </w:rPr>
              <w:t>Modelling the BAU scenario</w:t>
            </w:r>
            <w:r w:rsidR="002A554E">
              <w:rPr>
                <w:noProof/>
                <w:webHidden/>
              </w:rPr>
              <w:tab/>
            </w:r>
            <w:r w:rsidR="002A554E">
              <w:rPr>
                <w:noProof/>
                <w:webHidden/>
              </w:rPr>
              <w:fldChar w:fldCharType="begin"/>
            </w:r>
            <w:r w:rsidR="002A554E">
              <w:rPr>
                <w:noProof/>
                <w:webHidden/>
              </w:rPr>
              <w:instrText xml:space="preserve"> PAGEREF _Toc230010449 \h </w:instrText>
            </w:r>
            <w:r w:rsidR="002A554E">
              <w:rPr>
                <w:noProof/>
                <w:webHidden/>
              </w:rPr>
            </w:r>
            <w:r w:rsidR="002A554E">
              <w:rPr>
                <w:noProof/>
                <w:webHidden/>
              </w:rPr>
              <w:fldChar w:fldCharType="separate"/>
            </w:r>
            <w:r w:rsidR="00845BCE">
              <w:rPr>
                <w:noProof/>
                <w:webHidden/>
              </w:rPr>
              <w:t>104</w:t>
            </w:r>
            <w:r w:rsidR="002A554E">
              <w:rPr>
                <w:noProof/>
                <w:webHidden/>
              </w:rPr>
              <w:fldChar w:fldCharType="end"/>
            </w:r>
          </w:hyperlink>
        </w:p>
        <w:p w14:paraId="057B078B" w14:textId="514ACAAB"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450" w:history="1">
            <w:r w:rsidR="002A554E" w:rsidRPr="00C10676">
              <w:rPr>
                <w:rStyle w:val="Hyperlink"/>
                <w:noProof/>
              </w:rPr>
              <w:t>1.4.</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The cost (price) competitiveness of the EU industry</w:t>
            </w:r>
            <w:r w:rsidR="002A554E">
              <w:rPr>
                <w:noProof/>
                <w:webHidden/>
              </w:rPr>
              <w:tab/>
            </w:r>
            <w:r w:rsidR="002A554E">
              <w:rPr>
                <w:noProof/>
                <w:webHidden/>
              </w:rPr>
              <w:fldChar w:fldCharType="begin"/>
            </w:r>
            <w:r w:rsidR="002A554E">
              <w:rPr>
                <w:noProof/>
                <w:webHidden/>
              </w:rPr>
              <w:instrText xml:space="preserve"> PAGEREF _Toc230010450 \h </w:instrText>
            </w:r>
            <w:r w:rsidR="002A554E">
              <w:rPr>
                <w:noProof/>
                <w:webHidden/>
              </w:rPr>
            </w:r>
            <w:r w:rsidR="002A554E">
              <w:rPr>
                <w:noProof/>
                <w:webHidden/>
              </w:rPr>
              <w:fldChar w:fldCharType="separate"/>
            </w:r>
            <w:r w:rsidR="00845BCE">
              <w:rPr>
                <w:noProof/>
                <w:webHidden/>
              </w:rPr>
              <w:t>112</w:t>
            </w:r>
            <w:r w:rsidR="002A554E">
              <w:rPr>
                <w:noProof/>
                <w:webHidden/>
              </w:rPr>
              <w:fldChar w:fldCharType="end"/>
            </w:r>
          </w:hyperlink>
        </w:p>
        <w:p w14:paraId="5BDD0782" w14:textId="3C3D887A" w:rsidR="002A554E" w:rsidRDefault="0029590C">
          <w:pPr>
            <w:pStyle w:val="TOC3"/>
            <w:rPr>
              <w:rFonts w:asciiTheme="minorHAnsi" w:eastAsiaTheme="minorEastAsia" w:hAnsiTheme="minorHAnsi" w:cstheme="minorBidi"/>
              <w:noProof/>
              <w:kern w:val="2"/>
              <w:szCs w:val="24"/>
              <w:lang w:val="en-IE"/>
              <w14:ligatures w14:val="standardContextual"/>
            </w:rPr>
          </w:pPr>
          <w:hyperlink w:anchor="_Toc230010451" w:history="1">
            <w:r w:rsidR="002A554E" w:rsidRPr="00C10676">
              <w:rPr>
                <w:rStyle w:val="Hyperlink"/>
                <w:bCs/>
                <w:noProof/>
              </w:rPr>
              <w:t>1.4.1.</w:t>
            </w:r>
            <w:r w:rsidR="002A554E">
              <w:rPr>
                <w:rFonts w:asciiTheme="minorHAnsi" w:eastAsiaTheme="minorEastAsia" w:hAnsiTheme="minorHAnsi" w:cstheme="minorBidi"/>
                <w:noProof/>
                <w:kern w:val="2"/>
                <w:szCs w:val="24"/>
                <w:lang w:val="en-IE"/>
                <w14:ligatures w14:val="standardContextual"/>
              </w:rPr>
              <w:tab/>
            </w:r>
            <w:r w:rsidR="002A554E" w:rsidRPr="00C10676">
              <w:rPr>
                <w:rStyle w:val="Hyperlink"/>
                <w:noProof/>
              </w:rPr>
              <w:t>Establishing a starting point for BAU scenario</w:t>
            </w:r>
            <w:r w:rsidR="002A554E">
              <w:rPr>
                <w:noProof/>
                <w:webHidden/>
              </w:rPr>
              <w:tab/>
            </w:r>
            <w:r w:rsidR="002A554E">
              <w:rPr>
                <w:noProof/>
                <w:webHidden/>
              </w:rPr>
              <w:fldChar w:fldCharType="begin"/>
            </w:r>
            <w:r w:rsidR="002A554E">
              <w:rPr>
                <w:noProof/>
                <w:webHidden/>
              </w:rPr>
              <w:instrText xml:space="preserve"> PAGEREF _Toc230010451 \h </w:instrText>
            </w:r>
            <w:r w:rsidR="002A554E">
              <w:rPr>
                <w:noProof/>
                <w:webHidden/>
              </w:rPr>
            </w:r>
            <w:r w:rsidR="002A554E">
              <w:rPr>
                <w:noProof/>
                <w:webHidden/>
              </w:rPr>
              <w:fldChar w:fldCharType="separate"/>
            </w:r>
            <w:r w:rsidR="00845BCE">
              <w:rPr>
                <w:noProof/>
                <w:webHidden/>
              </w:rPr>
              <w:t>112</w:t>
            </w:r>
            <w:r w:rsidR="002A554E">
              <w:rPr>
                <w:noProof/>
                <w:webHidden/>
              </w:rPr>
              <w:fldChar w:fldCharType="end"/>
            </w:r>
          </w:hyperlink>
        </w:p>
        <w:p w14:paraId="4975DFEA" w14:textId="20994DDA" w:rsidR="002A554E" w:rsidRDefault="0029590C">
          <w:pPr>
            <w:pStyle w:val="TOC3"/>
            <w:rPr>
              <w:rFonts w:asciiTheme="minorHAnsi" w:eastAsiaTheme="minorEastAsia" w:hAnsiTheme="minorHAnsi" w:cstheme="minorBidi"/>
              <w:noProof/>
              <w:kern w:val="2"/>
              <w:szCs w:val="24"/>
              <w:lang w:val="en-IE"/>
              <w14:ligatures w14:val="standardContextual"/>
            </w:rPr>
          </w:pPr>
          <w:hyperlink w:anchor="_Toc230010452" w:history="1">
            <w:r w:rsidR="002A554E" w:rsidRPr="00C10676">
              <w:rPr>
                <w:rStyle w:val="Hyperlink"/>
                <w:bCs/>
                <w:noProof/>
              </w:rPr>
              <w:t>1.4.2.</w:t>
            </w:r>
            <w:r w:rsidR="002A554E">
              <w:rPr>
                <w:rFonts w:asciiTheme="minorHAnsi" w:eastAsiaTheme="minorEastAsia" w:hAnsiTheme="minorHAnsi" w:cstheme="minorBidi"/>
                <w:noProof/>
                <w:kern w:val="2"/>
                <w:szCs w:val="24"/>
                <w:lang w:val="en-IE"/>
                <w14:ligatures w14:val="standardContextual"/>
              </w:rPr>
              <w:tab/>
            </w:r>
            <w:r w:rsidR="002A554E" w:rsidRPr="00C10676">
              <w:rPr>
                <w:rStyle w:val="Hyperlink"/>
                <w:noProof/>
              </w:rPr>
              <w:t>Modelling the BAU scenario</w:t>
            </w:r>
            <w:r w:rsidR="002A554E">
              <w:rPr>
                <w:noProof/>
                <w:webHidden/>
              </w:rPr>
              <w:tab/>
            </w:r>
            <w:r w:rsidR="002A554E">
              <w:rPr>
                <w:noProof/>
                <w:webHidden/>
              </w:rPr>
              <w:fldChar w:fldCharType="begin"/>
            </w:r>
            <w:r w:rsidR="002A554E">
              <w:rPr>
                <w:noProof/>
                <w:webHidden/>
              </w:rPr>
              <w:instrText xml:space="preserve"> PAGEREF _Toc230010452 \h </w:instrText>
            </w:r>
            <w:r w:rsidR="002A554E">
              <w:rPr>
                <w:noProof/>
                <w:webHidden/>
              </w:rPr>
            </w:r>
            <w:r w:rsidR="002A554E">
              <w:rPr>
                <w:noProof/>
                <w:webHidden/>
              </w:rPr>
              <w:fldChar w:fldCharType="separate"/>
            </w:r>
            <w:r w:rsidR="00845BCE">
              <w:rPr>
                <w:noProof/>
                <w:webHidden/>
              </w:rPr>
              <w:t>117</w:t>
            </w:r>
            <w:r w:rsidR="002A554E">
              <w:rPr>
                <w:noProof/>
                <w:webHidden/>
              </w:rPr>
              <w:fldChar w:fldCharType="end"/>
            </w:r>
          </w:hyperlink>
        </w:p>
        <w:p w14:paraId="4A1BFE1B" w14:textId="45BC1139"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453" w:history="1">
            <w:r w:rsidR="002A554E" w:rsidRPr="00C10676">
              <w:rPr>
                <w:rStyle w:val="Hyperlink"/>
                <w:noProof/>
              </w:rPr>
              <w:t>1.5.</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Public budget effects</w:t>
            </w:r>
            <w:r w:rsidR="002A554E">
              <w:rPr>
                <w:noProof/>
                <w:webHidden/>
              </w:rPr>
              <w:tab/>
            </w:r>
            <w:r w:rsidR="002A554E">
              <w:rPr>
                <w:noProof/>
                <w:webHidden/>
              </w:rPr>
              <w:fldChar w:fldCharType="begin"/>
            </w:r>
            <w:r w:rsidR="002A554E">
              <w:rPr>
                <w:noProof/>
                <w:webHidden/>
              </w:rPr>
              <w:instrText xml:space="preserve"> PAGEREF _Toc230010453 \h </w:instrText>
            </w:r>
            <w:r w:rsidR="002A554E">
              <w:rPr>
                <w:noProof/>
                <w:webHidden/>
              </w:rPr>
            </w:r>
            <w:r w:rsidR="002A554E">
              <w:rPr>
                <w:noProof/>
                <w:webHidden/>
              </w:rPr>
              <w:fldChar w:fldCharType="separate"/>
            </w:r>
            <w:r w:rsidR="00845BCE">
              <w:rPr>
                <w:noProof/>
                <w:webHidden/>
              </w:rPr>
              <w:t>120</w:t>
            </w:r>
            <w:r w:rsidR="002A554E">
              <w:rPr>
                <w:noProof/>
                <w:webHidden/>
              </w:rPr>
              <w:fldChar w:fldCharType="end"/>
            </w:r>
          </w:hyperlink>
        </w:p>
        <w:p w14:paraId="2EF03371" w14:textId="6FA39630" w:rsidR="002A554E" w:rsidRDefault="0029590C">
          <w:pPr>
            <w:pStyle w:val="TOC3"/>
            <w:rPr>
              <w:rFonts w:asciiTheme="minorHAnsi" w:eastAsiaTheme="minorEastAsia" w:hAnsiTheme="minorHAnsi" w:cstheme="minorBidi"/>
              <w:noProof/>
              <w:kern w:val="2"/>
              <w:szCs w:val="24"/>
              <w:lang w:val="en-IE"/>
              <w14:ligatures w14:val="standardContextual"/>
            </w:rPr>
          </w:pPr>
          <w:hyperlink w:anchor="_Toc230010454" w:history="1">
            <w:r w:rsidR="002A554E" w:rsidRPr="00C10676">
              <w:rPr>
                <w:rStyle w:val="Hyperlink"/>
                <w:bCs/>
                <w:noProof/>
              </w:rPr>
              <w:t>1.5.1.</w:t>
            </w:r>
            <w:r w:rsidR="002A554E">
              <w:rPr>
                <w:rFonts w:asciiTheme="minorHAnsi" w:eastAsiaTheme="minorEastAsia" w:hAnsiTheme="minorHAnsi" w:cstheme="minorBidi"/>
                <w:noProof/>
                <w:kern w:val="2"/>
                <w:szCs w:val="24"/>
                <w:lang w:val="en-IE"/>
                <w14:ligatures w14:val="standardContextual"/>
              </w:rPr>
              <w:tab/>
            </w:r>
            <w:r w:rsidR="002A554E" w:rsidRPr="00C10676">
              <w:rPr>
                <w:rStyle w:val="Hyperlink"/>
                <w:noProof/>
              </w:rPr>
              <w:t>Establishing a starting point for BAU scenario</w:t>
            </w:r>
            <w:r w:rsidR="002A554E">
              <w:rPr>
                <w:noProof/>
                <w:webHidden/>
              </w:rPr>
              <w:tab/>
            </w:r>
            <w:r w:rsidR="002A554E">
              <w:rPr>
                <w:noProof/>
                <w:webHidden/>
              </w:rPr>
              <w:fldChar w:fldCharType="begin"/>
            </w:r>
            <w:r w:rsidR="002A554E">
              <w:rPr>
                <w:noProof/>
                <w:webHidden/>
              </w:rPr>
              <w:instrText xml:space="preserve"> PAGEREF _Toc230010454 \h </w:instrText>
            </w:r>
            <w:r w:rsidR="002A554E">
              <w:rPr>
                <w:noProof/>
                <w:webHidden/>
              </w:rPr>
            </w:r>
            <w:r w:rsidR="002A554E">
              <w:rPr>
                <w:noProof/>
                <w:webHidden/>
              </w:rPr>
              <w:fldChar w:fldCharType="separate"/>
            </w:r>
            <w:r w:rsidR="00845BCE">
              <w:rPr>
                <w:noProof/>
                <w:webHidden/>
              </w:rPr>
              <w:t>120</w:t>
            </w:r>
            <w:r w:rsidR="002A554E">
              <w:rPr>
                <w:noProof/>
                <w:webHidden/>
              </w:rPr>
              <w:fldChar w:fldCharType="end"/>
            </w:r>
          </w:hyperlink>
        </w:p>
        <w:p w14:paraId="4FF24387" w14:textId="42C369EF" w:rsidR="002A554E" w:rsidRDefault="0029590C">
          <w:pPr>
            <w:pStyle w:val="TOC3"/>
            <w:rPr>
              <w:rFonts w:asciiTheme="minorHAnsi" w:eastAsiaTheme="minorEastAsia" w:hAnsiTheme="minorHAnsi" w:cstheme="minorBidi"/>
              <w:noProof/>
              <w:kern w:val="2"/>
              <w:szCs w:val="24"/>
              <w:lang w:val="en-IE"/>
              <w14:ligatures w14:val="standardContextual"/>
            </w:rPr>
          </w:pPr>
          <w:hyperlink w:anchor="_Toc230010455" w:history="1">
            <w:r w:rsidR="002A554E" w:rsidRPr="00C10676">
              <w:rPr>
                <w:rStyle w:val="Hyperlink"/>
                <w:bCs/>
                <w:noProof/>
              </w:rPr>
              <w:t>1.5.2.</w:t>
            </w:r>
            <w:r w:rsidR="002A554E">
              <w:rPr>
                <w:rFonts w:asciiTheme="minorHAnsi" w:eastAsiaTheme="minorEastAsia" w:hAnsiTheme="minorHAnsi" w:cstheme="minorBidi"/>
                <w:noProof/>
                <w:kern w:val="2"/>
                <w:szCs w:val="24"/>
                <w:lang w:val="en-IE"/>
                <w14:ligatures w14:val="standardContextual"/>
              </w:rPr>
              <w:tab/>
            </w:r>
            <w:r w:rsidR="002A554E" w:rsidRPr="00C10676">
              <w:rPr>
                <w:rStyle w:val="Hyperlink"/>
                <w:noProof/>
              </w:rPr>
              <w:t>Modelling the BAU scenario</w:t>
            </w:r>
            <w:r w:rsidR="002A554E">
              <w:rPr>
                <w:noProof/>
                <w:webHidden/>
              </w:rPr>
              <w:tab/>
            </w:r>
            <w:r w:rsidR="002A554E">
              <w:rPr>
                <w:noProof/>
                <w:webHidden/>
              </w:rPr>
              <w:fldChar w:fldCharType="begin"/>
            </w:r>
            <w:r w:rsidR="002A554E">
              <w:rPr>
                <w:noProof/>
                <w:webHidden/>
              </w:rPr>
              <w:instrText xml:space="preserve"> PAGEREF _Toc230010455 \h </w:instrText>
            </w:r>
            <w:r w:rsidR="002A554E">
              <w:rPr>
                <w:noProof/>
                <w:webHidden/>
              </w:rPr>
            </w:r>
            <w:r w:rsidR="002A554E">
              <w:rPr>
                <w:noProof/>
                <w:webHidden/>
              </w:rPr>
              <w:fldChar w:fldCharType="separate"/>
            </w:r>
            <w:r w:rsidR="00845BCE">
              <w:rPr>
                <w:noProof/>
                <w:webHidden/>
              </w:rPr>
              <w:t>121</w:t>
            </w:r>
            <w:r w:rsidR="002A554E">
              <w:rPr>
                <w:noProof/>
                <w:webHidden/>
              </w:rPr>
              <w:fldChar w:fldCharType="end"/>
            </w:r>
          </w:hyperlink>
        </w:p>
        <w:p w14:paraId="1C1564D7" w14:textId="08515DFB"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456" w:history="1">
            <w:r w:rsidR="002A554E" w:rsidRPr="00C10676">
              <w:rPr>
                <w:rStyle w:val="Hyperlink"/>
                <w:noProof/>
              </w:rPr>
              <w:t>2.</w:t>
            </w:r>
            <w:r w:rsidR="002A554E">
              <w:rPr>
                <w:rFonts w:asciiTheme="minorHAnsi" w:eastAsiaTheme="minorEastAsia" w:hAnsiTheme="minorHAnsi" w:cstheme="minorBidi"/>
                <w:caps w:val="0"/>
                <w:noProof/>
                <w:kern w:val="2"/>
                <w:szCs w:val="24"/>
                <w:lang w:val="en-IE" w:eastAsia="en-IE"/>
                <w14:ligatures w14:val="standardContextual"/>
              </w:rPr>
              <w:tab/>
            </w:r>
            <w:r w:rsidR="002A554E" w:rsidRPr="00C10676">
              <w:rPr>
                <w:rStyle w:val="Hyperlink"/>
                <w:noProof/>
              </w:rPr>
              <w:t>Modelling social impacts</w:t>
            </w:r>
            <w:r w:rsidR="002A554E">
              <w:rPr>
                <w:noProof/>
                <w:webHidden/>
              </w:rPr>
              <w:tab/>
            </w:r>
            <w:r w:rsidR="002A554E">
              <w:rPr>
                <w:noProof/>
                <w:webHidden/>
              </w:rPr>
              <w:fldChar w:fldCharType="begin"/>
            </w:r>
            <w:r w:rsidR="002A554E">
              <w:rPr>
                <w:noProof/>
                <w:webHidden/>
              </w:rPr>
              <w:instrText xml:space="preserve"> PAGEREF _Toc230010456 \h </w:instrText>
            </w:r>
            <w:r w:rsidR="002A554E">
              <w:rPr>
                <w:noProof/>
                <w:webHidden/>
              </w:rPr>
            </w:r>
            <w:r w:rsidR="002A554E">
              <w:rPr>
                <w:noProof/>
                <w:webHidden/>
              </w:rPr>
              <w:fldChar w:fldCharType="separate"/>
            </w:r>
            <w:r w:rsidR="00845BCE">
              <w:rPr>
                <w:noProof/>
                <w:webHidden/>
              </w:rPr>
              <w:t>123</w:t>
            </w:r>
            <w:r w:rsidR="002A554E">
              <w:rPr>
                <w:noProof/>
                <w:webHidden/>
              </w:rPr>
              <w:fldChar w:fldCharType="end"/>
            </w:r>
          </w:hyperlink>
        </w:p>
        <w:p w14:paraId="7BCA5AED" w14:textId="644F2EE3"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457" w:history="1">
            <w:r w:rsidR="002A554E" w:rsidRPr="00C10676">
              <w:rPr>
                <w:rStyle w:val="Hyperlink"/>
                <w:noProof/>
              </w:rPr>
              <w:t>2.1.</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Jobs in the EU semiconductor industry</w:t>
            </w:r>
            <w:r w:rsidR="002A554E">
              <w:rPr>
                <w:noProof/>
                <w:webHidden/>
              </w:rPr>
              <w:tab/>
            </w:r>
            <w:r w:rsidR="002A554E">
              <w:rPr>
                <w:noProof/>
                <w:webHidden/>
              </w:rPr>
              <w:fldChar w:fldCharType="begin"/>
            </w:r>
            <w:r w:rsidR="002A554E">
              <w:rPr>
                <w:noProof/>
                <w:webHidden/>
              </w:rPr>
              <w:instrText xml:space="preserve"> PAGEREF _Toc230010457 \h </w:instrText>
            </w:r>
            <w:r w:rsidR="002A554E">
              <w:rPr>
                <w:noProof/>
                <w:webHidden/>
              </w:rPr>
            </w:r>
            <w:r w:rsidR="002A554E">
              <w:rPr>
                <w:noProof/>
                <w:webHidden/>
              </w:rPr>
              <w:fldChar w:fldCharType="separate"/>
            </w:r>
            <w:r w:rsidR="00845BCE">
              <w:rPr>
                <w:noProof/>
                <w:webHidden/>
              </w:rPr>
              <w:t>123</w:t>
            </w:r>
            <w:r w:rsidR="002A554E">
              <w:rPr>
                <w:noProof/>
                <w:webHidden/>
              </w:rPr>
              <w:fldChar w:fldCharType="end"/>
            </w:r>
          </w:hyperlink>
        </w:p>
        <w:p w14:paraId="1D0F3999" w14:textId="405B06C9" w:rsidR="002A554E" w:rsidRDefault="0029590C">
          <w:pPr>
            <w:pStyle w:val="TOC3"/>
            <w:rPr>
              <w:rFonts w:asciiTheme="minorHAnsi" w:eastAsiaTheme="minorEastAsia" w:hAnsiTheme="minorHAnsi" w:cstheme="minorBidi"/>
              <w:noProof/>
              <w:kern w:val="2"/>
              <w:szCs w:val="24"/>
              <w:lang w:val="en-IE"/>
              <w14:ligatures w14:val="standardContextual"/>
            </w:rPr>
          </w:pPr>
          <w:hyperlink w:anchor="_Toc230010458" w:history="1">
            <w:r w:rsidR="002A554E" w:rsidRPr="00C10676">
              <w:rPr>
                <w:rStyle w:val="Hyperlink"/>
                <w:bCs/>
                <w:noProof/>
              </w:rPr>
              <w:t>2.1.1.</w:t>
            </w:r>
            <w:r w:rsidR="002A554E">
              <w:rPr>
                <w:rFonts w:asciiTheme="minorHAnsi" w:eastAsiaTheme="minorEastAsia" w:hAnsiTheme="minorHAnsi" w:cstheme="minorBidi"/>
                <w:noProof/>
                <w:kern w:val="2"/>
                <w:szCs w:val="24"/>
                <w:lang w:val="en-IE"/>
                <w14:ligatures w14:val="standardContextual"/>
              </w:rPr>
              <w:tab/>
            </w:r>
            <w:r w:rsidR="002A554E" w:rsidRPr="00C10676">
              <w:rPr>
                <w:rStyle w:val="Hyperlink"/>
                <w:noProof/>
              </w:rPr>
              <w:t>Establishing a starting point for BAU scenario</w:t>
            </w:r>
            <w:r w:rsidR="002A554E">
              <w:rPr>
                <w:noProof/>
                <w:webHidden/>
              </w:rPr>
              <w:tab/>
            </w:r>
            <w:r w:rsidR="002A554E">
              <w:rPr>
                <w:noProof/>
                <w:webHidden/>
              </w:rPr>
              <w:fldChar w:fldCharType="begin"/>
            </w:r>
            <w:r w:rsidR="002A554E">
              <w:rPr>
                <w:noProof/>
                <w:webHidden/>
              </w:rPr>
              <w:instrText xml:space="preserve"> PAGEREF _Toc230010458 \h </w:instrText>
            </w:r>
            <w:r w:rsidR="002A554E">
              <w:rPr>
                <w:noProof/>
                <w:webHidden/>
              </w:rPr>
            </w:r>
            <w:r w:rsidR="002A554E">
              <w:rPr>
                <w:noProof/>
                <w:webHidden/>
              </w:rPr>
              <w:fldChar w:fldCharType="separate"/>
            </w:r>
            <w:r w:rsidR="00845BCE">
              <w:rPr>
                <w:noProof/>
                <w:webHidden/>
              </w:rPr>
              <w:t>123</w:t>
            </w:r>
            <w:r w:rsidR="002A554E">
              <w:rPr>
                <w:noProof/>
                <w:webHidden/>
              </w:rPr>
              <w:fldChar w:fldCharType="end"/>
            </w:r>
          </w:hyperlink>
        </w:p>
        <w:p w14:paraId="6C217407" w14:textId="5E96EF2F" w:rsidR="002A554E" w:rsidRDefault="0029590C">
          <w:pPr>
            <w:pStyle w:val="TOC3"/>
            <w:rPr>
              <w:rFonts w:asciiTheme="minorHAnsi" w:eastAsiaTheme="minorEastAsia" w:hAnsiTheme="minorHAnsi" w:cstheme="minorBidi"/>
              <w:noProof/>
              <w:kern w:val="2"/>
              <w:szCs w:val="24"/>
              <w:lang w:val="en-IE"/>
              <w14:ligatures w14:val="standardContextual"/>
            </w:rPr>
          </w:pPr>
          <w:hyperlink w:anchor="_Toc230010459" w:history="1">
            <w:r w:rsidR="002A554E" w:rsidRPr="00C10676">
              <w:rPr>
                <w:rStyle w:val="Hyperlink"/>
                <w:bCs/>
                <w:noProof/>
              </w:rPr>
              <w:t>2.1.2.</w:t>
            </w:r>
            <w:r w:rsidR="002A554E">
              <w:rPr>
                <w:rFonts w:asciiTheme="minorHAnsi" w:eastAsiaTheme="minorEastAsia" w:hAnsiTheme="minorHAnsi" w:cstheme="minorBidi"/>
                <w:noProof/>
                <w:kern w:val="2"/>
                <w:szCs w:val="24"/>
                <w:lang w:val="en-IE"/>
                <w14:ligatures w14:val="standardContextual"/>
              </w:rPr>
              <w:tab/>
            </w:r>
            <w:r w:rsidR="002A554E" w:rsidRPr="00C10676">
              <w:rPr>
                <w:rStyle w:val="Hyperlink"/>
                <w:noProof/>
              </w:rPr>
              <w:t>Modelling the BAU scenario</w:t>
            </w:r>
            <w:r w:rsidR="002A554E">
              <w:rPr>
                <w:noProof/>
                <w:webHidden/>
              </w:rPr>
              <w:tab/>
            </w:r>
            <w:r w:rsidR="002A554E">
              <w:rPr>
                <w:noProof/>
                <w:webHidden/>
              </w:rPr>
              <w:fldChar w:fldCharType="begin"/>
            </w:r>
            <w:r w:rsidR="002A554E">
              <w:rPr>
                <w:noProof/>
                <w:webHidden/>
              </w:rPr>
              <w:instrText xml:space="preserve"> PAGEREF _Toc230010459 \h </w:instrText>
            </w:r>
            <w:r w:rsidR="002A554E">
              <w:rPr>
                <w:noProof/>
                <w:webHidden/>
              </w:rPr>
            </w:r>
            <w:r w:rsidR="002A554E">
              <w:rPr>
                <w:noProof/>
                <w:webHidden/>
              </w:rPr>
              <w:fldChar w:fldCharType="separate"/>
            </w:r>
            <w:r w:rsidR="00845BCE">
              <w:rPr>
                <w:noProof/>
                <w:webHidden/>
              </w:rPr>
              <w:t>124</w:t>
            </w:r>
            <w:r w:rsidR="002A554E">
              <w:rPr>
                <w:noProof/>
                <w:webHidden/>
              </w:rPr>
              <w:fldChar w:fldCharType="end"/>
            </w:r>
          </w:hyperlink>
        </w:p>
        <w:p w14:paraId="5A6D1B64" w14:textId="33653EE6"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460" w:history="1">
            <w:r w:rsidR="002A554E" w:rsidRPr="00C10676">
              <w:rPr>
                <w:rStyle w:val="Hyperlink"/>
                <w:noProof/>
              </w:rPr>
              <w:t>2.2.</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SME/start-up ecosystem in the EU semiconductor industry</w:t>
            </w:r>
            <w:r w:rsidR="002A554E">
              <w:rPr>
                <w:noProof/>
                <w:webHidden/>
              </w:rPr>
              <w:tab/>
            </w:r>
            <w:r w:rsidR="002A554E">
              <w:rPr>
                <w:noProof/>
                <w:webHidden/>
              </w:rPr>
              <w:fldChar w:fldCharType="begin"/>
            </w:r>
            <w:r w:rsidR="002A554E">
              <w:rPr>
                <w:noProof/>
                <w:webHidden/>
              </w:rPr>
              <w:instrText xml:space="preserve"> PAGEREF _Toc230010460 \h </w:instrText>
            </w:r>
            <w:r w:rsidR="002A554E">
              <w:rPr>
                <w:noProof/>
                <w:webHidden/>
              </w:rPr>
            </w:r>
            <w:r w:rsidR="002A554E">
              <w:rPr>
                <w:noProof/>
                <w:webHidden/>
              </w:rPr>
              <w:fldChar w:fldCharType="separate"/>
            </w:r>
            <w:r w:rsidR="00845BCE">
              <w:rPr>
                <w:noProof/>
                <w:webHidden/>
              </w:rPr>
              <w:t>126</w:t>
            </w:r>
            <w:r w:rsidR="002A554E">
              <w:rPr>
                <w:noProof/>
                <w:webHidden/>
              </w:rPr>
              <w:fldChar w:fldCharType="end"/>
            </w:r>
          </w:hyperlink>
        </w:p>
        <w:p w14:paraId="26C0A611" w14:textId="2118A237" w:rsidR="002A554E" w:rsidRDefault="0029590C">
          <w:pPr>
            <w:pStyle w:val="TOC3"/>
            <w:rPr>
              <w:rFonts w:asciiTheme="minorHAnsi" w:eastAsiaTheme="minorEastAsia" w:hAnsiTheme="minorHAnsi" w:cstheme="minorBidi"/>
              <w:noProof/>
              <w:kern w:val="2"/>
              <w:szCs w:val="24"/>
              <w:lang w:val="en-IE"/>
              <w14:ligatures w14:val="standardContextual"/>
            </w:rPr>
          </w:pPr>
          <w:hyperlink w:anchor="_Toc230010461" w:history="1">
            <w:r w:rsidR="002A554E" w:rsidRPr="00C10676">
              <w:rPr>
                <w:rStyle w:val="Hyperlink"/>
                <w:bCs/>
                <w:noProof/>
              </w:rPr>
              <w:t>2.2.1.</w:t>
            </w:r>
            <w:r w:rsidR="002A554E">
              <w:rPr>
                <w:rFonts w:asciiTheme="minorHAnsi" w:eastAsiaTheme="minorEastAsia" w:hAnsiTheme="minorHAnsi" w:cstheme="minorBidi"/>
                <w:noProof/>
                <w:kern w:val="2"/>
                <w:szCs w:val="24"/>
                <w:lang w:val="en-IE"/>
                <w14:ligatures w14:val="standardContextual"/>
              </w:rPr>
              <w:tab/>
            </w:r>
            <w:r w:rsidR="002A554E" w:rsidRPr="00C10676">
              <w:rPr>
                <w:rStyle w:val="Hyperlink"/>
                <w:noProof/>
              </w:rPr>
              <w:t>Establishing a starting point for BAU scenario</w:t>
            </w:r>
            <w:r w:rsidR="002A554E">
              <w:rPr>
                <w:noProof/>
                <w:webHidden/>
              </w:rPr>
              <w:tab/>
            </w:r>
            <w:r w:rsidR="002A554E">
              <w:rPr>
                <w:noProof/>
                <w:webHidden/>
              </w:rPr>
              <w:fldChar w:fldCharType="begin"/>
            </w:r>
            <w:r w:rsidR="002A554E">
              <w:rPr>
                <w:noProof/>
                <w:webHidden/>
              </w:rPr>
              <w:instrText xml:space="preserve"> PAGEREF _Toc230010461 \h </w:instrText>
            </w:r>
            <w:r w:rsidR="002A554E">
              <w:rPr>
                <w:noProof/>
                <w:webHidden/>
              </w:rPr>
            </w:r>
            <w:r w:rsidR="002A554E">
              <w:rPr>
                <w:noProof/>
                <w:webHidden/>
              </w:rPr>
              <w:fldChar w:fldCharType="separate"/>
            </w:r>
            <w:r w:rsidR="00845BCE">
              <w:rPr>
                <w:noProof/>
                <w:webHidden/>
              </w:rPr>
              <w:t>126</w:t>
            </w:r>
            <w:r w:rsidR="002A554E">
              <w:rPr>
                <w:noProof/>
                <w:webHidden/>
              </w:rPr>
              <w:fldChar w:fldCharType="end"/>
            </w:r>
          </w:hyperlink>
        </w:p>
        <w:p w14:paraId="47AFB2BE" w14:textId="1D2C9F60" w:rsidR="002A554E" w:rsidRDefault="0029590C">
          <w:pPr>
            <w:pStyle w:val="TOC3"/>
            <w:rPr>
              <w:rFonts w:asciiTheme="minorHAnsi" w:eastAsiaTheme="minorEastAsia" w:hAnsiTheme="minorHAnsi" w:cstheme="minorBidi"/>
              <w:noProof/>
              <w:kern w:val="2"/>
              <w:szCs w:val="24"/>
              <w:lang w:val="en-IE"/>
              <w14:ligatures w14:val="standardContextual"/>
            </w:rPr>
          </w:pPr>
          <w:hyperlink w:anchor="_Toc230010462" w:history="1">
            <w:r w:rsidR="002A554E" w:rsidRPr="00C10676">
              <w:rPr>
                <w:rStyle w:val="Hyperlink"/>
                <w:bCs/>
                <w:noProof/>
              </w:rPr>
              <w:t>2.2.2.</w:t>
            </w:r>
            <w:r w:rsidR="002A554E">
              <w:rPr>
                <w:rFonts w:asciiTheme="minorHAnsi" w:eastAsiaTheme="minorEastAsia" w:hAnsiTheme="minorHAnsi" w:cstheme="minorBidi"/>
                <w:noProof/>
                <w:kern w:val="2"/>
                <w:szCs w:val="24"/>
                <w:lang w:val="en-IE"/>
                <w14:ligatures w14:val="standardContextual"/>
              </w:rPr>
              <w:tab/>
            </w:r>
            <w:r w:rsidR="002A554E" w:rsidRPr="00C10676">
              <w:rPr>
                <w:rStyle w:val="Hyperlink"/>
                <w:noProof/>
              </w:rPr>
              <w:t>Modelling the BAU scenario</w:t>
            </w:r>
            <w:r w:rsidR="002A554E">
              <w:rPr>
                <w:noProof/>
                <w:webHidden/>
              </w:rPr>
              <w:tab/>
            </w:r>
            <w:r w:rsidR="002A554E">
              <w:rPr>
                <w:noProof/>
                <w:webHidden/>
              </w:rPr>
              <w:fldChar w:fldCharType="begin"/>
            </w:r>
            <w:r w:rsidR="002A554E">
              <w:rPr>
                <w:noProof/>
                <w:webHidden/>
              </w:rPr>
              <w:instrText xml:space="preserve"> PAGEREF _Toc230010462 \h </w:instrText>
            </w:r>
            <w:r w:rsidR="002A554E">
              <w:rPr>
                <w:noProof/>
                <w:webHidden/>
              </w:rPr>
            </w:r>
            <w:r w:rsidR="002A554E">
              <w:rPr>
                <w:noProof/>
                <w:webHidden/>
              </w:rPr>
              <w:fldChar w:fldCharType="separate"/>
            </w:r>
            <w:r w:rsidR="00845BCE">
              <w:rPr>
                <w:noProof/>
                <w:webHidden/>
              </w:rPr>
              <w:t>128</w:t>
            </w:r>
            <w:r w:rsidR="002A554E">
              <w:rPr>
                <w:noProof/>
                <w:webHidden/>
              </w:rPr>
              <w:fldChar w:fldCharType="end"/>
            </w:r>
          </w:hyperlink>
        </w:p>
        <w:p w14:paraId="3A68F153" w14:textId="6E182B01" w:rsidR="002A554E" w:rsidRDefault="0029590C">
          <w:pPr>
            <w:pStyle w:val="TOC4"/>
            <w:rPr>
              <w:rFonts w:asciiTheme="minorHAnsi" w:eastAsiaTheme="minorEastAsia" w:hAnsiTheme="minorHAnsi" w:cstheme="minorBidi"/>
              <w:kern w:val="2"/>
              <w:szCs w:val="24"/>
              <w:lang w:val="en-IE"/>
              <w14:ligatures w14:val="standardContextual"/>
            </w:rPr>
          </w:pPr>
          <w:hyperlink w:anchor="_Toc230010463" w:history="1">
            <w:r w:rsidR="002A554E" w:rsidRPr="00C10676">
              <w:rPr>
                <w:rStyle w:val="Hyperlink"/>
                <w:lang w:eastAsia="en-GB"/>
              </w:rPr>
              <w:t>2.2.2.1</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lang w:eastAsia="en-GB"/>
              </w:rPr>
              <w:t>Access to finance and scale-up</w:t>
            </w:r>
            <w:r w:rsidR="002A554E">
              <w:rPr>
                <w:webHidden/>
              </w:rPr>
              <w:tab/>
            </w:r>
            <w:r w:rsidR="002A554E">
              <w:rPr>
                <w:webHidden/>
              </w:rPr>
              <w:fldChar w:fldCharType="begin"/>
            </w:r>
            <w:r w:rsidR="002A554E">
              <w:rPr>
                <w:webHidden/>
              </w:rPr>
              <w:instrText xml:space="preserve"> PAGEREF _Toc230010463 \h </w:instrText>
            </w:r>
            <w:r w:rsidR="002A554E">
              <w:rPr>
                <w:webHidden/>
              </w:rPr>
            </w:r>
            <w:r w:rsidR="002A554E">
              <w:rPr>
                <w:webHidden/>
              </w:rPr>
              <w:fldChar w:fldCharType="separate"/>
            </w:r>
            <w:r w:rsidR="00845BCE">
              <w:rPr>
                <w:webHidden/>
              </w:rPr>
              <w:t>128</w:t>
            </w:r>
            <w:r w:rsidR="002A554E">
              <w:rPr>
                <w:webHidden/>
              </w:rPr>
              <w:fldChar w:fldCharType="end"/>
            </w:r>
          </w:hyperlink>
        </w:p>
        <w:p w14:paraId="66FECFDF" w14:textId="1D6474C8" w:rsidR="002A554E" w:rsidRDefault="0029590C">
          <w:pPr>
            <w:pStyle w:val="TOC4"/>
            <w:rPr>
              <w:rFonts w:asciiTheme="minorHAnsi" w:eastAsiaTheme="minorEastAsia" w:hAnsiTheme="minorHAnsi" w:cstheme="minorBidi"/>
              <w:kern w:val="2"/>
              <w:szCs w:val="24"/>
              <w:lang w:val="en-IE"/>
              <w14:ligatures w14:val="standardContextual"/>
            </w:rPr>
          </w:pPr>
          <w:hyperlink w:anchor="_Toc230010464" w:history="1">
            <w:r w:rsidR="002A554E" w:rsidRPr="00C10676">
              <w:rPr>
                <w:rStyle w:val="Hyperlink"/>
                <w:lang w:eastAsia="en-GB"/>
              </w:rPr>
              <w:t>2.2.2.2</w:t>
            </w:r>
            <w:r w:rsidR="002A554E">
              <w:rPr>
                <w:rFonts w:asciiTheme="minorHAnsi" w:eastAsiaTheme="minorEastAsia" w:hAnsiTheme="minorHAnsi" w:cstheme="minorBidi"/>
                <w:kern w:val="2"/>
                <w:szCs w:val="24"/>
                <w:lang w:val="en-IE"/>
                <w14:ligatures w14:val="standardContextual"/>
              </w:rPr>
              <w:tab/>
            </w:r>
            <w:r w:rsidR="002A554E" w:rsidRPr="00C10676">
              <w:rPr>
                <w:rStyle w:val="Hyperlink"/>
                <w:lang w:eastAsia="en-GB"/>
              </w:rPr>
              <w:t>Access to infrastructure and tools (DP, competence centres, pilot lines)</w:t>
            </w:r>
            <w:r w:rsidR="002A554E">
              <w:rPr>
                <w:webHidden/>
              </w:rPr>
              <w:tab/>
            </w:r>
            <w:r w:rsidR="002A554E">
              <w:rPr>
                <w:webHidden/>
              </w:rPr>
              <w:fldChar w:fldCharType="begin"/>
            </w:r>
            <w:r w:rsidR="002A554E">
              <w:rPr>
                <w:webHidden/>
              </w:rPr>
              <w:instrText xml:space="preserve"> PAGEREF _Toc230010464 \h </w:instrText>
            </w:r>
            <w:r w:rsidR="002A554E">
              <w:rPr>
                <w:webHidden/>
              </w:rPr>
            </w:r>
            <w:r w:rsidR="002A554E">
              <w:rPr>
                <w:webHidden/>
              </w:rPr>
              <w:fldChar w:fldCharType="separate"/>
            </w:r>
            <w:r w:rsidR="00845BCE">
              <w:rPr>
                <w:webHidden/>
              </w:rPr>
              <w:t>128</w:t>
            </w:r>
            <w:r w:rsidR="002A554E">
              <w:rPr>
                <w:webHidden/>
              </w:rPr>
              <w:fldChar w:fldCharType="end"/>
            </w:r>
          </w:hyperlink>
        </w:p>
        <w:p w14:paraId="58798C3B" w14:textId="0809F239"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465" w:history="1">
            <w:r w:rsidR="002A554E" w:rsidRPr="00C10676">
              <w:rPr>
                <w:rStyle w:val="Hyperlink"/>
                <w:noProof/>
              </w:rPr>
              <w:t>2.3.</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R&amp;D&amp;I leadership in the EU semiconductor industry</w:t>
            </w:r>
            <w:r w:rsidR="002A554E">
              <w:rPr>
                <w:noProof/>
                <w:webHidden/>
              </w:rPr>
              <w:tab/>
            </w:r>
            <w:r w:rsidR="002A554E">
              <w:rPr>
                <w:noProof/>
                <w:webHidden/>
              </w:rPr>
              <w:fldChar w:fldCharType="begin"/>
            </w:r>
            <w:r w:rsidR="002A554E">
              <w:rPr>
                <w:noProof/>
                <w:webHidden/>
              </w:rPr>
              <w:instrText xml:space="preserve"> PAGEREF _Toc230010465 \h </w:instrText>
            </w:r>
            <w:r w:rsidR="002A554E">
              <w:rPr>
                <w:noProof/>
                <w:webHidden/>
              </w:rPr>
            </w:r>
            <w:r w:rsidR="002A554E">
              <w:rPr>
                <w:noProof/>
                <w:webHidden/>
              </w:rPr>
              <w:fldChar w:fldCharType="separate"/>
            </w:r>
            <w:r w:rsidR="00845BCE">
              <w:rPr>
                <w:noProof/>
                <w:webHidden/>
              </w:rPr>
              <w:t>129</w:t>
            </w:r>
            <w:r w:rsidR="002A554E">
              <w:rPr>
                <w:noProof/>
                <w:webHidden/>
              </w:rPr>
              <w:fldChar w:fldCharType="end"/>
            </w:r>
          </w:hyperlink>
        </w:p>
        <w:p w14:paraId="4A0594B1" w14:textId="7CBBD420" w:rsidR="002A554E" w:rsidRDefault="0029590C">
          <w:pPr>
            <w:pStyle w:val="TOC3"/>
            <w:rPr>
              <w:rFonts w:asciiTheme="minorHAnsi" w:eastAsiaTheme="minorEastAsia" w:hAnsiTheme="minorHAnsi" w:cstheme="minorBidi"/>
              <w:noProof/>
              <w:kern w:val="2"/>
              <w:szCs w:val="24"/>
              <w:lang w:val="en-IE"/>
              <w14:ligatures w14:val="standardContextual"/>
            </w:rPr>
          </w:pPr>
          <w:hyperlink w:anchor="_Toc230010466" w:history="1">
            <w:r w:rsidR="002A554E" w:rsidRPr="00C10676">
              <w:rPr>
                <w:rStyle w:val="Hyperlink"/>
                <w:bCs/>
                <w:noProof/>
              </w:rPr>
              <w:t>2.3.1.</w:t>
            </w:r>
            <w:r w:rsidR="002A554E">
              <w:rPr>
                <w:rFonts w:asciiTheme="minorHAnsi" w:eastAsiaTheme="minorEastAsia" w:hAnsiTheme="minorHAnsi" w:cstheme="minorBidi"/>
                <w:noProof/>
                <w:kern w:val="2"/>
                <w:szCs w:val="24"/>
                <w:lang w:val="en-IE"/>
                <w14:ligatures w14:val="standardContextual"/>
              </w:rPr>
              <w:tab/>
            </w:r>
            <w:r w:rsidR="002A554E" w:rsidRPr="00C10676">
              <w:rPr>
                <w:rStyle w:val="Hyperlink"/>
                <w:noProof/>
              </w:rPr>
              <w:t>Establishing a starting point for BAU scenario</w:t>
            </w:r>
            <w:r w:rsidR="002A554E">
              <w:rPr>
                <w:noProof/>
                <w:webHidden/>
              </w:rPr>
              <w:tab/>
            </w:r>
            <w:r w:rsidR="002A554E">
              <w:rPr>
                <w:noProof/>
                <w:webHidden/>
              </w:rPr>
              <w:fldChar w:fldCharType="begin"/>
            </w:r>
            <w:r w:rsidR="002A554E">
              <w:rPr>
                <w:noProof/>
                <w:webHidden/>
              </w:rPr>
              <w:instrText xml:space="preserve"> PAGEREF _Toc230010466 \h </w:instrText>
            </w:r>
            <w:r w:rsidR="002A554E">
              <w:rPr>
                <w:noProof/>
                <w:webHidden/>
              </w:rPr>
            </w:r>
            <w:r w:rsidR="002A554E">
              <w:rPr>
                <w:noProof/>
                <w:webHidden/>
              </w:rPr>
              <w:fldChar w:fldCharType="separate"/>
            </w:r>
            <w:r w:rsidR="00845BCE">
              <w:rPr>
                <w:noProof/>
                <w:webHidden/>
              </w:rPr>
              <w:t>131</w:t>
            </w:r>
            <w:r w:rsidR="002A554E">
              <w:rPr>
                <w:noProof/>
                <w:webHidden/>
              </w:rPr>
              <w:fldChar w:fldCharType="end"/>
            </w:r>
          </w:hyperlink>
        </w:p>
        <w:p w14:paraId="53261B4C" w14:textId="260D4612" w:rsidR="002A554E" w:rsidRDefault="0029590C">
          <w:pPr>
            <w:pStyle w:val="TOC3"/>
            <w:rPr>
              <w:rFonts w:asciiTheme="minorHAnsi" w:eastAsiaTheme="minorEastAsia" w:hAnsiTheme="minorHAnsi" w:cstheme="minorBidi"/>
              <w:noProof/>
              <w:kern w:val="2"/>
              <w:szCs w:val="24"/>
              <w:lang w:val="en-IE"/>
              <w14:ligatures w14:val="standardContextual"/>
            </w:rPr>
          </w:pPr>
          <w:hyperlink w:anchor="_Toc230010467" w:history="1">
            <w:r w:rsidR="002A554E" w:rsidRPr="00C10676">
              <w:rPr>
                <w:rStyle w:val="Hyperlink"/>
                <w:bCs/>
                <w:noProof/>
              </w:rPr>
              <w:t>2.3.2.</w:t>
            </w:r>
            <w:r w:rsidR="002A554E">
              <w:rPr>
                <w:rFonts w:asciiTheme="minorHAnsi" w:eastAsiaTheme="minorEastAsia" w:hAnsiTheme="minorHAnsi" w:cstheme="minorBidi"/>
                <w:noProof/>
                <w:kern w:val="2"/>
                <w:szCs w:val="24"/>
                <w:lang w:val="en-IE"/>
                <w14:ligatures w14:val="standardContextual"/>
              </w:rPr>
              <w:tab/>
            </w:r>
            <w:r w:rsidR="002A554E" w:rsidRPr="00C10676">
              <w:rPr>
                <w:rStyle w:val="Hyperlink"/>
                <w:noProof/>
              </w:rPr>
              <w:t>Modelling the BAU scenario</w:t>
            </w:r>
            <w:r w:rsidR="002A554E">
              <w:rPr>
                <w:noProof/>
                <w:webHidden/>
              </w:rPr>
              <w:tab/>
            </w:r>
            <w:r w:rsidR="002A554E">
              <w:rPr>
                <w:noProof/>
                <w:webHidden/>
              </w:rPr>
              <w:fldChar w:fldCharType="begin"/>
            </w:r>
            <w:r w:rsidR="002A554E">
              <w:rPr>
                <w:noProof/>
                <w:webHidden/>
              </w:rPr>
              <w:instrText xml:space="preserve"> PAGEREF _Toc230010467 \h </w:instrText>
            </w:r>
            <w:r w:rsidR="002A554E">
              <w:rPr>
                <w:noProof/>
                <w:webHidden/>
              </w:rPr>
            </w:r>
            <w:r w:rsidR="002A554E">
              <w:rPr>
                <w:noProof/>
                <w:webHidden/>
              </w:rPr>
              <w:fldChar w:fldCharType="separate"/>
            </w:r>
            <w:r w:rsidR="00845BCE">
              <w:rPr>
                <w:noProof/>
                <w:webHidden/>
              </w:rPr>
              <w:t>133</w:t>
            </w:r>
            <w:r w:rsidR="002A554E">
              <w:rPr>
                <w:noProof/>
                <w:webHidden/>
              </w:rPr>
              <w:fldChar w:fldCharType="end"/>
            </w:r>
          </w:hyperlink>
        </w:p>
        <w:p w14:paraId="77F21A02" w14:textId="41A57D57"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468" w:history="1">
            <w:r w:rsidR="002A554E" w:rsidRPr="00C10676">
              <w:rPr>
                <w:rStyle w:val="Hyperlink"/>
                <w:noProof/>
              </w:rPr>
              <w:t>3.</w:t>
            </w:r>
            <w:r w:rsidR="002A554E">
              <w:rPr>
                <w:rFonts w:asciiTheme="minorHAnsi" w:eastAsiaTheme="minorEastAsia" w:hAnsiTheme="minorHAnsi" w:cstheme="minorBidi"/>
                <w:caps w:val="0"/>
                <w:noProof/>
                <w:kern w:val="2"/>
                <w:szCs w:val="24"/>
                <w:lang w:val="en-IE" w:eastAsia="en-IE"/>
                <w14:ligatures w14:val="standardContextual"/>
              </w:rPr>
              <w:tab/>
            </w:r>
            <w:r w:rsidR="002A554E" w:rsidRPr="00C10676">
              <w:rPr>
                <w:rStyle w:val="Hyperlink"/>
                <w:noProof/>
              </w:rPr>
              <w:t>Regional and territorial effects</w:t>
            </w:r>
            <w:r w:rsidR="002A554E">
              <w:rPr>
                <w:noProof/>
                <w:webHidden/>
              </w:rPr>
              <w:tab/>
            </w:r>
            <w:r w:rsidR="002A554E">
              <w:rPr>
                <w:noProof/>
                <w:webHidden/>
              </w:rPr>
              <w:fldChar w:fldCharType="begin"/>
            </w:r>
            <w:r w:rsidR="002A554E">
              <w:rPr>
                <w:noProof/>
                <w:webHidden/>
              </w:rPr>
              <w:instrText xml:space="preserve"> PAGEREF _Toc230010468 \h </w:instrText>
            </w:r>
            <w:r w:rsidR="002A554E">
              <w:rPr>
                <w:noProof/>
                <w:webHidden/>
              </w:rPr>
            </w:r>
            <w:r w:rsidR="002A554E">
              <w:rPr>
                <w:noProof/>
                <w:webHidden/>
              </w:rPr>
              <w:fldChar w:fldCharType="separate"/>
            </w:r>
            <w:r w:rsidR="00845BCE">
              <w:rPr>
                <w:noProof/>
                <w:webHidden/>
              </w:rPr>
              <w:t>136</w:t>
            </w:r>
            <w:r w:rsidR="002A554E">
              <w:rPr>
                <w:noProof/>
                <w:webHidden/>
              </w:rPr>
              <w:fldChar w:fldCharType="end"/>
            </w:r>
          </w:hyperlink>
        </w:p>
        <w:p w14:paraId="1DDCB20B" w14:textId="3FD7D37C"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469" w:history="1">
            <w:r w:rsidR="002A554E" w:rsidRPr="00C10676">
              <w:rPr>
                <w:rStyle w:val="Hyperlink"/>
                <w:noProof/>
              </w:rPr>
              <w:t>3.1.</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Establishing a starting point for BAU scenario</w:t>
            </w:r>
            <w:r w:rsidR="002A554E">
              <w:rPr>
                <w:noProof/>
                <w:webHidden/>
              </w:rPr>
              <w:tab/>
            </w:r>
            <w:r w:rsidR="002A554E">
              <w:rPr>
                <w:noProof/>
                <w:webHidden/>
              </w:rPr>
              <w:fldChar w:fldCharType="begin"/>
            </w:r>
            <w:r w:rsidR="002A554E">
              <w:rPr>
                <w:noProof/>
                <w:webHidden/>
              </w:rPr>
              <w:instrText xml:space="preserve"> PAGEREF _Toc230010469 \h </w:instrText>
            </w:r>
            <w:r w:rsidR="002A554E">
              <w:rPr>
                <w:noProof/>
                <w:webHidden/>
              </w:rPr>
            </w:r>
            <w:r w:rsidR="002A554E">
              <w:rPr>
                <w:noProof/>
                <w:webHidden/>
              </w:rPr>
              <w:fldChar w:fldCharType="separate"/>
            </w:r>
            <w:r w:rsidR="00845BCE">
              <w:rPr>
                <w:noProof/>
                <w:webHidden/>
              </w:rPr>
              <w:t>136</w:t>
            </w:r>
            <w:r w:rsidR="002A554E">
              <w:rPr>
                <w:noProof/>
                <w:webHidden/>
              </w:rPr>
              <w:fldChar w:fldCharType="end"/>
            </w:r>
          </w:hyperlink>
        </w:p>
        <w:p w14:paraId="36A71874" w14:textId="5662995D"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470" w:history="1">
            <w:r w:rsidR="002A554E" w:rsidRPr="00C10676">
              <w:rPr>
                <w:rStyle w:val="Hyperlink"/>
                <w:noProof/>
              </w:rPr>
              <w:t>3.2.</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Modelling the BAU scenario</w:t>
            </w:r>
            <w:r w:rsidR="002A554E">
              <w:rPr>
                <w:noProof/>
                <w:webHidden/>
              </w:rPr>
              <w:tab/>
            </w:r>
            <w:r w:rsidR="002A554E">
              <w:rPr>
                <w:noProof/>
                <w:webHidden/>
              </w:rPr>
              <w:fldChar w:fldCharType="begin"/>
            </w:r>
            <w:r w:rsidR="002A554E">
              <w:rPr>
                <w:noProof/>
                <w:webHidden/>
              </w:rPr>
              <w:instrText xml:space="preserve"> PAGEREF _Toc230010470 \h </w:instrText>
            </w:r>
            <w:r w:rsidR="002A554E">
              <w:rPr>
                <w:noProof/>
                <w:webHidden/>
              </w:rPr>
            </w:r>
            <w:r w:rsidR="002A554E">
              <w:rPr>
                <w:noProof/>
                <w:webHidden/>
              </w:rPr>
              <w:fldChar w:fldCharType="separate"/>
            </w:r>
            <w:r w:rsidR="00845BCE">
              <w:rPr>
                <w:noProof/>
                <w:webHidden/>
              </w:rPr>
              <w:t>138</w:t>
            </w:r>
            <w:r w:rsidR="002A554E">
              <w:rPr>
                <w:noProof/>
                <w:webHidden/>
              </w:rPr>
              <w:fldChar w:fldCharType="end"/>
            </w:r>
          </w:hyperlink>
        </w:p>
        <w:p w14:paraId="4361E66B" w14:textId="5E5914CC"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471" w:history="1">
            <w:r w:rsidR="002A554E" w:rsidRPr="00C10676">
              <w:rPr>
                <w:rStyle w:val="Hyperlink"/>
                <w:noProof/>
              </w:rPr>
              <w:t>4.</w:t>
            </w:r>
            <w:r w:rsidR="002A554E">
              <w:rPr>
                <w:rFonts w:asciiTheme="minorHAnsi" w:eastAsiaTheme="minorEastAsia" w:hAnsiTheme="minorHAnsi" w:cstheme="minorBidi"/>
                <w:caps w:val="0"/>
                <w:noProof/>
                <w:kern w:val="2"/>
                <w:szCs w:val="24"/>
                <w:lang w:val="en-IE" w:eastAsia="en-IE"/>
                <w14:ligatures w14:val="standardContextual"/>
              </w:rPr>
              <w:tab/>
            </w:r>
            <w:r w:rsidR="002A554E" w:rsidRPr="00C10676">
              <w:rPr>
                <w:rStyle w:val="Hyperlink"/>
                <w:noProof/>
              </w:rPr>
              <w:t>Modelling environmental impacts</w:t>
            </w:r>
            <w:r w:rsidR="002A554E">
              <w:rPr>
                <w:noProof/>
                <w:webHidden/>
              </w:rPr>
              <w:tab/>
            </w:r>
            <w:r w:rsidR="002A554E">
              <w:rPr>
                <w:noProof/>
                <w:webHidden/>
              </w:rPr>
              <w:fldChar w:fldCharType="begin"/>
            </w:r>
            <w:r w:rsidR="002A554E">
              <w:rPr>
                <w:noProof/>
                <w:webHidden/>
              </w:rPr>
              <w:instrText xml:space="preserve"> PAGEREF _Toc230010471 \h </w:instrText>
            </w:r>
            <w:r w:rsidR="002A554E">
              <w:rPr>
                <w:noProof/>
                <w:webHidden/>
              </w:rPr>
            </w:r>
            <w:r w:rsidR="002A554E">
              <w:rPr>
                <w:noProof/>
                <w:webHidden/>
              </w:rPr>
              <w:fldChar w:fldCharType="separate"/>
            </w:r>
            <w:r w:rsidR="00845BCE">
              <w:rPr>
                <w:noProof/>
                <w:webHidden/>
              </w:rPr>
              <w:t>141</w:t>
            </w:r>
            <w:r w:rsidR="002A554E">
              <w:rPr>
                <w:noProof/>
                <w:webHidden/>
              </w:rPr>
              <w:fldChar w:fldCharType="end"/>
            </w:r>
          </w:hyperlink>
        </w:p>
        <w:p w14:paraId="1DD16D44" w14:textId="24CEC43C" w:rsidR="002A554E" w:rsidRDefault="0029590C">
          <w:pPr>
            <w:pStyle w:val="TOC2"/>
            <w:tabs>
              <w:tab w:val="left" w:pos="1445"/>
            </w:tabs>
            <w:rPr>
              <w:rFonts w:asciiTheme="minorHAnsi" w:eastAsiaTheme="minorEastAsia" w:hAnsiTheme="minorHAnsi" w:cstheme="minorBidi"/>
              <w:noProof/>
              <w:kern w:val="2"/>
              <w:szCs w:val="24"/>
              <w:lang w:val="en-IE" w:eastAsia="en-IE"/>
              <w14:ligatures w14:val="standardContextual"/>
            </w:rPr>
          </w:pPr>
          <w:hyperlink w:anchor="_Toc230010472" w:history="1">
            <w:r w:rsidR="002A554E" w:rsidRPr="00C10676">
              <w:rPr>
                <w:rStyle w:val="Hyperlink"/>
                <w:noProof/>
              </w:rPr>
              <w:t>4.1.</w:t>
            </w:r>
            <w:r w:rsidR="002A554E">
              <w:rPr>
                <w:rFonts w:asciiTheme="minorHAnsi" w:eastAsiaTheme="minorEastAsia" w:hAnsiTheme="minorHAnsi" w:cstheme="minorBidi"/>
                <w:noProof/>
                <w:kern w:val="2"/>
                <w:szCs w:val="24"/>
                <w:lang w:val="en-IE" w:eastAsia="en-IE"/>
                <w14:ligatures w14:val="standardContextual"/>
              </w:rPr>
              <w:tab/>
            </w:r>
            <w:r w:rsidR="002A554E" w:rsidRPr="00C10676">
              <w:rPr>
                <w:rStyle w:val="Hyperlink"/>
                <w:noProof/>
              </w:rPr>
              <w:t>Environmental impacts</w:t>
            </w:r>
            <w:r w:rsidR="002A554E">
              <w:rPr>
                <w:noProof/>
                <w:webHidden/>
              </w:rPr>
              <w:tab/>
            </w:r>
            <w:r w:rsidR="002A554E">
              <w:rPr>
                <w:noProof/>
                <w:webHidden/>
              </w:rPr>
              <w:fldChar w:fldCharType="begin"/>
            </w:r>
            <w:r w:rsidR="002A554E">
              <w:rPr>
                <w:noProof/>
                <w:webHidden/>
              </w:rPr>
              <w:instrText xml:space="preserve"> PAGEREF _Toc230010472 \h </w:instrText>
            </w:r>
            <w:r w:rsidR="002A554E">
              <w:rPr>
                <w:noProof/>
                <w:webHidden/>
              </w:rPr>
            </w:r>
            <w:r w:rsidR="002A554E">
              <w:rPr>
                <w:noProof/>
                <w:webHidden/>
              </w:rPr>
              <w:fldChar w:fldCharType="separate"/>
            </w:r>
            <w:r w:rsidR="00845BCE">
              <w:rPr>
                <w:noProof/>
                <w:webHidden/>
              </w:rPr>
              <w:t>141</w:t>
            </w:r>
            <w:r w:rsidR="002A554E">
              <w:rPr>
                <w:noProof/>
                <w:webHidden/>
              </w:rPr>
              <w:fldChar w:fldCharType="end"/>
            </w:r>
          </w:hyperlink>
        </w:p>
        <w:p w14:paraId="06598DBE" w14:textId="25CDC0CF" w:rsidR="002A554E" w:rsidRDefault="0029590C">
          <w:pPr>
            <w:pStyle w:val="TOC3"/>
            <w:rPr>
              <w:rFonts w:asciiTheme="minorHAnsi" w:eastAsiaTheme="minorEastAsia" w:hAnsiTheme="minorHAnsi" w:cstheme="minorBidi"/>
              <w:noProof/>
              <w:kern w:val="2"/>
              <w:szCs w:val="24"/>
              <w:lang w:val="en-IE"/>
              <w14:ligatures w14:val="standardContextual"/>
            </w:rPr>
          </w:pPr>
          <w:hyperlink w:anchor="_Toc230010473" w:history="1">
            <w:r w:rsidR="002A554E" w:rsidRPr="00C10676">
              <w:rPr>
                <w:rStyle w:val="Hyperlink"/>
                <w:bCs/>
                <w:noProof/>
              </w:rPr>
              <w:t>4.1.1.</w:t>
            </w:r>
            <w:r w:rsidR="002A554E">
              <w:rPr>
                <w:rFonts w:asciiTheme="minorHAnsi" w:eastAsiaTheme="minorEastAsia" w:hAnsiTheme="minorHAnsi" w:cstheme="minorBidi"/>
                <w:noProof/>
                <w:kern w:val="2"/>
                <w:szCs w:val="24"/>
                <w:lang w:val="en-IE"/>
                <w14:ligatures w14:val="standardContextual"/>
              </w:rPr>
              <w:tab/>
            </w:r>
            <w:r w:rsidR="002A554E" w:rsidRPr="00C10676">
              <w:rPr>
                <w:rStyle w:val="Hyperlink"/>
                <w:noProof/>
              </w:rPr>
              <w:t>Establishing a starting point for BAU scenario</w:t>
            </w:r>
            <w:r w:rsidR="002A554E">
              <w:rPr>
                <w:noProof/>
                <w:webHidden/>
              </w:rPr>
              <w:tab/>
            </w:r>
            <w:r w:rsidR="002A554E">
              <w:rPr>
                <w:noProof/>
                <w:webHidden/>
              </w:rPr>
              <w:fldChar w:fldCharType="begin"/>
            </w:r>
            <w:r w:rsidR="002A554E">
              <w:rPr>
                <w:noProof/>
                <w:webHidden/>
              </w:rPr>
              <w:instrText xml:space="preserve"> PAGEREF _Toc230010473 \h </w:instrText>
            </w:r>
            <w:r w:rsidR="002A554E">
              <w:rPr>
                <w:noProof/>
                <w:webHidden/>
              </w:rPr>
            </w:r>
            <w:r w:rsidR="002A554E">
              <w:rPr>
                <w:noProof/>
                <w:webHidden/>
              </w:rPr>
              <w:fldChar w:fldCharType="separate"/>
            </w:r>
            <w:r w:rsidR="00845BCE">
              <w:rPr>
                <w:noProof/>
                <w:webHidden/>
              </w:rPr>
              <w:t>141</w:t>
            </w:r>
            <w:r w:rsidR="002A554E">
              <w:rPr>
                <w:noProof/>
                <w:webHidden/>
              </w:rPr>
              <w:fldChar w:fldCharType="end"/>
            </w:r>
          </w:hyperlink>
        </w:p>
        <w:p w14:paraId="349F62CE" w14:textId="178B975F" w:rsidR="002A554E" w:rsidRDefault="0029590C">
          <w:pPr>
            <w:pStyle w:val="TOC3"/>
            <w:rPr>
              <w:rFonts w:asciiTheme="minorHAnsi" w:eastAsiaTheme="minorEastAsia" w:hAnsiTheme="minorHAnsi" w:cstheme="minorBidi"/>
              <w:noProof/>
              <w:kern w:val="2"/>
              <w:szCs w:val="24"/>
              <w:lang w:val="en-IE"/>
              <w14:ligatures w14:val="standardContextual"/>
            </w:rPr>
          </w:pPr>
          <w:hyperlink w:anchor="_Toc230010474" w:history="1">
            <w:r w:rsidR="002A554E" w:rsidRPr="00C10676">
              <w:rPr>
                <w:rStyle w:val="Hyperlink"/>
                <w:bCs/>
                <w:noProof/>
              </w:rPr>
              <w:t>4.1.2.</w:t>
            </w:r>
            <w:r w:rsidR="002A554E">
              <w:rPr>
                <w:rFonts w:asciiTheme="minorHAnsi" w:eastAsiaTheme="minorEastAsia" w:hAnsiTheme="minorHAnsi" w:cstheme="minorBidi"/>
                <w:noProof/>
                <w:kern w:val="2"/>
                <w:szCs w:val="24"/>
                <w:lang w:val="en-IE"/>
                <w14:ligatures w14:val="standardContextual"/>
              </w:rPr>
              <w:tab/>
            </w:r>
            <w:r w:rsidR="002A554E" w:rsidRPr="00C10676">
              <w:rPr>
                <w:rStyle w:val="Hyperlink"/>
                <w:noProof/>
              </w:rPr>
              <w:t>Environmental impact assessment for BAU scenario</w:t>
            </w:r>
            <w:r w:rsidR="002A554E">
              <w:rPr>
                <w:noProof/>
                <w:webHidden/>
              </w:rPr>
              <w:tab/>
            </w:r>
            <w:r w:rsidR="002A554E">
              <w:rPr>
                <w:noProof/>
                <w:webHidden/>
              </w:rPr>
              <w:fldChar w:fldCharType="begin"/>
            </w:r>
            <w:r w:rsidR="002A554E">
              <w:rPr>
                <w:noProof/>
                <w:webHidden/>
              </w:rPr>
              <w:instrText xml:space="preserve"> PAGEREF _Toc230010474 \h </w:instrText>
            </w:r>
            <w:r w:rsidR="002A554E">
              <w:rPr>
                <w:noProof/>
                <w:webHidden/>
              </w:rPr>
            </w:r>
            <w:r w:rsidR="002A554E">
              <w:rPr>
                <w:noProof/>
                <w:webHidden/>
              </w:rPr>
              <w:fldChar w:fldCharType="separate"/>
            </w:r>
            <w:r w:rsidR="00845BCE">
              <w:rPr>
                <w:noProof/>
                <w:webHidden/>
              </w:rPr>
              <w:t>143</w:t>
            </w:r>
            <w:r w:rsidR="002A554E">
              <w:rPr>
                <w:noProof/>
                <w:webHidden/>
              </w:rPr>
              <w:fldChar w:fldCharType="end"/>
            </w:r>
          </w:hyperlink>
        </w:p>
        <w:p w14:paraId="619E35D3" w14:textId="6B459C25" w:rsidR="002A554E" w:rsidRDefault="0029590C">
          <w:pPr>
            <w:pStyle w:val="TOC3"/>
            <w:rPr>
              <w:rFonts w:asciiTheme="minorHAnsi" w:eastAsiaTheme="minorEastAsia" w:hAnsiTheme="minorHAnsi" w:cstheme="minorBidi"/>
              <w:noProof/>
              <w:kern w:val="2"/>
              <w:szCs w:val="24"/>
              <w:lang w:val="en-IE"/>
              <w14:ligatures w14:val="standardContextual"/>
            </w:rPr>
          </w:pPr>
          <w:hyperlink w:anchor="_Toc230010475" w:history="1">
            <w:r w:rsidR="002A554E" w:rsidRPr="00C10676">
              <w:rPr>
                <w:rStyle w:val="Hyperlink"/>
                <w:bCs/>
                <w:noProof/>
              </w:rPr>
              <w:t>4.1.3.</w:t>
            </w:r>
            <w:r w:rsidR="002A554E">
              <w:rPr>
                <w:rFonts w:asciiTheme="minorHAnsi" w:eastAsiaTheme="minorEastAsia" w:hAnsiTheme="minorHAnsi" w:cstheme="minorBidi"/>
                <w:noProof/>
                <w:kern w:val="2"/>
                <w:szCs w:val="24"/>
                <w:lang w:val="en-IE"/>
                <w14:ligatures w14:val="standardContextual"/>
              </w:rPr>
              <w:tab/>
            </w:r>
            <w:r w:rsidR="002A554E" w:rsidRPr="00C10676">
              <w:rPr>
                <w:rStyle w:val="Hyperlink"/>
                <w:noProof/>
              </w:rPr>
              <w:t>Modelling for different scenarios</w:t>
            </w:r>
            <w:r w:rsidR="002A554E">
              <w:rPr>
                <w:noProof/>
                <w:webHidden/>
              </w:rPr>
              <w:tab/>
            </w:r>
            <w:r w:rsidR="002A554E">
              <w:rPr>
                <w:noProof/>
                <w:webHidden/>
              </w:rPr>
              <w:fldChar w:fldCharType="begin"/>
            </w:r>
            <w:r w:rsidR="002A554E">
              <w:rPr>
                <w:noProof/>
                <w:webHidden/>
              </w:rPr>
              <w:instrText xml:space="preserve"> PAGEREF _Toc230010475 \h </w:instrText>
            </w:r>
            <w:r w:rsidR="002A554E">
              <w:rPr>
                <w:noProof/>
                <w:webHidden/>
              </w:rPr>
            </w:r>
            <w:r w:rsidR="002A554E">
              <w:rPr>
                <w:noProof/>
                <w:webHidden/>
              </w:rPr>
              <w:fldChar w:fldCharType="separate"/>
            </w:r>
            <w:r w:rsidR="00845BCE">
              <w:rPr>
                <w:noProof/>
                <w:webHidden/>
              </w:rPr>
              <w:t>147</w:t>
            </w:r>
            <w:r w:rsidR="002A554E">
              <w:rPr>
                <w:noProof/>
                <w:webHidden/>
              </w:rPr>
              <w:fldChar w:fldCharType="end"/>
            </w:r>
          </w:hyperlink>
        </w:p>
        <w:p w14:paraId="0D83DA50" w14:textId="2A8DF19F" w:rsidR="002A554E" w:rsidRDefault="0029590C">
          <w:pPr>
            <w:pStyle w:val="TOC3"/>
            <w:rPr>
              <w:rFonts w:asciiTheme="minorHAnsi" w:eastAsiaTheme="minorEastAsia" w:hAnsiTheme="minorHAnsi" w:cstheme="minorBidi"/>
              <w:noProof/>
              <w:kern w:val="2"/>
              <w:szCs w:val="24"/>
              <w:lang w:val="en-IE"/>
              <w14:ligatures w14:val="standardContextual"/>
            </w:rPr>
          </w:pPr>
          <w:hyperlink w:anchor="_Toc230010476" w:history="1">
            <w:r w:rsidR="002A554E" w:rsidRPr="00C10676">
              <w:rPr>
                <w:rStyle w:val="Hyperlink"/>
                <w:bCs/>
                <w:noProof/>
              </w:rPr>
              <w:t>4.1.4.</w:t>
            </w:r>
            <w:r w:rsidR="002A554E">
              <w:rPr>
                <w:rFonts w:asciiTheme="minorHAnsi" w:eastAsiaTheme="minorEastAsia" w:hAnsiTheme="minorHAnsi" w:cstheme="minorBidi"/>
                <w:noProof/>
                <w:kern w:val="2"/>
                <w:szCs w:val="24"/>
                <w:lang w:val="en-IE"/>
                <w14:ligatures w14:val="standardContextual"/>
              </w:rPr>
              <w:tab/>
            </w:r>
            <w:r w:rsidR="002A554E" w:rsidRPr="00C10676">
              <w:rPr>
                <w:rStyle w:val="Hyperlink"/>
                <w:noProof/>
              </w:rPr>
              <w:t>Developments expected under Policy Option 1</w:t>
            </w:r>
            <w:r w:rsidR="002A554E">
              <w:rPr>
                <w:noProof/>
                <w:webHidden/>
              </w:rPr>
              <w:tab/>
            </w:r>
            <w:r w:rsidR="002A554E">
              <w:rPr>
                <w:noProof/>
                <w:webHidden/>
              </w:rPr>
              <w:fldChar w:fldCharType="begin"/>
            </w:r>
            <w:r w:rsidR="002A554E">
              <w:rPr>
                <w:noProof/>
                <w:webHidden/>
              </w:rPr>
              <w:instrText xml:space="preserve"> PAGEREF _Toc230010476 \h </w:instrText>
            </w:r>
            <w:r w:rsidR="002A554E">
              <w:rPr>
                <w:noProof/>
                <w:webHidden/>
              </w:rPr>
            </w:r>
            <w:r w:rsidR="002A554E">
              <w:rPr>
                <w:noProof/>
                <w:webHidden/>
              </w:rPr>
              <w:fldChar w:fldCharType="separate"/>
            </w:r>
            <w:r w:rsidR="00845BCE">
              <w:rPr>
                <w:noProof/>
                <w:webHidden/>
              </w:rPr>
              <w:t>149</w:t>
            </w:r>
            <w:r w:rsidR="002A554E">
              <w:rPr>
                <w:noProof/>
                <w:webHidden/>
              </w:rPr>
              <w:fldChar w:fldCharType="end"/>
            </w:r>
          </w:hyperlink>
        </w:p>
        <w:p w14:paraId="165AEFCE" w14:textId="6DD1D363" w:rsidR="002A554E" w:rsidRDefault="0029590C">
          <w:pPr>
            <w:pStyle w:val="TOC3"/>
            <w:rPr>
              <w:rFonts w:asciiTheme="minorHAnsi" w:eastAsiaTheme="minorEastAsia" w:hAnsiTheme="minorHAnsi" w:cstheme="minorBidi"/>
              <w:noProof/>
              <w:kern w:val="2"/>
              <w:szCs w:val="24"/>
              <w:lang w:val="en-IE"/>
              <w14:ligatures w14:val="standardContextual"/>
            </w:rPr>
          </w:pPr>
          <w:hyperlink w:anchor="_Toc230010477" w:history="1">
            <w:r w:rsidR="002A554E" w:rsidRPr="00C10676">
              <w:rPr>
                <w:rStyle w:val="Hyperlink"/>
                <w:bCs/>
                <w:noProof/>
              </w:rPr>
              <w:t>4.1.5.</w:t>
            </w:r>
            <w:r w:rsidR="002A554E">
              <w:rPr>
                <w:rFonts w:asciiTheme="minorHAnsi" w:eastAsiaTheme="minorEastAsia" w:hAnsiTheme="minorHAnsi" w:cstheme="minorBidi"/>
                <w:noProof/>
                <w:kern w:val="2"/>
                <w:szCs w:val="24"/>
                <w:lang w:val="en-IE"/>
                <w14:ligatures w14:val="standardContextual"/>
              </w:rPr>
              <w:tab/>
            </w:r>
            <w:r w:rsidR="002A554E" w:rsidRPr="00C10676">
              <w:rPr>
                <w:rStyle w:val="Hyperlink"/>
                <w:noProof/>
              </w:rPr>
              <w:t>Developments expected under Policy Option 2</w:t>
            </w:r>
            <w:r w:rsidR="002A554E">
              <w:rPr>
                <w:noProof/>
                <w:webHidden/>
              </w:rPr>
              <w:tab/>
            </w:r>
            <w:r w:rsidR="002A554E">
              <w:rPr>
                <w:noProof/>
                <w:webHidden/>
              </w:rPr>
              <w:fldChar w:fldCharType="begin"/>
            </w:r>
            <w:r w:rsidR="002A554E">
              <w:rPr>
                <w:noProof/>
                <w:webHidden/>
              </w:rPr>
              <w:instrText xml:space="preserve"> PAGEREF _Toc230010477 \h </w:instrText>
            </w:r>
            <w:r w:rsidR="002A554E">
              <w:rPr>
                <w:noProof/>
                <w:webHidden/>
              </w:rPr>
            </w:r>
            <w:r w:rsidR="002A554E">
              <w:rPr>
                <w:noProof/>
                <w:webHidden/>
              </w:rPr>
              <w:fldChar w:fldCharType="separate"/>
            </w:r>
            <w:r w:rsidR="00845BCE">
              <w:rPr>
                <w:noProof/>
                <w:webHidden/>
              </w:rPr>
              <w:t>149</w:t>
            </w:r>
            <w:r w:rsidR="002A554E">
              <w:rPr>
                <w:noProof/>
                <w:webHidden/>
              </w:rPr>
              <w:fldChar w:fldCharType="end"/>
            </w:r>
          </w:hyperlink>
        </w:p>
        <w:p w14:paraId="39AE62EA" w14:textId="4979E030" w:rsidR="002A554E" w:rsidRDefault="0029590C">
          <w:pPr>
            <w:pStyle w:val="TOC3"/>
            <w:rPr>
              <w:rFonts w:asciiTheme="minorHAnsi" w:eastAsiaTheme="minorEastAsia" w:hAnsiTheme="minorHAnsi" w:cstheme="minorBidi"/>
              <w:noProof/>
              <w:kern w:val="2"/>
              <w:szCs w:val="24"/>
              <w:lang w:val="en-IE"/>
              <w14:ligatures w14:val="standardContextual"/>
            </w:rPr>
          </w:pPr>
          <w:hyperlink w:anchor="_Toc230010478" w:history="1">
            <w:r w:rsidR="002A554E" w:rsidRPr="00C10676">
              <w:rPr>
                <w:rStyle w:val="Hyperlink"/>
                <w:bCs/>
                <w:noProof/>
              </w:rPr>
              <w:t>4.1.6.</w:t>
            </w:r>
            <w:r w:rsidR="002A554E">
              <w:rPr>
                <w:rFonts w:asciiTheme="minorHAnsi" w:eastAsiaTheme="minorEastAsia" w:hAnsiTheme="minorHAnsi" w:cstheme="minorBidi"/>
                <w:noProof/>
                <w:kern w:val="2"/>
                <w:szCs w:val="24"/>
                <w:lang w:val="en-IE"/>
                <w14:ligatures w14:val="standardContextual"/>
              </w:rPr>
              <w:tab/>
            </w:r>
            <w:r w:rsidR="002A554E" w:rsidRPr="00C10676">
              <w:rPr>
                <w:rStyle w:val="Hyperlink"/>
                <w:noProof/>
              </w:rPr>
              <w:t>Costs of environmental impacts</w:t>
            </w:r>
            <w:r w:rsidR="002A554E">
              <w:rPr>
                <w:noProof/>
                <w:webHidden/>
              </w:rPr>
              <w:tab/>
            </w:r>
            <w:r w:rsidR="002A554E">
              <w:rPr>
                <w:noProof/>
                <w:webHidden/>
              </w:rPr>
              <w:fldChar w:fldCharType="begin"/>
            </w:r>
            <w:r w:rsidR="002A554E">
              <w:rPr>
                <w:noProof/>
                <w:webHidden/>
              </w:rPr>
              <w:instrText xml:space="preserve"> PAGEREF _Toc230010478 \h </w:instrText>
            </w:r>
            <w:r w:rsidR="002A554E">
              <w:rPr>
                <w:noProof/>
                <w:webHidden/>
              </w:rPr>
            </w:r>
            <w:r w:rsidR="002A554E">
              <w:rPr>
                <w:noProof/>
                <w:webHidden/>
              </w:rPr>
              <w:fldChar w:fldCharType="separate"/>
            </w:r>
            <w:r w:rsidR="00845BCE">
              <w:rPr>
                <w:noProof/>
                <w:webHidden/>
              </w:rPr>
              <w:t>155</w:t>
            </w:r>
            <w:r w:rsidR="002A554E">
              <w:rPr>
                <w:noProof/>
                <w:webHidden/>
              </w:rPr>
              <w:fldChar w:fldCharType="end"/>
            </w:r>
          </w:hyperlink>
        </w:p>
        <w:p w14:paraId="721583DF" w14:textId="230C83DC"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479" w:history="1">
            <w:r w:rsidR="002A554E" w:rsidRPr="00C10676">
              <w:rPr>
                <w:rStyle w:val="Hyperlink"/>
                <w:noProof/>
              </w:rPr>
              <w:t>5.</w:t>
            </w:r>
            <w:r w:rsidR="002A554E">
              <w:rPr>
                <w:rFonts w:asciiTheme="minorHAnsi" w:eastAsiaTheme="minorEastAsia" w:hAnsiTheme="minorHAnsi" w:cstheme="minorBidi"/>
                <w:caps w:val="0"/>
                <w:noProof/>
                <w:kern w:val="2"/>
                <w:szCs w:val="24"/>
                <w:lang w:val="en-IE" w:eastAsia="en-IE"/>
                <w14:ligatures w14:val="standardContextual"/>
              </w:rPr>
              <w:tab/>
            </w:r>
            <w:r w:rsidR="002A554E" w:rsidRPr="00C10676">
              <w:rPr>
                <w:rStyle w:val="Hyperlink"/>
                <w:noProof/>
              </w:rPr>
              <w:t>Comparative analysis of investment, capacity and employment outcomes related to Strategic Projects</w:t>
            </w:r>
            <w:r w:rsidR="002A554E">
              <w:rPr>
                <w:noProof/>
                <w:webHidden/>
              </w:rPr>
              <w:tab/>
            </w:r>
            <w:r w:rsidR="002A554E">
              <w:rPr>
                <w:noProof/>
                <w:webHidden/>
              </w:rPr>
              <w:fldChar w:fldCharType="begin"/>
            </w:r>
            <w:r w:rsidR="002A554E">
              <w:rPr>
                <w:noProof/>
                <w:webHidden/>
              </w:rPr>
              <w:instrText xml:space="preserve"> PAGEREF _Toc230010479 \h </w:instrText>
            </w:r>
            <w:r w:rsidR="002A554E">
              <w:rPr>
                <w:noProof/>
                <w:webHidden/>
              </w:rPr>
            </w:r>
            <w:r w:rsidR="002A554E">
              <w:rPr>
                <w:noProof/>
                <w:webHidden/>
              </w:rPr>
              <w:fldChar w:fldCharType="separate"/>
            </w:r>
            <w:r w:rsidR="00845BCE">
              <w:rPr>
                <w:noProof/>
                <w:webHidden/>
              </w:rPr>
              <w:t>157</w:t>
            </w:r>
            <w:r w:rsidR="002A554E">
              <w:rPr>
                <w:noProof/>
                <w:webHidden/>
              </w:rPr>
              <w:fldChar w:fldCharType="end"/>
            </w:r>
          </w:hyperlink>
        </w:p>
        <w:p w14:paraId="3E70EC2F" w14:textId="4AEC8161"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480" w:history="1">
            <w:r w:rsidR="002A554E" w:rsidRPr="00C10676">
              <w:rPr>
                <w:rStyle w:val="Hyperlink"/>
                <w:noProof/>
              </w:rPr>
              <w:t>6.</w:t>
            </w:r>
            <w:r w:rsidR="002A554E">
              <w:rPr>
                <w:rFonts w:asciiTheme="minorHAnsi" w:eastAsiaTheme="minorEastAsia" w:hAnsiTheme="minorHAnsi" w:cstheme="minorBidi"/>
                <w:caps w:val="0"/>
                <w:noProof/>
                <w:kern w:val="2"/>
                <w:szCs w:val="24"/>
                <w:lang w:val="en-IE" w:eastAsia="en-IE"/>
                <w14:ligatures w14:val="standardContextual"/>
              </w:rPr>
              <w:tab/>
            </w:r>
            <w:r w:rsidR="002A554E" w:rsidRPr="00C10676">
              <w:rPr>
                <w:rStyle w:val="Hyperlink"/>
                <w:noProof/>
              </w:rPr>
              <w:t>Innovation-oriented public procurement and firm innovation outcomes: evidence from the literature</w:t>
            </w:r>
            <w:r w:rsidR="002A554E">
              <w:rPr>
                <w:noProof/>
                <w:webHidden/>
              </w:rPr>
              <w:tab/>
            </w:r>
            <w:r w:rsidR="002A554E">
              <w:rPr>
                <w:noProof/>
                <w:webHidden/>
              </w:rPr>
              <w:fldChar w:fldCharType="begin"/>
            </w:r>
            <w:r w:rsidR="002A554E">
              <w:rPr>
                <w:noProof/>
                <w:webHidden/>
              </w:rPr>
              <w:instrText xml:space="preserve"> PAGEREF _Toc230010480 \h </w:instrText>
            </w:r>
            <w:r w:rsidR="002A554E">
              <w:rPr>
                <w:noProof/>
                <w:webHidden/>
              </w:rPr>
            </w:r>
            <w:r w:rsidR="002A554E">
              <w:rPr>
                <w:noProof/>
                <w:webHidden/>
              </w:rPr>
              <w:fldChar w:fldCharType="separate"/>
            </w:r>
            <w:r w:rsidR="00845BCE">
              <w:rPr>
                <w:noProof/>
                <w:webHidden/>
              </w:rPr>
              <w:t>162</w:t>
            </w:r>
            <w:r w:rsidR="002A554E">
              <w:rPr>
                <w:noProof/>
                <w:webHidden/>
              </w:rPr>
              <w:fldChar w:fldCharType="end"/>
            </w:r>
          </w:hyperlink>
        </w:p>
        <w:p w14:paraId="0D21AFC1" w14:textId="6DB9ED0F"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481" w:history="1">
            <w:r w:rsidR="002A554E" w:rsidRPr="00C10676">
              <w:rPr>
                <w:rStyle w:val="Hyperlink"/>
                <w:noProof/>
              </w:rPr>
              <w:t>Annex 5: Competitiveness check</w:t>
            </w:r>
            <w:r w:rsidR="002A554E">
              <w:rPr>
                <w:noProof/>
                <w:webHidden/>
              </w:rPr>
              <w:tab/>
            </w:r>
            <w:r w:rsidR="002A554E">
              <w:rPr>
                <w:noProof/>
                <w:webHidden/>
              </w:rPr>
              <w:fldChar w:fldCharType="begin"/>
            </w:r>
            <w:r w:rsidR="002A554E">
              <w:rPr>
                <w:noProof/>
                <w:webHidden/>
              </w:rPr>
              <w:instrText xml:space="preserve"> PAGEREF _Toc230010481 \h </w:instrText>
            </w:r>
            <w:r w:rsidR="002A554E">
              <w:rPr>
                <w:noProof/>
                <w:webHidden/>
              </w:rPr>
            </w:r>
            <w:r w:rsidR="002A554E">
              <w:rPr>
                <w:noProof/>
                <w:webHidden/>
              </w:rPr>
              <w:fldChar w:fldCharType="separate"/>
            </w:r>
            <w:r w:rsidR="00845BCE">
              <w:rPr>
                <w:noProof/>
                <w:webHidden/>
              </w:rPr>
              <w:t>164</w:t>
            </w:r>
            <w:r w:rsidR="002A554E">
              <w:rPr>
                <w:noProof/>
                <w:webHidden/>
              </w:rPr>
              <w:fldChar w:fldCharType="end"/>
            </w:r>
          </w:hyperlink>
        </w:p>
        <w:p w14:paraId="60602912" w14:textId="33081CE2"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482" w:history="1">
            <w:r w:rsidR="002A554E" w:rsidRPr="00C10676">
              <w:rPr>
                <w:rStyle w:val="Hyperlink"/>
                <w:noProof/>
              </w:rPr>
              <w:t>1.</w:t>
            </w:r>
            <w:r w:rsidR="002A554E">
              <w:rPr>
                <w:rFonts w:asciiTheme="minorHAnsi" w:eastAsiaTheme="minorEastAsia" w:hAnsiTheme="minorHAnsi" w:cstheme="minorBidi"/>
                <w:caps w:val="0"/>
                <w:noProof/>
                <w:kern w:val="2"/>
                <w:szCs w:val="24"/>
                <w:lang w:val="en-IE" w:eastAsia="en-IE"/>
                <w14:ligatures w14:val="standardContextual"/>
              </w:rPr>
              <w:tab/>
            </w:r>
            <w:r w:rsidR="002A554E" w:rsidRPr="00C10676">
              <w:rPr>
                <w:rStyle w:val="Hyperlink"/>
                <w:noProof/>
              </w:rPr>
              <w:t>Overview of impacts on competitiveness</w:t>
            </w:r>
            <w:r w:rsidR="002A554E">
              <w:rPr>
                <w:noProof/>
                <w:webHidden/>
              </w:rPr>
              <w:tab/>
            </w:r>
            <w:r w:rsidR="002A554E">
              <w:rPr>
                <w:noProof/>
                <w:webHidden/>
              </w:rPr>
              <w:fldChar w:fldCharType="begin"/>
            </w:r>
            <w:r w:rsidR="002A554E">
              <w:rPr>
                <w:noProof/>
                <w:webHidden/>
              </w:rPr>
              <w:instrText xml:space="preserve"> PAGEREF _Toc230010482 \h </w:instrText>
            </w:r>
            <w:r w:rsidR="002A554E">
              <w:rPr>
                <w:noProof/>
                <w:webHidden/>
              </w:rPr>
            </w:r>
            <w:r w:rsidR="002A554E">
              <w:rPr>
                <w:noProof/>
                <w:webHidden/>
              </w:rPr>
              <w:fldChar w:fldCharType="separate"/>
            </w:r>
            <w:r w:rsidR="00845BCE">
              <w:rPr>
                <w:noProof/>
                <w:webHidden/>
              </w:rPr>
              <w:t>164</w:t>
            </w:r>
            <w:r w:rsidR="002A554E">
              <w:rPr>
                <w:noProof/>
                <w:webHidden/>
              </w:rPr>
              <w:fldChar w:fldCharType="end"/>
            </w:r>
          </w:hyperlink>
        </w:p>
        <w:p w14:paraId="64148CF3" w14:textId="5E7179C2"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483" w:history="1">
            <w:r w:rsidR="002A554E" w:rsidRPr="00C10676">
              <w:rPr>
                <w:rStyle w:val="Hyperlink"/>
                <w:noProof/>
              </w:rPr>
              <w:t>2.</w:t>
            </w:r>
            <w:r w:rsidR="002A554E">
              <w:rPr>
                <w:rFonts w:asciiTheme="minorHAnsi" w:eastAsiaTheme="minorEastAsia" w:hAnsiTheme="minorHAnsi" w:cstheme="minorBidi"/>
                <w:caps w:val="0"/>
                <w:noProof/>
                <w:kern w:val="2"/>
                <w:szCs w:val="24"/>
                <w:lang w:val="en-IE" w:eastAsia="en-IE"/>
                <w14:ligatures w14:val="standardContextual"/>
              </w:rPr>
              <w:tab/>
            </w:r>
            <w:r w:rsidR="002A554E" w:rsidRPr="00C10676">
              <w:rPr>
                <w:rStyle w:val="Hyperlink"/>
                <w:noProof/>
              </w:rPr>
              <w:t>Synthetic assessment</w:t>
            </w:r>
            <w:r w:rsidR="002A554E">
              <w:rPr>
                <w:noProof/>
                <w:webHidden/>
              </w:rPr>
              <w:tab/>
            </w:r>
            <w:r w:rsidR="002A554E">
              <w:rPr>
                <w:noProof/>
                <w:webHidden/>
              </w:rPr>
              <w:fldChar w:fldCharType="begin"/>
            </w:r>
            <w:r w:rsidR="002A554E">
              <w:rPr>
                <w:noProof/>
                <w:webHidden/>
              </w:rPr>
              <w:instrText xml:space="preserve"> PAGEREF _Toc230010483 \h </w:instrText>
            </w:r>
            <w:r w:rsidR="002A554E">
              <w:rPr>
                <w:noProof/>
                <w:webHidden/>
              </w:rPr>
            </w:r>
            <w:r w:rsidR="002A554E">
              <w:rPr>
                <w:noProof/>
                <w:webHidden/>
              </w:rPr>
              <w:fldChar w:fldCharType="separate"/>
            </w:r>
            <w:r w:rsidR="00845BCE">
              <w:rPr>
                <w:noProof/>
                <w:webHidden/>
              </w:rPr>
              <w:t>164</w:t>
            </w:r>
            <w:r w:rsidR="002A554E">
              <w:rPr>
                <w:noProof/>
                <w:webHidden/>
              </w:rPr>
              <w:fldChar w:fldCharType="end"/>
            </w:r>
          </w:hyperlink>
        </w:p>
        <w:p w14:paraId="03703852" w14:textId="6B54B72D"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484" w:history="1">
            <w:r w:rsidR="002A554E" w:rsidRPr="00C10676">
              <w:rPr>
                <w:rStyle w:val="Hyperlink"/>
                <w:noProof/>
              </w:rPr>
              <w:t>3.</w:t>
            </w:r>
            <w:r w:rsidR="002A554E">
              <w:rPr>
                <w:rFonts w:asciiTheme="minorHAnsi" w:eastAsiaTheme="minorEastAsia" w:hAnsiTheme="minorHAnsi" w:cstheme="minorBidi"/>
                <w:caps w:val="0"/>
                <w:noProof/>
                <w:kern w:val="2"/>
                <w:szCs w:val="24"/>
                <w:lang w:val="en-IE" w:eastAsia="en-IE"/>
                <w14:ligatures w14:val="standardContextual"/>
              </w:rPr>
              <w:tab/>
            </w:r>
            <w:r w:rsidR="002A554E" w:rsidRPr="00C10676">
              <w:rPr>
                <w:rStyle w:val="Hyperlink"/>
                <w:noProof/>
              </w:rPr>
              <w:t>Competitive position of the most affected sectors</w:t>
            </w:r>
            <w:r w:rsidR="002A554E">
              <w:rPr>
                <w:noProof/>
                <w:webHidden/>
              </w:rPr>
              <w:tab/>
            </w:r>
            <w:r w:rsidR="002A554E">
              <w:rPr>
                <w:noProof/>
                <w:webHidden/>
              </w:rPr>
              <w:fldChar w:fldCharType="begin"/>
            </w:r>
            <w:r w:rsidR="002A554E">
              <w:rPr>
                <w:noProof/>
                <w:webHidden/>
              </w:rPr>
              <w:instrText xml:space="preserve"> PAGEREF _Toc230010484 \h </w:instrText>
            </w:r>
            <w:r w:rsidR="002A554E">
              <w:rPr>
                <w:noProof/>
                <w:webHidden/>
              </w:rPr>
            </w:r>
            <w:r w:rsidR="002A554E">
              <w:rPr>
                <w:noProof/>
                <w:webHidden/>
              </w:rPr>
              <w:fldChar w:fldCharType="separate"/>
            </w:r>
            <w:r w:rsidR="00845BCE">
              <w:rPr>
                <w:noProof/>
                <w:webHidden/>
              </w:rPr>
              <w:t>165</w:t>
            </w:r>
            <w:r w:rsidR="002A554E">
              <w:rPr>
                <w:noProof/>
                <w:webHidden/>
              </w:rPr>
              <w:fldChar w:fldCharType="end"/>
            </w:r>
          </w:hyperlink>
        </w:p>
        <w:p w14:paraId="032D66CD" w14:textId="249113D6" w:rsidR="002A554E" w:rsidRDefault="0029590C">
          <w:pPr>
            <w:pStyle w:val="TOC1"/>
            <w:rPr>
              <w:rFonts w:asciiTheme="minorHAnsi" w:eastAsiaTheme="minorEastAsia" w:hAnsiTheme="minorHAnsi" w:cstheme="minorBidi"/>
              <w:caps w:val="0"/>
              <w:noProof/>
              <w:kern w:val="2"/>
              <w:szCs w:val="24"/>
              <w:lang w:val="en-IE" w:eastAsia="en-IE"/>
              <w14:ligatures w14:val="standardContextual"/>
            </w:rPr>
          </w:pPr>
          <w:hyperlink w:anchor="_Toc230010485" w:history="1">
            <w:r w:rsidR="002A554E" w:rsidRPr="00C10676">
              <w:rPr>
                <w:rStyle w:val="Hyperlink"/>
                <w:noProof/>
              </w:rPr>
              <w:t>Annex 6: Overview of impacts on SMEs</w:t>
            </w:r>
            <w:r w:rsidR="002A554E">
              <w:rPr>
                <w:noProof/>
                <w:webHidden/>
              </w:rPr>
              <w:tab/>
            </w:r>
            <w:r w:rsidR="002A554E">
              <w:rPr>
                <w:noProof/>
                <w:webHidden/>
              </w:rPr>
              <w:fldChar w:fldCharType="begin"/>
            </w:r>
            <w:r w:rsidR="002A554E">
              <w:rPr>
                <w:noProof/>
                <w:webHidden/>
              </w:rPr>
              <w:instrText xml:space="preserve"> PAGEREF _Toc230010485 \h </w:instrText>
            </w:r>
            <w:r w:rsidR="002A554E">
              <w:rPr>
                <w:noProof/>
                <w:webHidden/>
              </w:rPr>
            </w:r>
            <w:r w:rsidR="002A554E">
              <w:rPr>
                <w:noProof/>
                <w:webHidden/>
              </w:rPr>
              <w:fldChar w:fldCharType="separate"/>
            </w:r>
            <w:r w:rsidR="00845BCE">
              <w:rPr>
                <w:noProof/>
                <w:webHidden/>
              </w:rPr>
              <w:t>166</w:t>
            </w:r>
            <w:r w:rsidR="002A554E">
              <w:rPr>
                <w:noProof/>
                <w:webHidden/>
              </w:rPr>
              <w:fldChar w:fldCharType="end"/>
            </w:r>
          </w:hyperlink>
        </w:p>
        <w:p w14:paraId="0C993FDD" w14:textId="7FCD851C" w:rsidR="005D7A8B" w:rsidRPr="008B13A5" w:rsidRDefault="00A20D8E">
          <w:pPr>
            <w:rPr>
              <w:noProof/>
            </w:rPr>
          </w:pPr>
          <w:r w:rsidRPr="008B13A5">
            <w:rPr>
              <w:noProof/>
            </w:rPr>
            <w:fldChar w:fldCharType="end"/>
          </w:r>
        </w:p>
      </w:sdtContent>
    </w:sdt>
    <w:p w14:paraId="4BF896AF" w14:textId="4FC9C07F" w:rsidR="001B0161" w:rsidRPr="008B13A5" w:rsidRDefault="001B0161" w:rsidP="000E3086">
      <w:pPr>
        <w:rPr>
          <w:noProof/>
        </w:rPr>
      </w:pPr>
    </w:p>
    <w:p w14:paraId="1AB99A8F" w14:textId="77777777" w:rsidR="001B0161" w:rsidRPr="008B13A5" w:rsidRDefault="001B0161" w:rsidP="000E3086">
      <w:pPr>
        <w:rPr>
          <w:noProof/>
        </w:rPr>
      </w:pPr>
      <w:r w:rsidRPr="008B13A5">
        <w:rPr>
          <w:noProof/>
        </w:rPr>
        <w:br w:type="page"/>
      </w:r>
    </w:p>
    <w:p w14:paraId="5D6B1167" w14:textId="77777777" w:rsidR="006B087E" w:rsidRPr="008B13A5" w:rsidRDefault="006B087E" w:rsidP="000E3086">
      <w:pPr>
        <w:rPr>
          <w:noProof/>
        </w:rPr>
      </w:pPr>
    </w:p>
    <w:p w14:paraId="322C03E3" w14:textId="3C75931B" w:rsidR="006B087E" w:rsidRPr="008B13A5" w:rsidRDefault="006B087E" w:rsidP="00060314">
      <w:pPr>
        <w:pStyle w:val="AnnexTitle0"/>
        <w:rPr>
          <w:noProof/>
        </w:rPr>
      </w:pPr>
      <w:bookmarkStart w:id="2" w:name="_Toc195101100"/>
      <w:bookmarkStart w:id="3" w:name="_Toc230010355"/>
      <w:r w:rsidRPr="008B13A5">
        <w:rPr>
          <w:noProof/>
        </w:rPr>
        <w:t>Annex 1: Procedural information</w:t>
      </w:r>
      <w:bookmarkEnd w:id="2"/>
      <w:bookmarkEnd w:id="3"/>
    </w:p>
    <w:p w14:paraId="5D9DF228" w14:textId="4F90424C" w:rsidR="006B087E" w:rsidRPr="008B13A5" w:rsidRDefault="006B087E" w:rsidP="009712FE">
      <w:pPr>
        <w:pStyle w:val="Heading1"/>
        <w:rPr>
          <w:noProof/>
        </w:rPr>
      </w:pPr>
      <w:bookmarkStart w:id="4" w:name="_Toc471997754"/>
      <w:bookmarkStart w:id="5" w:name="_Toc195101101"/>
      <w:bookmarkStart w:id="6" w:name="_Toc230010356"/>
      <w:r w:rsidRPr="008B13A5">
        <w:rPr>
          <w:noProof/>
        </w:rPr>
        <w:t>Lead DG, Decide Planning/CWP references</w:t>
      </w:r>
      <w:bookmarkEnd w:id="4"/>
      <w:bookmarkEnd w:id="5"/>
      <w:bookmarkEnd w:id="6"/>
    </w:p>
    <w:p w14:paraId="7BC8C604" w14:textId="1511C779" w:rsidR="009D1F49" w:rsidRPr="008B13A5" w:rsidRDefault="009D1F49" w:rsidP="0099571F">
      <w:pPr>
        <w:rPr>
          <w:noProof/>
        </w:rPr>
      </w:pPr>
      <w:r w:rsidRPr="008B13A5">
        <w:rPr>
          <w:noProof/>
        </w:rPr>
        <w:t>This Staff Working Paper was prepared by the Directorate-General for Communications Networks, Content and Technology.</w:t>
      </w:r>
    </w:p>
    <w:p w14:paraId="60617658" w14:textId="3BA31CE6" w:rsidR="009D1F49" w:rsidRPr="008B13A5" w:rsidRDefault="009D1F49" w:rsidP="0099571F">
      <w:pPr>
        <w:rPr>
          <w:noProof/>
        </w:rPr>
      </w:pPr>
      <w:r w:rsidRPr="008B13A5">
        <w:rPr>
          <w:noProof/>
        </w:rPr>
        <w:t>The Decide reference of this initiative is PLAN/2025/2008.</w:t>
      </w:r>
    </w:p>
    <w:p w14:paraId="0A7D0D05" w14:textId="380D3497" w:rsidR="009E5120" w:rsidRPr="008B13A5" w:rsidRDefault="009D1F49" w:rsidP="0099571F">
      <w:pPr>
        <w:rPr>
          <w:noProof/>
        </w:rPr>
      </w:pPr>
      <w:r w:rsidRPr="008B13A5">
        <w:rPr>
          <w:noProof/>
        </w:rPr>
        <w:t xml:space="preserve">This includes the Impact Assessment report as well as, annexed to the report, the </w:t>
      </w:r>
      <w:r w:rsidR="00C90DD0" w:rsidRPr="00077DF9">
        <w:rPr>
          <w:noProof/>
        </w:rPr>
        <w:t>E</w:t>
      </w:r>
      <w:r w:rsidRPr="008B13A5">
        <w:rPr>
          <w:noProof/>
        </w:rPr>
        <w:t>valuation of the Chips Act.</w:t>
      </w:r>
    </w:p>
    <w:p w14:paraId="68995DB5" w14:textId="41EC7A3C" w:rsidR="006B087E" w:rsidRPr="008B13A5" w:rsidRDefault="006B087E" w:rsidP="009712FE">
      <w:pPr>
        <w:pStyle w:val="Heading1"/>
        <w:rPr>
          <w:noProof/>
        </w:rPr>
      </w:pPr>
      <w:bookmarkStart w:id="7" w:name="_Toc471997755"/>
      <w:bookmarkStart w:id="8" w:name="_Toc195101102"/>
      <w:bookmarkStart w:id="9" w:name="_Toc230010357"/>
      <w:r w:rsidRPr="008B13A5">
        <w:rPr>
          <w:noProof/>
        </w:rPr>
        <w:t>Organisation and timing</w:t>
      </w:r>
      <w:bookmarkEnd w:id="7"/>
      <w:bookmarkEnd w:id="8"/>
      <w:bookmarkEnd w:id="9"/>
    </w:p>
    <w:p w14:paraId="5E611307" w14:textId="40BFAC0B" w:rsidR="00734925" w:rsidRPr="008B13A5" w:rsidRDefault="00734925" w:rsidP="00734925">
      <w:pPr>
        <w:rPr>
          <w:noProof/>
        </w:rPr>
      </w:pPr>
      <w:r w:rsidRPr="008B13A5">
        <w:rPr>
          <w:noProof/>
        </w:rPr>
        <w:t xml:space="preserve">The Impact Assessment was prepared by DG CONNECT as the lead Directorate-General. </w:t>
      </w:r>
    </w:p>
    <w:p w14:paraId="4D23CC2F" w14:textId="53E6A02B" w:rsidR="00734925" w:rsidRPr="008B13A5" w:rsidRDefault="00734925" w:rsidP="00734925">
      <w:pPr>
        <w:rPr>
          <w:noProof/>
        </w:rPr>
      </w:pPr>
      <w:r w:rsidRPr="008B13A5">
        <w:rPr>
          <w:noProof/>
        </w:rPr>
        <w:t>The Inter-Service Steering Group established for the work streams on online platforms was associated and consulted in the process, under the coordination of the Secretariat-General, including the following services: DG BUDG (DG Budget), DG CLIMA (DG Climate Action), DG COMP (DG Competition), DG DEFIS (DG Defence Industry and Space), DG ECFIN (DG Economic and Financial Affairs), DG EMPL (DG Employment, Social Affairs and Inclusion), DG ENV (DG Environment), DG FISMA (DG for Financial Stability, Financial Services and the Capital Markets Union), DG GROW (DG Internal Market, Industry, Entrepreneurship and SME), DG HERA (DG Health Emergency Preparedness and Response Authority), DG INTPA (DG International Partnerships), JRC (Joint Research Centre),  DG MOVE (DG Mobility and Transport), DG RTD (DG Research and Innovation), DG Regio (DG Regional and Urban Policy), DG TAXUD (DG Taxation and Customs Union), EEAS (European External Action Service).</w:t>
      </w:r>
    </w:p>
    <w:p w14:paraId="37BEB9B0" w14:textId="04F7807F" w:rsidR="00734925" w:rsidRPr="002A554E" w:rsidRDefault="20B435A3" w:rsidP="5CEE81BF">
      <w:pPr>
        <w:rPr>
          <w:noProof/>
        </w:rPr>
      </w:pPr>
      <w:r w:rsidRPr="002A554E">
        <w:rPr>
          <w:noProof/>
        </w:rPr>
        <w:t xml:space="preserve">The Secretariat-General and DG CNECT of the European Commission relaunched the Interservice Group for the revision of the Chips Act on the 15th of July 2025. The Group was </w:t>
      </w:r>
      <w:r w:rsidR="00EB4637" w:rsidRPr="002A554E">
        <w:rPr>
          <w:noProof/>
        </w:rPr>
        <w:t xml:space="preserve">iteratively </w:t>
      </w:r>
      <w:r w:rsidRPr="002A554E">
        <w:rPr>
          <w:noProof/>
        </w:rPr>
        <w:t xml:space="preserve">consulted on the Impact </w:t>
      </w:r>
      <w:r w:rsidR="003F38C2" w:rsidRPr="002A554E">
        <w:rPr>
          <w:noProof/>
        </w:rPr>
        <w:t>A</w:t>
      </w:r>
      <w:r w:rsidRPr="002A554E">
        <w:rPr>
          <w:noProof/>
        </w:rPr>
        <w:t xml:space="preserve">ssessment of the draft proposal, the Evaluation of the Chips Act and on the key policy measures in the proposed regulation. </w:t>
      </w:r>
    </w:p>
    <w:p w14:paraId="599AE202" w14:textId="0B0FF59C" w:rsidR="006B087E" w:rsidRPr="008B13A5" w:rsidRDefault="006B087E" w:rsidP="009712FE">
      <w:pPr>
        <w:pStyle w:val="Heading1"/>
        <w:rPr>
          <w:noProof/>
        </w:rPr>
      </w:pPr>
      <w:bookmarkStart w:id="10" w:name="_Toc471997757"/>
      <w:bookmarkStart w:id="11" w:name="_Toc195101103"/>
      <w:bookmarkStart w:id="12" w:name="_Toc230010358"/>
      <w:r w:rsidRPr="008B13A5">
        <w:rPr>
          <w:noProof/>
        </w:rPr>
        <w:t>Consultation of the RSB</w:t>
      </w:r>
      <w:bookmarkEnd w:id="10"/>
      <w:bookmarkEnd w:id="11"/>
      <w:bookmarkEnd w:id="12"/>
    </w:p>
    <w:p w14:paraId="480DE8EC" w14:textId="5E8D6789" w:rsidR="3823CCA5" w:rsidRDefault="3823CCA5">
      <w:pPr>
        <w:rPr>
          <w:noProof/>
        </w:rPr>
      </w:pPr>
      <w:r w:rsidRPr="002A554E">
        <w:rPr>
          <w:noProof/>
        </w:rPr>
        <w:t xml:space="preserve">The Regulatory Scrutiny Board (RSB) hearing took place on 28 January 2026. Following a first negative opinion, </w:t>
      </w:r>
      <w:r w:rsidR="77847154" w:rsidRPr="002A554E">
        <w:rPr>
          <w:noProof/>
        </w:rPr>
        <w:t>t</w:t>
      </w:r>
      <w:r w:rsidRPr="002A554E">
        <w:rPr>
          <w:noProof/>
        </w:rPr>
        <w:t>he RSB Board gave a positive opinion with reservations on the 30th of March.</w:t>
      </w:r>
      <w:r w:rsidR="00976B11" w:rsidRPr="00976B11">
        <w:rPr>
          <w:noProof/>
        </w:rPr>
        <w:t xml:space="preserve"> To address the feedback given by the Regulatory Scrutiny Board, the following changes were made in the Impact Assessment report and its annexes:</w:t>
      </w:r>
    </w:p>
    <w:tbl>
      <w:tblPr>
        <w:tblStyle w:val="TableGrid"/>
        <w:tblW w:w="0" w:type="auto"/>
        <w:tblLook w:val="04A0" w:firstRow="1" w:lastRow="0" w:firstColumn="1" w:lastColumn="0" w:noHBand="0" w:noVBand="1"/>
      </w:tblPr>
      <w:tblGrid>
        <w:gridCol w:w="4785"/>
        <w:gridCol w:w="4785"/>
      </w:tblGrid>
      <w:tr w:rsidR="005646CC" w14:paraId="5640E80D" w14:textId="77777777" w:rsidTr="005646CC">
        <w:tc>
          <w:tcPr>
            <w:tcW w:w="4785" w:type="dxa"/>
          </w:tcPr>
          <w:p w14:paraId="03B88DFC" w14:textId="20E14667" w:rsidR="005646CC" w:rsidRPr="00436A94" w:rsidRDefault="00436A94">
            <w:pPr>
              <w:rPr>
                <w:b/>
                <w:bCs/>
                <w:noProof/>
              </w:rPr>
            </w:pPr>
            <w:r w:rsidRPr="00436A94">
              <w:rPr>
                <w:b/>
                <w:bCs/>
                <w:noProof/>
              </w:rPr>
              <w:t>Findings of the Board</w:t>
            </w:r>
          </w:p>
        </w:tc>
        <w:tc>
          <w:tcPr>
            <w:tcW w:w="4785" w:type="dxa"/>
          </w:tcPr>
          <w:p w14:paraId="5A2B9D5D" w14:textId="6EB66645" w:rsidR="005646CC" w:rsidRPr="00436A94" w:rsidRDefault="00436A94">
            <w:pPr>
              <w:rPr>
                <w:b/>
                <w:bCs/>
                <w:noProof/>
              </w:rPr>
            </w:pPr>
            <w:r w:rsidRPr="00436A94">
              <w:rPr>
                <w:b/>
                <w:bCs/>
                <w:noProof/>
              </w:rPr>
              <w:t>Main modifications made in the report to address them</w:t>
            </w:r>
          </w:p>
        </w:tc>
      </w:tr>
      <w:tr w:rsidR="005646CC" w14:paraId="731FF2B7" w14:textId="77777777" w:rsidTr="005646CC">
        <w:tc>
          <w:tcPr>
            <w:tcW w:w="4785" w:type="dxa"/>
          </w:tcPr>
          <w:p w14:paraId="131330D0" w14:textId="10C5605A" w:rsidR="005646CC" w:rsidRDefault="00A87A09">
            <w:pPr>
              <w:rPr>
                <w:noProof/>
              </w:rPr>
            </w:pPr>
            <w:r>
              <w:rPr>
                <w:noProof/>
              </w:rPr>
              <w:t>(</w:t>
            </w:r>
            <w:r w:rsidR="003A3318" w:rsidRPr="003A3318">
              <w:rPr>
                <w:noProof/>
              </w:rPr>
              <w:t>1) The measure to incentivise trusted chips is not sufficiently described to allow for the assessment of impacts.</w:t>
            </w:r>
          </w:p>
        </w:tc>
        <w:tc>
          <w:tcPr>
            <w:tcW w:w="4785" w:type="dxa"/>
          </w:tcPr>
          <w:p w14:paraId="5E992F65" w14:textId="3A05CF28" w:rsidR="00D57F0C" w:rsidRPr="00D57F0C" w:rsidRDefault="00B4316F" w:rsidP="00D57F0C">
            <w:pPr>
              <w:rPr>
                <w:noProof/>
                <w:lang w:val="en-US"/>
              </w:rPr>
            </w:pPr>
            <w:r w:rsidRPr="00D57F0C">
              <w:rPr>
                <w:noProof/>
              </w:rPr>
              <w:t xml:space="preserve">The measure to incentivise chips in public procurement (policy measure 10) </w:t>
            </w:r>
            <w:r w:rsidR="00D94CD7" w:rsidRPr="00D57F0C">
              <w:rPr>
                <w:noProof/>
              </w:rPr>
              <w:t>was revised</w:t>
            </w:r>
            <w:r w:rsidR="00D57F0C" w:rsidRPr="00D57F0C">
              <w:rPr>
                <w:noProof/>
              </w:rPr>
              <w:t xml:space="preserve"> into “</w:t>
            </w:r>
            <w:r w:rsidR="00D57F0C" w:rsidRPr="003D4BC8">
              <w:rPr>
                <w:i/>
                <w:iCs/>
                <w:noProof/>
                <w:lang w:val="en-US"/>
              </w:rPr>
              <w:t>Recommend a security of supply declaration for semiconductors in public procurement</w:t>
            </w:r>
            <w:r w:rsidR="00D57F0C" w:rsidRPr="00D57F0C">
              <w:rPr>
                <w:noProof/>
                <w:lang w:val="en-US"/>
              </w:rPr>
              <w:t xml:space="preserve">”. </w:t>
            </w:r>
          </w:p>
          <w:p w14:paraId="1C408980" w14:textId="66B6F969" w:rsidR="00E71F07" w:rsidRPr="00D57F0C" w:rsidRDefault="00E71F07" w:rsidP="00E71F07">
            <w:pPr>
              <w:rPr>
                <w:noProof/>
                <w:color w:val="000000" w:themeColor="text1"/>
              </w:rPr>
            </w:pPr>
            <w:r w:rsidRPr="00D57F0C">
              <w:rPr>
                <w:noProof/>
                <w:color w:val="000000" w:themeColor="text1"/>
              </w:rPr>
              <w:t xml:space="preserve">Concretely, </w:t>
            </w:r>
            <w:r w:rsidR="003D4BC8">
              <w:rPr>
                <w:noProof/>
                <w:color w:val="000000" w:themeColor="text1"/>
              </w:rPr>
              <w:t xml:space="preserve">the revised </w:t>
            </w:r>
            <w:r w:rsidRPr="00D57F0C">
              <w:rPr>
                <w:noProof/>
                <w:color w:val="000000" w:themeColor="text1"/>
              </w:rPr>
              <w:t xml:space="preserve">PM10 would allow public procurement authorities </w:t>
            </w:r>
            <w:r w:rsidR="007F292A">
              <w:rPr>
                <w:noProof/>
                <w:color w:val="000000" w:themeColor="text1"/>
              </w:rPr>
              <w:t xml:space="preserve">in critical sectors </w:t>
            </w:r>
            <w:r w:rsidRPr="00D57F0C">
              <w:rPr>
                <w:noProof/>
                <w:color w:val="000000" w:themeColor="text1"/>
              </w:rPr>
              <w:t>to request from tenderers a supply chain declaration analysing the provenance of semiconductors in the tendered products, outlining their supply chain resilience strategy, in particular with regards to dual sourcing. The declaration would also need to assess the quota of semiconductors supplied from domestic undertakings or equivalent</w:t>
            </w:r>
            <w:r w:rsidR="00ED5909">
              <w:rPr>
                <w:rStyle w:val="FootnoteReference"/>
                <w:noProof/>
                <w:color w:val="000000" w:themeColor="text1"/>
              </w:rPr>
              <w:footnoteReference w:id="2"/>
            </w:r>
            <w:r w:rsidRPr="00D57F0C">
              <w:rPr>
                <w:noProof/>
                <w:color w:val="000000" w:themeColor="text1"/>
              </w:rPr>
              <w:t>. The public procurement authorities may use the supply chain resilience strategy as outlined in the declaration, and the quota of domestic or equivalent semiconductor suppliers, as award criteria along with price.</w:t>
            </w:r>
          </w:p>
          <w:p w14:paraId="6244593A" w14:textId="4C03CC17" w:rsidR="005646CC" w:rsidRPr="00D57F0C" w:rsidRDefault="001E753F">
            <w:pPr>
              <w:rPr>
                <w:noProof/>
              </w:rPr>
            </w:pPr>
            <w:r w:rsidRPr="00D57F0C">
              <w:rPr>
                <w:noProof/>
              </w:rPr>
              <w:t>(See further Section 5.2.3.3</w:t>
            </w:r>
            <w:r w:rsidR="003D4BC8">
              <w:rPr>
                <w:noProof/>
              </w:rPr>
              <w:t xml:space="preserve"> </w:t>
            </w:r>
            <w:r w:rsidR="00847296">
              <w:rPr>
                <w:noProof/>
              </w:rPr>
              <w:t xml:space="preserve">and </w:t>
            </w:r>
            <w:r w:rsidR="00E33866">
              <w:rPr>
                <w:noProof/>
              </w:rPr>
              <w:t xml:space="preserve">Section 6.2.1.3 </w:t>
            </w:r>
            <w:r w:rsidR="003D4BC8">
              <w:rPr>
                <w:noProof/>
              </w:rPr>
              <w:t>of the main docu</w:t>
            </w:r>
            <w:r w:rsidR="004A0F8C">
              <w:rPr>
                <w:noProof/>
              </w:rPr>
              <w:t>ment</w:t>
            </w:r>
            <w:r w:rsidRPr="00D57F0C">
              <w:rPr>
                <w:noProof/>
              </w:rPr>
              <w:t>)</w:t>
            </w:r>
          </w:p>
        </w:tc>
      </w:tr>
      <w:tr w:rsidR="005646CC" w14:paraId="319B25EB" w14:textId="77777777" w:rsidTr="005646CC">
        <w:tc>
          <w:tcPr>
            <w:tcW w:w="4785" w:type="dxa"/>
          </w:tcPr>
          <w:p w14:paraId="2BAF3EDB" w14:textId="0A91B341" w:rsidR="005646CC" w:rsidRDefault="00351D61">
            <w:pPr>
              <w:rPr>
                <w:noProof/>
              </w:rPr>
            </w:pPr>
            <w:r w:rsidRPr="00351D61">
              <w:rPr>
                <w:noProof/>
              </w:rPr>
              <w:t>(2) The report does not adequately analyse coherence with the existing and forthcoming policy initiatives and instruments. It is not sufficiently clear how interplay will be ensured to achieve synergies between the supply- and demand-side measures.</w:t>
            </w:r>
          </w:p>
        </w:tc>
        <w:tc>
          <w:tcPr>
            <w:tcW w:w="4785" w:type="dxa"/>
          </w:tcPr>
          <w:p w14:paraId="1D8DA630" w14:textId="7E037AEB" w:rsidR="005646CC" w:rsidRPr="007F7522" w:rsidRDefault="00A1063F" w:rsidP="003708A1">
            <w:pPr>
              <w:spacing w:after="160" w:line="259" w:lineRule="auto"/>
              <w:rPr>
                <w:noProof/>
              </w:rPr>
            </w:pPr>
            <w:r w:rsidRPr="007F7522">
              <w:rPr>
                <w:noProof/>
              </w:rPr>
              <w:t>The interplay between the various measures, in particular the supply side and demand side measures, covering the whole value chain is explained in Section</w:t>
            </w:r>
            <w:r w:rsidR="00A03A2F">
              <w:rPr>
                <w:noProof/>
              </w:rPr>
              <w:t>s</w:t>
            </w:r>
            <w:r w:rsidRPr="007F7522">
              <w:rPr>
                <w:noProof/>
              </w:rPr>
              <w:t xml:space="preserve"> 5.</w:t>
            </w:r>
            <w:r w:rsidR="00AC73F9">
              <w:rPr>
                <w:noProof/>
              </w:rPr>
              <w:t>2</w:t>
            </w:r>
            <w:r w:rsidR="00A03A2F">
              <w:rPr>
                <w:noProof/>
              </w:rPr>
              <w:t>,</w:t>
            </w:r>
            <w:r w:rsidR="0040759A">
              <w:rPr>
                <w:noProof/>
              </w:rPr>
              <w:t xml:space="preserve"> </w:t>
            </w:r>
            <w:r w:rsidR="00BA41F7">
              <w:rPr>
                <w:noProof/>
              </w:rPr>
              <w:t>6.2</w:t>
            </w:r>
            <w:r w:rsidR="002E14B6">
              <w:rPr>
                <w:noProof/>
              </w:rPr>
              <w:t xml:space="preserve"> and 8.2</w:t>
            </w:r>
            <w:r w:rsidR="007455B1">
              <w:rPr>
                <w:noProof/>
              </w:rPr>
              <w:t>.</w:t>
            </w:r>
          </w:p>
          <w:p w14:paraId="7D0B3271" w14:textId="1F24E989" w:rsidR="00F6469C" w:rsidRPr="00A87A09" w:rsidRDefault="00F6469C" w:rsidP="00A87A09">
            <w:pPr>
              <w:spacing w:after="160" w:line="259" w:lineRule="auto"/>
              <w:rPr>
                <w:noProof/>
              </w:rPr>
            </w:pPr>
            <w:r w:rsidRPr="00A87A09">
              <w:rPr>
                <w:noProof/>
              </w:rPr>
              <w:t>Additional elements on coherence with other existing or upcoming policy measures</w:t>
            </w:r>
            <w:r w:rsidR="009E225A">
              <w:rPr>
                <w:noProof/>
              </w:rPr>
              <w:t xml:space="preserve"> (incl. to the CSA 2 proposal)</w:t>
            </w:r>
            <w:r w:rsidRPr="00A87A09">
              <w:rPr>
                <w:noProof/>
              </w:rPr>
              <w:t xml:space="preserve"> and instruments were integrated in the report (</w:t>
            </w:r>
            <w:r w:rsidR="00894FDF">
              <w:rPr>
                <w:noProof/>
              </w:rPr>
              <w:t>S</w:t>
            </w:r>
            <w:r w:rsidRPr="00A87A09">
              <w:rPr>
                <w:noProof/>
              </w:rPr>
              <w:t>ection 1.2).</w:t>
            </w:r>
          </w:p>
        </w:tc>
      </w:tr>
      <w:tr w:rsidR="005646CC" w14:paraId="03E37424" w14:textId="77777777" w:rsidTr="005646CC">
        <w:tc>
          <w:tcPr>
            <w:tcW w:w="4785" w:type="dxa"/>
          </w:tcPr>
          <w:p w14:paraId="280A6E6E" w14:textId="1F61F47B" w:rsidR="005646CC" w:rsidRDefault="00AB075F">
            <w:pPr>
              <w:rPr>
                <w:noProof/>
              </w:rPr>
            </w:pPr>
            <w:r w:rsidRPr="00AB075F">
              <w:rPr>
                <w:noProof/>
              </w:rPr>
              <w:t>(3) The analysis of the risk of inefficient allocation of resources is not sufficient.</w:t>
            </w:r>
          </w:p>
        </w:tc>
        <w:tc>
          <w:tcPr>
            <w:tcW w:w="4785" w:type="dxa"/>
          </w:tcPr>
          <w:p w14:paraId="333B456F" w14:textId="1231773A" w:rsidR="005646CC" w:rsidRPr="007F7522" w:rsidRDefault="00E231A2" w:rsidP="007F7522">
            <w:pPr>
              <w:spacing w:after="160" w:line="259" w:lineRule="auto"/>
              <w:rPr>
                <w:noProof/>
              </w:rPr>
            </w:pPr>
            <w:r w:rsidRPr="007F7522">
              <w:rPr>
                <w:noProof/>
              </w:rPr>
              <w:t>The revised report assesses the costs of individual measures</w:t>
            </w:r>
            <w:r w:rsidR="008C7462">
              <w:rPr>
                <w:noProof/>
              </w:rPr>
              <w:t xml:space="preserve"> </w:t>
            </w:r>
            <w:r w:rsidRPr="007F7522">
              <w:rPr>
                <w:noProof/>
              </w:rPr>
              <w:t xml:space="preserve">without prejudice to ongoing MFF negotiations. </w:t>
            </w:r>
            <w:r w:rsidR="007D7538">
              <w:rPr>
                <w:noProof/>
              </w:rPr>
              <w:t xml:space="preserve">(Section </w:t>
            </w:r>
            <w:r w:rsidR="00FF58AB">
              <w:rPr>
                <w:noProof/>
              </w:rPr>
              <w:t xml:space="preserve">6 and Section 8; Annex 3 and Annex 4). </w:t>
            </w:r>
          </w:p>
        </w:tc>
      </w:tr>
    </w:tbl>
    <w:p w14:paraId="70544516" w14:textId="77777777" w:rsidR="00F54990" w:rsidRPr="00D45054" w:rsidRDefault="00F54990" w:rsidP="00F54990">
      <w:pPr>
        <w:spacing w:after="160" w:line="259" w:lineRule="auto"/>
        <w:rPr>
          <w:noProof/>
          <w:szCs w:val="22"/>
        </w:rPr>
      </w:pPr>
    </w:p>
    <w:p w14:paraId="79B62524" w14:textId="2E2D2B11" w:rsidR="5AC41C01" w:rsidRPr="008B13A5" w:rsidRDefault="5AC41C01">
      <w:pPr>
        <w:rPr>
          <w:noProof/>
        </w:rPr>
      </w:pPr>
    </w:p>
    <w:p w14:paraId="2EAFDFCC" w14:textId="77777777" w:rsidR="006B087E" w:rsidRPr="008B13A5" w:rsidRDefault="006B087E" w:rsidP="000E3086">
      <w:pPr>
        <w:rPr>
          <w:rFonts w:eastAsia="Times New Roman"/>
          <w:noProof/>
          <w:szCs w:val="20"/>
        </w:rPr>
      </w:pPr>
      <w:r w:rsidRPr="008B13A5">
        <w:rPr>
          <w:noProof/>
        </w:rPr>
        <w:br w:type="page"/>
      </w:r>
    </w:p>
    <w:p w14:paraId="2C295793" w14:textId="3680E8B1" w:rsidR="006B087E" w:rsidRPr="008B13A5" w:rsidRDefault="006B087E" w:rsidP="00C22AB4">
      <w:pPr>
        <w:pStyle w:val="AnnexTitle0"/>
        <w:rPr>
          <w:noProof/>
        </w:rPr>
      </w:pPr>
      <w:bookmarkStart w:id="13" w:name="_Toc195101105"/>
      <w:bookmarkStart w:id="14" w:name="_Toc230010359"/>
      <w:r w:rsidRPr="008B13A5">
        <w:rPr>
          <w:noProof/>
        </w:rPr>
        <w:t xml:space="preserve">Annex 2: Stakeholder consultation </w:t>
      </w:r>
      <w:r w:rsidR="00A84A61" w:rsidRPr="008B13A5">
        <w:rPr>
          <w:noProof/>
        </w:rPr>
        <w:t>(Synopsis report)</w:t>
      </w:r>
      <w:bookmarkEnd w:id="13"/>
      <w:bookmarkEnd w:id="14"/>
    </w:p>
    <w:p w14:paraId="4566FEF8" w14:textId="5CB15AAF" w:rsidR="00F8618D" w:rsidRPr="008B13A5" w:rsidRDefault="00F8618D" w:rsidP="00F47256">
      <w:pPr>
        <w:pStyle w:val="Heading1"/>
        <w:numPr>
          <w:ilvl w:val="0"/>
          <w:numId w:val="76"/>
        </w:numPr>
        <w:rPr>
          <w:noProof/>
          <w:szCs w:val="22"/>
        </w:rPr>
      </w:pPr>
      <w:bookmarkStart w:id="15" w:name="_Toc223620575"/>
      <w:bookmarkStart w:id="16" w:name="_Toc230010360"/>
      <w:r w:rsidRPr="008B13A5">
        <w:rPr>
          <w:noProof/>
        </w:rPr>
        <w:t>Introduction</w:t>
      </w:r>
      <w:bookmarkEnd w:id="15"/>
      <w:bookmarkEnd w:id="16"/>
      <w:r w:rsidR="00F274DD" w:rsidRPr="00BD008E">
        <w:rPr>
          <w:noProof/>
        </w:rPr>
        <w:t xml:space="preserve"> </w:t>
      </w:r>
    </w:p>
    <w:p w14:paraId="1B504E5B" w14:textId="3C098CCE" w:rsidR="00F8618D" w:rsidRPr="008B13A5" w:rsidRDefault="00F8618D" w:rsidP="00091B9F">
      <w:pPr>
        <w:rPr>
          <w:noProof/>
          <w:szCs w:val="22"/>
        </w:rPr>
      </w:pPr>
      <w:r w:rsidRPr="008B13A5">
        <w:rPr>
          <w:noProof/>
        </w:rPr>
        <w:t>This</w:t>
      </w:r>
      <w:r w:rsidRPr="008B13A5">
        <w:rPr>
          <w:noProof/>
          <w:szCs w:val="22"/>
        </w:rPr>
        <w:t xml:space="preserve"> annex presents an overview of the five consultation activities:</w:t>
      </w:r>
      <w:r w:rsidR="00F274DD" w:rsidRPr="008B13A5">
        <w:rPr>
          <w:noProof/>
          <w:szCs w:val="22"/>
        </w:rPr>
        <w:t xml:space="preserve"> </w:t>
      </w:r>
      <w:r w:rsidRPr="008B13A5">
        <w:rPr>
          <w:noProof/>
          <w:szCs w:val="22"/>
        </w:rPr>
        <w:t>the</w:t>
      </w:r>
      <w:r w:rsidR="00F274DD" w:rsidRPr="008B13A5">
        <w:rPr>
          <w:noProof/>
          <w:szCs w:val="22"/>
        </w:rPr>
        <w:t xml:space="preserve"> </w:t>
      </w:r>
      <w:r w:rsidRPr="008B13A5">
        <w:rPr>
          <w:noProof/>
          <w:szCs w:val="22"/>
        </w:rPr>
        <w:t>open</w:t>
      </w:r>
      <w:r w:rsidR="00F274DD" w:rsidRPr="008B13A5">
        <w:rPr>
          <w:noProof/>
          <w:szCs w:val="22"/>
        </w:rPr>
        <w:t xml:space="preserve"> </w:t>
      </w:r>
      <w:r w:rsidRPr="008B13A5">
        <w:rPr>
          <w:noProof/>
          <w:szCs w:val="22"/>
        </w:rPr>
        <w:t>public consultation</w:t>
      </w:r>
      <w:r w:rsidR="00F274DD" w:rsidRPr="008B13A5">
        <w:rPr>
          <w:noProof/>
          <w:szCs w:val="22"/>
        </w:rPr>
        <w:t xml:space="preserve"> </w:t>
      </w:r>
      <w:r w:rsidRPr="008B13A5">
        <w:rPr>
          <w:noProof/>
          <w:szCs w:val="22"/>
        </w:rPr>
        <w:t>(OPC),</w:t>
      </w:r>
      <w:r w:rsidR="00F274DD" w:rsidRPr="008B13A5">
        <w:rPr>
          <w:noProof/>
          <w:szCs w:val="22"/>
        </w:rPr>
        <w:t xml:space="preserve"> </w:t>
      </w:r>
      <w:r w:rsidRPr="008B13A5">
        <w:rPr>
          <w:noProof/>
          <w:szCs w:val="22"/>
        </w:rPr>
        <w:t>call for evidence,</w:t>
      </w:r>
      <w:r w:rsidR="00F274DD" w:rsidRPr="008B13A5">
        <w:rPr>
          <w:noProof/>
          <w:szCs w:val="22"/>
        </w:rPr>
        <w:t xml:space="preserve"> </w:t>
      </w:r>
      <w:r w:rsidRPr="008B13A5">
        <w:rPr>
          <w:noProof/>
          <w:szCs w:val="22"/>
        </w:rPr>
        <w:t>surveys,</w:t>
      </w:r>
      <w:r w:rsidR="00F274DD" w:rsidRPr="008B13A5">
        <w:rPr>
          <w:noProof/>
          <w:szCs w:val="22"/>
        </w:rPr>
        <w:t xml:space="preserve"> </w:t>
      </w:r>
      <w:r w:rsidRPr="008B13A5">
        <w:rPr>
          <w:noProof/>
          <w:szCs w:val="22"/>
        </w:rPr>
        <w:t>expert</w:t>
      </w:r>
      <w:r w:rsidR="00F274DD" w:rsidRPr="008B13A5">
        <w:rPr>
          <w:noProof/>
          <w:szCs w:val="22"/>
        </w:rPr>
        <w:t xml:space="preserve"> </w:t>
      </w:r>
      <w:r w:rsidRPr="008B13A5">
        <w:rPr>
          <w:noProof/>
          <w:szCs w:val="22"/>
        </w:rPr>
        <w:t>interviews, and workshops.</w:t>
      </w:r>
      <w:r w:rsidR="00F274DD" w:rsidRPr="008B13A5">
        <w:rPr>
          <w:noProof/>
          <w:szCs w:val="22"/>
        </w:rPr>
        <w:t xml:space="preserve"> </w:t>
      </w:r>
      <w:r w:rsidRPr="008B13A5">
        <w:rPr>
          <w:noProof/>
          <w:szCs w:val="22"/>
        </w:rPr>
        <w:t>In line with the Terms of Reference and the Commission’s Better Regulation Guidelines, it summarises findings across the evaluation criteria (effectiveness, efficiency, coherence, EU added value, and relevance), as well as prospective outcomes.</w:t>
      </w:r>
      <w:r w:rsidR="00F274DD" w:rsidRPr="008B13A5">
        <w:rPr>
          <w:noProof/>
          <w:szCs w:val="22"/>
        </w:rPr>
        <w:t xml:space="preserve"> </w:t>
      </w:r>
      <w:r w:rsidRPr="008B13A5">
        <w:rPr>
          <w:noProof/>
          <w:szCs w:val="22"/>
        </w:rPr>
        <w:t>This annex presents the stakeholder consultation findings and clarifies how they have been incorporated into the evaluation and policy-making process.</w:t>
      </w:r>
    </w:p>
    <w:p w14:paraId="72DABFDD" w14:textId="03C3B08C" w:rsidR="00F8618D" w:rsidRPr="008B13A5" w:rsidRDefault="00F8618D" w:rsidP="009712FE">
      <w:pPr>
        <w:pStyle w:val="Heading1"/>
        <w:rPr>
          <w:noProof/>
          <w:szCs w:val="22"/>
        </w:rPr>
      </w:pPr>
      <w:bookmarkStart w:id="17" w:name="_Toc223620576"/>
      <w:bookmarkStart w:id="18" w:name="_Toc230010361"/>
      <w:r w:rsidRPr="008B13A5">
        <w:rPr>
          <w:noProof/>
        </w:rPr>
        <w:t>Outline of the consultation strategy</w:t>
      </w:r>
      <w:r w:rsidR="00F274DD" w:rsidRPr="008B13A5">
        <w:rPr>
          <w:noProof/>
        </w:rPr>
        <w:t xml:space="preserve"> </w:t>
      </w:r>
      <w:r w:rsidRPr="008B13A5">
        <w:rPr>
          <w:noProof/>
        </w:rPr>
        <w:t>and</w:t>
      </w:r>
      <w:r w:rsidR="00F274DD" w:rsidRPr="008B13A5">
        <w:rPr>
          <w:noProof/>
        </w:rPr>
        <w:t xml:space="preserve"> </w:t>
      </w:r>
      <w:r w:rsidRPr="008B13A5">
        <w:rPr>
          <w:noProof/>
        </w:rPr>
        <w:t>methodology</w:t>
      </w:r>
      <w:bookmarkEnd w:id="17"/>
      <w:bookmarkEnd w:id="18"/>
      <w:r w:rsidR="00F274DD" w:rsidRPr="008B13A5">
        <w:rPr>
          <w:noProof/>
        </w:rPr>
        <w:t xml:space="preserve"> </w:t>
      </w:r>
      <w:r w:rsidR="00F274DD" w:rsidRPr="00BD008E">
        <w:rPr>
          <w:noProof/>
        </w:rPr>
        <w:t xml:space="preserve"> </w:t>
      </w:r>
    </w:p>
    <w:p w14:paraId="4C9531D8" w14:textId="77777777" w:rsidR="00F8618D" w:rsidRPr="008B13A5" w:rsidRDefault="00F8618D" w:rsidP="00C572F8">
      <w:pPr>
        <w:rPr>
          <w:noProof/>
          <w:szCs w:val="22"/>
        </w:rPr>
      </w:pPr>
      <w:r w:rsidRPr="008B13A5">
        <w:rPr>
          <w:noProof/>
          <w:szCs w:val="22"/>
        </w:rPr>
        <w:t>Stakeholder consultation is the structured process through which the Commission and its contractors gather</w:t>
      </w:r>
      <w:r w:rsidR="00F274DD" w:rsidRPr="008B13A5">
        <w:rPr>
          <w:noProof/>
          <w:szCs w:val="22"/>
        </w:rPr>
        <w:t xml:space="preserve"> </w:t>
      </w:r>
      <w:r w:rsidRPr="008B13A5">
        <w:rPr>
          <w:noProof/>
          <w:szCs w:val="22"/>
        </w:rPr>
        <w:t>information and perspectives from stakeholders</w:t>
      </w:r>
      <w:r w:rsidR="00F274DD" w:rsidRPr="008B13A5">
        <w:rPr>
          <w:noProof/>
          <w:szCs w:val="22"/>
        </w:rPr>
        <w:t xml:space="preserve"> </w:t>
      </w:r>
      <w:r w:rsidRPr="008B13A5">
        <w:rPr>
          <w:noProof/>
          <w:szCs w:val="22"/>
        </w:rPr>
        <w:t>regarding</w:t>
      </w:r>
      <w:r w:rsidR="00F274DD" w:rsidRPr="008B13A5">
        <w:rPr>
          <w:noProof/>
          <w:szCs w:val="22"/>
        </w:rPr>
        <w:t xml:space="preserve"> </w:t>
      </w:r>
      <w:r w:rsidRPr="008B13A5">
        <w:rPr>
          <w:noProof/>
          <w:szCs w:val="22"/>
        </w:rPr>
        <w:t>the Chips Act.</w:t>
      </w:r>
      <w:r w:rsidR="00F274DD" w:rsidRPr="008B13A5">
        <w:rPr>
          <w:noProof/>
          <w:szCs w:val="22"/>
        </w:rPr>
        <w:t xml:space="preserve"> </w:t>
      </w:r>
      <w:r w:rsidRPr="008B13A5">
        <w:rPr>
          <w:noProof/>
          <w:szCs w:val="22"/>
        </w:rPr>
        <w:t>The consultation strategy defines the scope,</w:t>
      </w:r>
      <w:r w:rsidR="00F274DD" w:rsidRPr="008B13A5">
        <w:rPr>
          <w:noProof/>
          <w:szCs w:val="22"/>
        </w:rPr>
        <w:t xml:space="preserve"> </w:t>
      </w:r>
      <w:r w:rsidRPr="008B13A5">
        <w:rPr>
          <w:noProof/>
          <w:szCs w:val="22"/>
        </w:rPr>
        <w:t>identifies</w:t>
      </w:r>
      <w:r w:rsidR="00F274DD" w:rsidRPr="008B13A5">
        <w:rPr>
          <w:noProof/>
          <w:szCs w:val="22"/>
        </w:rPr>
        <w:t xml:space="preserve"> </w:t>
      </w:r>
      <w:r w:rsidRPr="008B13A5">
        <w:rPr>
          <w:noProof/>
          <w:szCs w:val="22"/>
        </w:rPr>
        <w:t>the stakeholder groups to be reached,</w:t>
      </w:r>
      <w:r w:rsidR="00F274DD" w:rsidRPr="008B13A5">
        <w:rPr>
          <w:noProof/>
          <w:szCs w:val="22"/>
        </w:rPr>
        <w:t xml:space="preserve"> </w:t>
      </w:r>
      <w:r w:rsidRPr="008B13A5">
        <w:rPr>
          <w:noProof/>
          <w:szCs w:val="22"/>
        </w:rPr>
        <w:t>and clarifies the purpose of each activity.</w:t>
      </w:r>
    </w:p>
    <w:p w14:paraId="7F14E13A" w14:textId="1A05B01A" w:rsidR="00F8618D" w:rsidRPr="008B13A5" w:rsidRDefault="00F8618D" w:rsidP="0074355E">
      <w:pPr>
        <w:spacing w:after="0"/>
        <w:rPr>
          <w:noProof/>
          <w:szCs w:val="22"/>
        </w:rPr>
      </w:pPr>
      <w:r w:rsidRPr="008B13A5">
        <w:rPr>
          <w:noProof/>
        </w:rPr>
        <w:t>The approach followed the Commission’s Better Regulation Guidelines and</w:t>
      </w:r>
      <w:r w:rsidR="00F274DD" w:rsidRPr="008B13A5">
        <w:rPr>
          <w:noProof/>
        </w:rPr>
        <w:t xml:space="preserve"> </w:t>
      </w:r>
      <w:r w:rsidRPr="008B13A5">
        <w:rPr>
          <w:noProof/>
        </w:rPr>
        <w:t>comprised</w:t>
      </w:r>
      <w:r w:rsidR="00F274DD" w:rsidRPr="008B13A5">
        <w:rPr>
          <w:noProof/>
        </w:rPr>
        <w:t xml:space="preserve"> </w:t>
      </w:r>
      <w:r w:rsidRPr="008B13A5">
        <w:rPr>
          <w:noProof/>
        </w:rPr>
        <w:t>three main steps:</w:t>
      </w:r>
    </w:p>
    <w:p w14:paraId="5F117697" w14:textId="275579A0" w:rsidR="00F8618D" w:rsidRPr="008B13A5" w:rsidRDefault="00F8618D" w:rsidP="00F47256">
      <w:pPr>
        <w:pStyle w:val="ListBullet"/>
        <w:numPr>
          <w:ilvl w:val="0"/>
          <w:numId w:val="75"/>
        </w:numPr>
        <w:spacing w:after="0"/>
        <w:rPr>
          <w:noProof/>
        </w:rPr>
      </w:pPr>
      <w:r w:rsidRPr="008B13A5">
        <w:rPr>
          <w:noProof/>
        </w:rPr>
        <w:t>Designing the consultation strategy;</w:t>
      </w:r>
    </w:p>
    <w:p w14:paraId="49C8B06B" w14:textId="77777777" w:rsidR="00F8618D" w:rsidRPr="008B13A5" w:rsidRDefault="00F8618D" w:rsidP="00F47256">
      <w:pPr>
        <w:pStyle w:val="ListBullet"/>
        <w:numPr>
          <w:ilvl w:val="0"/>
          <w:numId w:val="75"/>
        </w:numPr>
        <w:spacing w:after="0"/>
        <w:rPr>
          <w:noProof/>
        </w:rPr>
      </w:pPr>
      <w:r w:rsidRPr="008B13A5">
        <w:rPr>
          <w:noProof/>
        </w:rPr>
        <w:t>Conducting the consultation activities;</w:t>
      </w:r>
    </w:p>
    <w:p w14:paraId="4DB57970" w14:textId="52A61D8E" w:rsidR="00F8618D" w:rsidRPr="008B13A5" w:rsidRDefault="00F8618D" w:rsidP="00091B9F">
      <w:pPr>
        <w:pStyle w:val="ListBullet"/>
        <w:numPr>
          <w:ilvl w:val="0"/>
          <w:numId w:val="75"/>
        </w:numPr>
        <w:spacing w:after="0"/>
        <w:rPr>
          <w:noProof/>
        </w:rPr>
      </w:pPr>
      <w:r w:rsidRPr="008B13A5">
        <w:rPr>
          <w:noProof/>
          <w:szCs w:val="22"/>
        </w:rPr>
        <w:t>Informing policymaking through the preparation of our reports.</w:t>
      </w:r>
    </w:p>
    <w:p w14:paraId="2888ECB6" w14:textId="77777777" w:rsidR="00091B9F" w:rsidRPr="008B13A5" w:rsidRDefault="00091B9F" w:rsidP="00091B9F">
      <w:pPr>
        <w:spacing w:after="0"/>
        <w:rPr>
          <w:noProof/>
          <w:szCs w:val="22"/>
        </w:rPr>
      </w:pPr>
    </w:p>
    <w:p w14:paraId="4600AD41" w14:textId="3324DEED" w:rsidR="00F8618D" w:rsidRPr="008B13A5" w:rsidRDefault="00F8618D" w:rsidP="00F8618D">
      <w:pPr>
        <w:rPr>
          <w:noProof/>
          <w:szCs w:val="22"/>
        </w:rPr>
      </w:pPr>
      <w:r w:rsidRPr="008B13A5">
        <w:rPr>
          <w:noProof/>
          <w:szCs w:val="22"/>
        </w:rPr>
        <w:t>The consultations aimed to gather stakeholder views and</w:t>
      </w:r>
      <w:r w:rsidR="00F274DD" w:rsidRPr="008B13A5">
        <w:rPr>
          <w:noProof/>
          <w:szCs w:val="22"/>
        </w:rPr>
        <w:t xml:space="preserve"> </w:t>
      </w:r>
      <w:r w:rsidRPr="008B13A5">
        <w:rPr>
          <w:noProof/>
          <w:szCs w:val="22"/>
        </w:rPr>
        <w:t>collect</w:t>
      </w:r>
      <w:r w:rsidR="00F274DD" w:rsidRPr="008B13A5">
        <w:rPr>
          <w:noProof/>
          <w:szCs w:val="22"/>
        </w:rPr>
        <w:t xml:space="preserve"> </w:t>
      </w:r>
      <w:r w:rsidRPr="008B13A5">
        <w:rPr>
          <w:noProof/>
          <w:szCs w:val="22"/>
        </w:rPr>
        <w:t>data to address the evaluation questions. Findings are presented by consultation method and stakeholder</w:t>
      </w:r>
      <w:r w:rsidR="00F274DD" w:rsidRPr="008B13A5">
        <w:rPr>
          <w:noProof/>
          <w:szCs w:val="22"/>
        </w:rPr>
        <w:t xml:space="preserve"> </w:t>
      </w:r>
      <w:r w:rsidRPr="008B13A5">
        <w:rPr>
          <w:noProof/>
          <w:szCs w:val="22"/>
        </w:rPr>
        <w:t>group, and</w:t>
      </w:r>
      <w:r w:rsidR="00F274DD" w:rsidRPr="008B13A5">
        <w:rPr>
          <w:noProof/>
          <w:szCs w:val="22"/>
        </w:rPr>
        <w:t xml:space="preserve"> </w:t>
      </w:r>
      <w:r w:rsidRPr="008B13A5">
        <w:rPr>
          <w:noProof/>
          <w:szCs w:val="22"/>
        </w:rPr>
        <w:t>were triangulated with evidence from other data collection and analysis activities.</w:t>
      </w:r>
    </w:p>
    <w:p w14:paraId="23038236" w14:textId="59B865B0" w:rsidR="00F8618D" w:rsidRPr="008B13A5" w:rsidRDefault="00F8618D" w:rsidP="00F8618D">
      <w:pPr>
        <w:rPr>
          <w:noProof/>
          <w:szCs w:val="22"/>
        </w:rPr>
      </w:pPr>
      <w:r w:rsidRPr="008B13A5">
        <w:rPr>
          <w:noProof/>
          <w:szCs w:val="22"/>
        </w:rPr>
        <w:t>The consultation tools were designed to be complementary. Surveys and the call for evidence provided broad input, particularly on effectiveness and efficiency, while interviews and workshops with stakeholders (including industry, research organisations, and external experts) supported more in-depth assessment of relevance, coherence, and EU added value. The</w:t>
      </w:r>
      <w:r w:rsidR="00F274DD" w:rsidRPr="008B13A5">
        <w:rPr>
          <w:noProof/>
          <w:szCs w:val="22"/>
        </w:rPr>
        <w:t xml:space="preserve"> </w:t>
      </w:r>
      <w:r w:rsidRPr="008B13A5">
        <w:rPr>
          <w:noProof/>
          <w:szCs w:val="22"/>
        </w:rPr>
        <w:t>OPC</w:t>
      </w:r>
      <w:r w:rsidR="00F274DD" w:rsidRPr="008B13A5">
        <w:rPr>
          <w:noProof/>
          <w:szCs w:val="22"/>
        </w:rPr>
        <w:t xml:space="preserve"> </w:t>
      </w:r>
      <w:r w:rsidRPr="008B13A5">
        <w:rPr>
          <w:noProof/>
          <w:szCs w:val="22"/>
        </w:rPr>
        <w:t>covered all evaluation criteria and enabled stakeholders and the wider public to share views on the</w:t>
      </w:r>
      <w:r w:rsidR="00F274DD" w:rsidRPr="008B13A5">
        <w:rPr>
          <w:noProof/>
          <w:szCs w:val="22"/>
        </w:rPr>
        <w:t xml:space="preserve"> </w:t>
      </w:r>
      <w:r w:rsidRPr="008B13A5">
        <w:rPr>
          <w:noProof/>
          <w:szCs w:val="22"/>
        </w:rPr>
        <w:t>Chips</w:t>
      </w:r>
      <w:r w:rsidR="00F274DD" w:rsidRPr="008B13A5">
        <w:rPr>
          <w:noProof/>
          <w:szCs w:val="22"/>
        </w:rPr>
        <w:t xml:space="preserve"> </w:t>
      </w:r>
      <w:r w:rsidRPr="008B13A5">
        <w:rPr>
          <w:noProof/>
          <w:szCs w:val="22"/>
        </w:rPr>
        <w:t>Act’s implementation.</w:t>
      </w:r>
    </w:p>
    <w:p w14:paraId="076A5448" w14:textId="77777777" w:rsidR="00F8618D" w:rsidRPr="008B13A5" w:rsidRDefault="00F8618D" w:rsidP="00F8618D">
      <w:pPr>
        <w:rPr>
          <w:noProof/>
          <w:szCs w:val="22"/>
        </w:rPr>
      </w:pPr>
      <w:r w:rsidRPr="008B13A5">
        <w:rPr>
          <w:noProof/>
          <w:szCs w:val="22"/>
        </w:rPr>
        <w:t>Although the study provides an overall evaluation of the Chips Act,</w:t>
      </w:r>
      <w:r w:rsidR="00F274DD" w:rsidRPr="008B13A5">
        <w:rPr>
          <w:noProof/>
          <w:szCs w:val="22"/>
        </w:rPr>
        <w:t xml:space="preserve"> </w:t>
      </w:r>
      <w:r w:rsidRPr="008B13A5">
        <w:rPr>
          <w:noProof/>
          <w:szCs w:val="22"/>
        </w:rPr>
        <w:t>the consultation findings are presented with a forward-looking focus, reflecting stakeholder suggestions for improvement. These insights are integrated in the final evaluation report alongside evidence from other methods.</w:t>
      </w:r>
    </w:p>
    <w:p w14:paraId="040969FE" w14:textId="7E72711D" w:rsidR="00F8618D" w:rsidRPr="008B13A5" w:rsidRDefault="00F8618D" w:rsidP="004E0B17">
      <w:pPr>
        <w:rPr>
          <w:noProof/>
          <w:szCs w:val="22"/>
        </w:rPr>
      </w:pPr>
      <w:r w:rsidRPr="008B13A5">
        <w:rPr>
          <w:noProof/>
          <w:szCs w:val="22"/>
        </w:rPr>
        <w:br w:type="page"/>
      </w:r>
    </w:p>
    <w:p w14:paraId="7B12F84E" w14:textId="7960CAB6" w:rsidR="00F8618D" w:rsidRPr="008B13A5" w:rsidRDefault="00F8618D" w:rsidP="00F8618D">
      <w:pPr>
        <w:rPr>
          <w:i/>
          <w:noProof/>
          <w:szCs w:val="22"/>
        </w:rPr>
      </w:pPr>
      <w:r w:rsidRPr="008B13A5">
        <w:rPr>
          <w:b/>
          <w:noProof/>
          <w:szCs w:val="22"/>
        </w:rPr>
        <w:t>Table</w:t>
      </w:r>
      <w:r w:rsidR="00F274DD" w:rsidRPr="008B13A5">
        <w:rPr>
          <w:b/>
          <w:noProof/>
          <w:szCs w:val="22"/>
        </w:rPr>
        <w:t xml:space="preserve"> </w:t>
      </w:r>
      <w:r w:rsidRPr="008B13A5">
        <w:rPr>
          <w:b/>
          <w:noProof/>
          <w:szCs w:val="22"/>
        </w:rPr>
        <w:t>1. Main information on stakeholder consultation activities</w:t>
      </w:r>
    </w:p>
    <w:tbl>
      <w:tblPr>
        <w:tblStyle w:val="TableGrid"/>
        <w:tblW w:w="9681" w:type="dxa"/>
        <w:tblCellMar>
          <w:left w:w="28" w:type="dxa"/>
          <w:right w:w="28" w:type="dxa"/>
        </w:tblCellMar>
        <w:tblLook w:val="04A0" w:firstRow="1" w:lastRow="0" w:firstColumn="1" w:lastColumn="0" w:noHBand="0" w:noVBand="1"/>
      </w:tblPr>
      <w:tblGrid>
        <w:gridCol w:w="1377"/>
        <w:gridCol w:w="3758"/>
        <w:gridCol w:w="2599"/>
        <w:gridCol w:w="1947"/>
      </w:tblGrid>
      <w:tr w:rsidR="00F8618D" w:rsidRPr="008B13A5" w14:paraId="366288B4" w14:textId="77777777">
        <w:trPr>
          <w:trHeight w:val="300"/>
          <w:tblHeader/>
        </w:trPr>
        <w:tc>
          <w:tcPr>
            <w:tcW w:w="1335" w:type="dxa"/>
          </w:tcPr>
          <w:p w14:paraId="21CCCBB0" w14:textId="7FB3D8F6" w:rsidR="00F8618D" w:rsidRPr="008B13A5" w:rsidRDefault="00F8618D" w:rsidP="00325595">
            <w:pPr>
              <w:spacing w:after="0"/>
              <w:jc w:val="left"/>
              <w:rPr>
                <w:b/>
                <w:noProof/>
                <w:szCs w:val="22"/>
              </w:rPr>
            </w:pPr>
            <w:r w:rsidRPr="008B13A5">
              <w:rPr>
                <w:b/>
                <w:noProof/>
                <w:szCs w:val="22"/>
              </w:rPr>
              <w:t>Consultation activity</w:t>
            </w:r>
          </w:p>
        </w:tc>
        <w:tc>
          <w:tcPr>
            <w:tcW w:w="6390" w:type="dxa"/>
            <w:gridSpan w:val="2"/>
            <w:tcBorders>
              <w:bottom w:val="single" w:sz="4" w:space="0" w:color="auto"/>
            </w:tcBorders>
          </w:tcPr>
          <w:p w14:paraId="48AEE273" w14:textId="13BAEACF" w:rsidR="00F8618D" w:rsidRPr="008B13A5" w:rsidRDefault="00F8618D" w:rsidP="00325595">
            <w:pPr>
              <w:spacing w:after="0"/>
              <w:jc w:val="left"/>
              <w:rPr>
                <w:b/>
                <w:noProof/>
                <w:szCs w:val="22"/>
              </w:rPr>
            </w:pPr>
            <w:r w:rsidRPr="008B13A5">
              <w:rPr>
                <w:b/>
                <w:noProof/>
                <w:szCs w:val="22"/>
              </w:rPr>
              <w:t>Target groups</w:t>
            </w:r>
          </w:p>
        </w:tc>
        <w:tc>
          <w:tcPr>
            <w:tcW w:w="1956" w:type="dxa"/>
          </w:tcPr>
          <w:p w14:paraId="78322280" w14:textId="77777777" w:rsidR="00F8618D" w:rsidRPr="008B13A5" w:rsidRDefault="00F8618D" w:rsidP="00325595">
            <w:pPr>
              <w:spacing w:after="0"/>
              <w:jc w:val="left"/>
              <w:rPr>
                <w:b/>
                <w:noProof/>
                <w:szCs w:val="22"/>
              </w:rPr>
            </w:pPr>
            <w:r w:rsidRPr="008B13A5">
              <w:rPr>
                <w:b/>
                <w:noProof/>
                <w:szCs w:val="22"/>
              </w:rPr>
              <w:t>Dates</w:t>
            </w:r>
          </w:p>
        </w:tc>
      </w:tr>
      <w:tr w:rsidR="00F8618D" w:rsidRPr="008B13A5" w14:paraId="147E5EF3" w14:textId="77777777">
        <w:trPr>
          <w:trHeight w:val="516"/>
          <w:tblHeader/>
        </w:trPr>
        <w:tc>
          <w:tcPr>
            <w:tcW w:w="1335" w:type="dxa"/>
            <w:vMerge w:val="restart"/>
          </w:tcPr>
          <w:p w14:paraId="7D233322" w14:textId="540FB731" w:rsidR="00F8618D" w:rsidRPr="008B13A5" w:rsidRDefault="00F8618D" w:rsidP="009B6EE7">
            <w:pPr>
              <w:pStyle w:val="ListBullet"/>
              <w:spacing w:after="0"/>
              <w:jc w:val="left"/>
              <w:rPr>
                <w:noProof/>
                <w:sz w:val="20"/>
                <w:szCs w:val="18"/>
              </w:rPr>
            </w:pPr>
            <w:r w:rsidRPr="008B13A5">
              <w:rPr>
                <w:noProof/>
                <w:sz w:val="20"/>
                <w:szCs w:val="18"/>
              </w:rPr>
              <w:t>Open public consultation</w:t>
            </w:r>
          </w:p>
        </w:tc>
        <w:tc>
          <w:tcPr>
            <w:tcW w:w="3780" w:type="dxa"/>
            <w:vMerge w:val="restart"/>
            <w:tcBorders>
              <w:right w:val="nil"/>
            </w:tcBorders>
          </w:tcPr>
          <w:p w14:paraId="4A6DA613" w14:textId="77777777" w:rsidR="00F8618D" w:rsidRPr="008B13A5" w:rsidRDefault="00F8618D" w:rsidP="009B6EE7">
            <w:pPr>
              <w:pStyle w:val="ListBullet"/>
              <w:spacing w:after="0"/>
              <w:jc w:val="left"/>
              <w:rPr>
                <w:noProof/>
                <w:sz w:val="20"/>
                <w:szCs w:val="18"/>
              </w:rPr>
            </w:pPr>
            <w:r w:rsidRPr="008B13A5">
              <w:rPr>
                <w:noProof/>
                <w:sz w:val="20"/>
                <w:szCs w:val="18"/>
              </w:rPr>
              <w:t>Organisations</w:t>
            </w:r>
          </w:p>
        </w:tc>
        <w:tc>
          <w:tcPr>
            <w:tcW w:w="2610" w:type="dxa"/>
            <w:vMerge w:val="restart"/>
            <w:tcBorders>
              <w:left w:val="nil"/>
            </w:tcBorders>
          </w:tcPr>
          <w:p w14:paraId="6B88F127" w14:textId="13F0C43A" w:rsidR="00F8618D" w:rsidRPr="008B13A5" w:rsidRDefault="00F8618D" w:rsidP="009B6EE7">
            <w:pPr>
              <w:numPr>
                <w:ilvl w:val="0"/>
                <w:numId w:val="7"/>
              </w:numPr>
              <w:spacing w:after="0"/>
              <w:jc w:val="left"/>
              <w:rPr>
                <w:noProof/>
                <w:sz w:val="20"/>
                <w:szCs w:val="18"/>
              </w:rPr>
            </w:pPr>
            <w:r w:rsidRPr="008B13A5">
              <w:rPr>
                <w:noProof/>
                <w:sz w:val="20"/>
                <w:szCs w:val="18"/>
              </w:rPr>
              <w:t>Individual respondents</w:t>
            </w:r>
          </w:p>
        </w:tc>
        <w:tc>
          <w:tcPr>
            <w:tcW w:w="1956" w:type="dxa"/>
            <w:vMerge w:val="restart"/>
          </w:tcPr>
          <w:p w14:paraId="7F986597" w14:textId="28B4713C" w:rsidR="00F8618D" w:rsidRPr="008B13A5" w:rsidRDefault="00F8618D" w:rsidP="009B6EE7">
            <w:pPr>
              <w:spacing w:after="0"/>
              <w:jc w:val="left"/>
              <w:rPr>
                <w:noProof/>
                <w:sz w:val="20"/>
                <w:szCs w:val="18"/>
              </w:rPr>
            </w:pPr>
            <w:r w:rsidRPr="008B13A5">
              <w:rPr>
                <w:noProof/>
                <w:sz w:val="20"/>
                <w:szCs w:val="18"/>
              </w:rPr>
              <w:t>5 September 2025 -</w:t>
            </w:r>
            <w:r w:rsidRPr="008B13A5">
              <w:rPr>
                <w:noProof/>
                <w:sz w:val="20"/>
                <w:szCs w:val="18"/>
              </w:rPr>
              <w:br/>
              <w:t>28 November 2025</w:t>
            </w:r>
          </w:p>
        </w:tc>
      </w:tr>
      <w:tr w:rsidR="00F8618D" w:rsidRPr="008B13A5" w14:paraId="5B18BC2B" w14:textId="77777777">
        <w:trPr>
          <w:trHeight w:val="516"/>
          <w:tblHeader/>
        </w:trPr>
        <w:tc>
          <w:tcPr>
            <w:tcW w:w="1335" w:type="dxa"/>
            <w:vMerge/>
            <w:vAlign w:val="center"/>
          </w:tcPr>
          <w:p w14:paraId="4F0D44F4" w14:textId="77777777" w:rsidR="00F8618D" w:rsidRPr="008B13A5" w:rsidRDefault="00F8618D" w:rsidP="009B6EE7">
            <w:pPr>
              <w:pStyle w:val="ListBullet"/>
              <w:spacing w:after="0"/>
              <w:jc w:val="left"/>
              <w:rPr>
                <w:noProof/>
                <w:sz w:val="20"/>
                <w:szCs w:val="18"/>
              </w:rPr>
            </w:pPr>
          </w:p>
        </w:tc>
        <w:tc>
          <w:tcPr>
            <w:tcW w:w="3780" w:type="dxa"/>
            <w:vMerge/>
            <w:tcBorders>
              <w:top w:val="single" w:sz="4" w:space="0" w:color="auto"/>
              <w:right w:val="nil"/>
            </w:tcBorders>
            <w:vAlign w:val="center"/>
          </w:tcPr>
          <w:p w14:paraId="4B1B12B7" w14:textId="77777777" w:rsidR="00F8618D" w:rsidRPr="008B13A5" w:rsidRDefault="00F8618D" w:rsidP="009B6EE7">
            <w:pPr>
              <w:pStyle w:val="ListBullet"/>
              <w:spacing w:after="0"/>
              <w:jc w:val="left"/>
              <w:rPr>
                <w:noProof/>
                <w:sz w:val="20"/>
                <w:szCs w:val="18"/>
              </w:rPr>
            </w:pPr>
          </w:p>
        </w:tc>
        <w:tc>
          <w:tcPr>
            <w:tcW w:w="2610" w:type="dxa"/>
            <w:vMerge/>
            <w:tcBorders>
              <w:top w:val="single" w:sz="4" w:space="0" w:color="auto"/>
              <w:left w:val="nil"/>
            </w:tcBorders>
            <w:vAlign w:val="center"/>
          </w:tcPr>
          <w:p w14:paraId="68A9DAA8" w14:textId="77777777" w:rsidR="00F8618D" w:rsidRPr="008B13A5" w:rsidRDefault="00F8618D" w:rsidP="009B6EE7">
            <w:pPr>
              <w:numPr>
                <w:ilvl w:val="0"/>
                <w:numId w:val="7"/>
              </w:numPr>
              <w:spacing w:after="0"/>
              <w:jc w:val="left"/>
              <w:rPr>
                <w:noProof/>
                <w:sz w:val="20"/>
                <w:szCs w:val="18"/>
              </w:rPr>
            </w:pPr>
          </w:p>
        </w:tc>
        <w:tc>
          <w:tcPr>
            <w:tcW w:w="1956" w:type="dxa"/>
            <w:vMerge/>
            <w:vAlign w:val="center"/>
          </w:tcPr>
          <w:p w14:paraId="5736599D" w14:textId="77777777" w:rsidR="00F8618D" w:rsidRPr="008B13A5" w:rsidRDefault="00F8618D" w:rsidP="009B6EE7">
            <w:pPr>
              <w:spacing w:after="0"/>
              <w:jc w:val="left"/>
              <w:rPr>
                <w:noProof/>
                <w:sz w:val="20"/>
                <w:szCs w:val="18"/>
              </w:rPr>
            </w:pPr>
          </w:p>
        </w:tc>
      </w:tr>
      <w:tr w:rsidR="00F8618D" w:rsidRPr="008B13A5" w14:paraId="6B658D51" w14:textId="77777777">
        <w:trPr>
          <w:trHeight w:val="300"/>
          <w:tblHeader/>
        </w:trPr>
        <w:tc>
          <w:tcPr>
            <w:tcW w:w="1335" w:type="dxa"/>
          </w:tcPr>
          <w:p w14:paraId="5EF7992F" w14:textId="5792CD24" w:rsidR="00F8618D" w:rsidRPr="008B13A5" w:rsidRDefault="00F8618D" w:rsidP="009B6EE7">
            <w:pPr>
              <w:pStyle w:val="ListBullet"/>
              <w:spacing w:after="0"/>
              <w:jc w:val="left"/>
              <w:rPr>
                <w:noProof/>
                <w:sz w:val="20"/>
                <w:szCs w:val="18"/>
              </w:rPr>
            </w:pPr>
            <w:r w:rsidRPr="008B13A5">
              <w:rPr>
                <w:noProof/>
                <w:sz w:val="20"/>
                <w:szCs w:val="18"/>
              </w:rPr>
              <w:t>Call for evidence</w:t>
            </w:r>
          </w:p>
        </w:tc>
        <w:tc>
          <w:tcPr>
            <w:tcW w:w="3780" w:type="dxa"/>
            <w:tcBorders>
              <w:right w:val="nil"/>
            </w:tcBorders>
          </w:tcPr>
          <w:p w14:paraId="5BBC7890" w14:textId="77777777" w:rsidR="00F8618D" w:rsidRPr="008B13A5" w:rsidRDefault="00F8618D" w:rsidP="009B6EE7">
            <w:pPr>
              <w:pStyle w:val="ListBullet"/>
              <w:spacing w:after="0"/>
              <w:jc w:val="left"/>
              <w:rPr>
                <w:noProof/>
                <w:sz w:val="20"/>
                <w:szCs w:val="18"/>
              </w:rPr>
            </w:pPr>
            <w:r w:rsidRPr="008B13A5">
              <w:rPr>
                <w:noProof/>
                <w:sz w:val="20"/>
                <w:szCs w:val="18"/>
              </w:rPr>
              <w:t>Organisations</w:t>
            </w:r>
          </w:p>
          <w:p w14:paraId="686A1A01" w14:textId="3FB9E059" w:rsidR="00F8618D" w:rsidRPr="008B13A5" w:rsidRDefault="00F8618D" w:rsidP="009B6EE7">
            <w:pPr>
              <w:pStyle w:val="ListBullet"/>
              <w:spacing w:after="0"/>
              <w:jc w:val="left"/>
              <w:rPr>
                <w:noProof/>
                <w:sz w:val="20"/>
                <w:szCs w:val="18"/>
              </w:rPr>
            </w:pPr>
            <w:r w:rsidRPr="008B13A5">
              <w:rPr>
                <w:noProof/>
                <w:sz w:val="20"/>
                <w:szCs w:val="18"/>
              </w:rPr>
              <w:t>Industry stakeholders</w:t>
            </w:r>
          </w:p>
          <w:p w14:paraId="49749591" w14:textId="3BFBE327" w:rsidR="00F8618D" w:rsidRPr="008B13A5" w:rsidRDefault="00F8618D" w:rsidP="009B6EE7">
            <w:pPr>
              <w:pStyle w:val="ListBullet"/>
              <w:spacing w:after="0"/>
              <w:jc w:val="left"/>
              <w:rPr>
                <w:noProof/>
                <w:sz w:val="20"/>
                <w:szCs w:val="18"/>
              </w:rPr>
            </w:pPr>
            <w:r w:rsidRPr="008B13A5">
              <w:rPr>
                <w:noProof/>
                <w:sz w:val="20"/>
                <w:szCs w:val="18"/>
              </w:rPr>
              <w:t>Research institutions</w:t>
            </w:r>
          </w:p>
        </w:tc>
        <w:tc>
          <w:tcPr>
            <w:tcW w:w="2610" w:type="dxa"/>
            <w:tcBorders>
              <w:left w:val="nil"/>
            </w:tcBorders>
          </w:tcPr>
          <w:p w14:paraId="189AC986" w14:textId="2554EFBE" w:rsidR="00F8618D" w:rsidRPr="008B13A5" w:rsidRDefault="00F8618D" w:rsidP="009B6EE7">
            <w:pPr>
              <w:pStyle w:val="ListBullet"/>
              <w:spacing w:after="0"/>
              <w:jc w:val="left"/>
              <w:rPr>
                <w:noProof/>
                <w:sz w:val="20"/>
                <w:szCs w:val="18"/>
              </w:rPr>
            </w:pPr>
            <w:r w:rsidRPr="008B13A5">
              <w:rPr>
                <w:noProof/>
                <w:sz w:val="20"/>
                <w:szCs w:val="18"/>
              </w:rPr>
              <w:t>Public authorities</w:t>
            </w:r>
          </w:p>
          <w:p w14:paraId="0531D819" w14:textId="77777777" w:rsidR="00F8618D" w:rsidRPr="008B13A5" w:rsidRDefault="00F8618D" w:rsidP="009B6EE7">
            <w:pPr>
              <w:pStyle w:val="ListBullet"/>
              <w:spacing w:after="0"/>
              <w:jc w:val="left"/>
              <w:rPr>
                <w:noProof/>
                <w:sz w:val="20"/>
                <w:szCs w:val="18"/>
              </w:rPr>
            </w:pPr>
            <w:r w:rsidRPr="008B13A5">
              <w:rPr>
                <w:noProof/>
                <w:sz w:val="20"/>
                <w:szCs w:val="18"/>
              </w:rPr>
              <w:t>NGOs</w:t>
            </w:r>
          </w:p>
        </w:tc>
        <w:tc>
          <w:tcPr>
            <w:tcW w:w="1956" w:type="dxa"/>
          </w:tcPr>
          <w:p w14:paraId="643BF652" w14:textId="1F8711EE" w:rsidR="00F8618D" w:rsidRPr="008B13A5" w:rsidRDefault="00F8618D" w:rsidP="009B6EE7">
            <w:pPr>
              <w:spacing w:after="0"/>
              <w:jc w:val="left"/>
              <w:rPr>
                <w:noProof/>
                <w:sz w:val="20"/>
                <w:szCs w:val="18"/>
              </w:rPr>
            </w:pPr>
            <w:r w:rsidRPr="008B13A5">
              <w:rPr>
                <w:noProof/>
                <w:sz w:val="20"/>
                <w:szCs w:val="18"/>
              </w:rPr>
              <w:t>5 September 2025 -</w:t>
            </w:r>
            <w:r w:rsidRPr="008B13A5">
              <w:rPr>
                <w:noProof/>
                <w:sz w:val="20"/>
                <w:szCs w:val="18"/>
              </w:rPr>
              <w:br/>
              <w:t>28 November 2025</w:t>
            </w:r>
          </w:p>
        </w:tc>
      </w:tr>
      <w:tr w:rsidR="00F8618D" w:rsidRPr="008B13A5" w14:paraId="641E6481" w14:textId="77777777">
        <w:trPr>
          <w:trHeight w:val="300"/>
          <w:tblHeader/>
        </w:trPr>
        <w:tc>
          <w:tcPr>
            <w:tcW w:w="1335" w:type="dxa"/>
          </w:tcPr>
          <w:p w14:paraId="31EB3AFD" w14:textId="77777777" w:rsidR="00F8618D" w:rsidRPr="008B13A5" w:rsidRDefault="00F8618D" w:rsidP="009B6EE7">
            <w:pPr>
              <w:pStyle w:val="ListBullet"/>
              <w:spacing w:after="0"/>
              <w:jc w:val="left"/>
              <w:rPr>
                <w:noProof/>
                <w:sz w:val="20"/>
                <w:szCs w:val="18"/>
              </w:rPr>
            </w:pPr>
            <w:r w:rsidRPr="008B13A5">
              <w:rPr>
                <w:noProof/>
                <w:sz w:val="20"/>
                <w:szCs w:val="18"/>
              </w:rPr>
              <w:t>Survey</w:t>
            </w:r>
          </w:p>
        </w:tc>
        <w:tc>
          <w:tcPr>
            <w:tcW w:w="3780" w:type="dxa"/>
            <w:tcBorders>
              <w:right w:val="nil"/>
            </w:tcBorders>
          </w:tcPr>
          <w:p w14:paraId="2842B861" w14:textId="7BE58F4F" w:rsidR="00F8618D" w:rsidRPr="008B13A5" w:rsidRDefault="00F8618D" w:rsidP="009B6EE7">
            <w:pPr>
              <w:pStyle w:val="ListBullet"/>
              <w:spacing w:after="0"/>
              <w:jc w:val="left"/>
              <w:rPr>
                <w:noProof/>
                <w:sz w:val="20"/>
                <w:szCs w:val="18"/>
              </w:rPr>
            </w:pPr>
            <w:r w:rsidRPr="008B13A5">
              <w:rPr>
                <w:noProof/>
                <w:sz w:val="20"/>
                <w:szCs w:val="18"/>
              </w:rPr>
              <w:t>National and regional authorities</w:t>
            </w:r>
          </w:p>
          <w:p w14:paraId="22A82B1F" w14:textId="153C9B14" w:rsidR="00F8618D" w:rsidRPr="008B13A5" w:rsidRDefault="00F8618D" w:rsidP="009B6EE7">
            <w:pPr>
              <w:pStyle w:val="ListBullet"/>
              <w:spacing w:after="0"/>
              <w:jc w:val="left"/>
              <w:rPr>
                <w:noProof/>
                <w:sz w:val="20"/>
                <w:szCs w:val="18"/>
              </w:rPr>
            </w:pPr>
            <w:r w:rsidRPr="008B13A5">
              <w:rPr>
                <w:noProof/>
                <w:sz w:val="20"/>
                <w:szCs w:val="18"/>
              </w:rPr>
              <w:t>Industry users</w:t>
            </w:r>
          </w:p>
        </w:tc>
        <w:tc>
          <w:tcPr>
            <w:tcW w:w="2610" w:type="dxa"/>
            <w:tcBorders>
              <w:left w:val="nil"/>
            </w:tcBorders>
          </w:tcPr>
          <w:p w14:paraId="288AFB7C" w14:textId="03786430" w:rsidR="00F8618D" w:rsidRPr="008B13A5" w:rsidRDefault="00F8618D" w:rsidP="009B6EE7">
            <w:pPr>
              <w:pStyle w:val="ListBullet"/>
              <w:spacing w:after="0"/>
              <w:jc w:val="left"/>
              <w:rPr>
                <w:noProof/>
                <w:sz w:val="20"/>
                <w:szCs w:val="18"/>
              </w:rPr>
            </w:pPr>
            <w:r w:rsidRPr="008B13A5">
              <w:rPr>
                <w:noProof/>
                <w:sz w:val="20"/>
                <w:szCs w:val="18"/>
              </w:rPr>
              <w:t>Supply chain actors</w:t>
            </w:r>
          </w:p>
          <w:p w14:paraId="76DE98DD" w14:textId="61C233B7" w:rsidR="00F8618D" w:rsidRPr="008B13A5" w:rsidRDefault="00F8618D" w:rsidP="009B6EE7">
            <w:pPr>
              <w:pStyle w:val="ListBullet"/>
              <w:spacing w:after="0"/>
              <w:jc w:val="left"/>
              <w:rPr>
                <w:noProof/>
                <w:sz w:val="20"/>
                <w:szCs w:val="18"/>
              </w:rPr>
            </w:pPr>
            <w:r w:rsidRPr="008B13A5">
              <w:rPr>
                <w:noProof/>
                <w:sz w:val="20"/>
                <w:szCs w:val="18"/>
              </w:rPr>
              <w:t>Research and design (R&amp;D) organisations</w:t>
            </w:r>
          </w:p>
        </w:tc>
        <w:tc>
          <w:tcPr>
            <w:tcW w:w="1956" w:type="dxa"/>
          </w:tcPr>
          <w:p w14:paraId="549B47CD" w14:textId="0D3B2C41" w:rsidR="00F8618D" w:rsidRPr="008B13A5" w:rsidRDefault="00F8618D" w:rsidP="009B6EE7">
            <w:pPr>
              <w:spacing w:after="0"/>
              <w:jc w:val="left"/>
              <w:rPr>
                <w:noProof/>
                <w:sz w:val="20"/>
                <w:szCs w:val="18"/>
              </w:rPr>
            </w:pPr>
            <w:r w:rsidRPr="008B13A5">
              <w:rPr>
                <w:noProof/>
                <w:sz w:val="20"/>
                <w:szCs w:val="18"/>
              </w:rPr>
              <w:t>24 October 2025 -</w:t>
            </w:r>
            <w:r w:rsidRPr="008B13A5">
              <w:rPr>
                <w:noProof/>
                <w:sz w:val="20"/>
                <w:szCs w:val="18"/>
              </w:rPr>
              <w:br/>
              <w:t>24 November 2025</w:t>
            </w:r>
          </w:p>
        </w:tc>
      </w:tr>
      <w:tr w:rsidR="00F8618D" w:rsidRPr="008B13A5" w14:paraId="544AD288" w14:textId="77777777">
        <w:trPr>
          <w:trHeight w:val="300"/>
          <w:tblHeader/>
        </w:trPr>
        <w:tc>
          <w:tcPr>
            <w:tcW w:w="1335" w:type="dxa"/>
          </w:tcPr>
          <w:p w14:paraId="7D028B51" w14:textId="77777777" w:rsidR="00F8618D" w:rsidRPr="008B13A5" w:rsidRDefault="00F8618D" w:rsidP="009B6EE7">
            <w:pPr>
              <w:pStyle w:val="ListBullet"/>
              <w:spacing w:after="0"/>
              <w:jc w:val="left"/>
              <w:rPr>
                <w:noProof/>
                <w:sz w:val="20"/>
                <w:szCs w:val="18"/>
              </w:rPr>
            </w:pPr>
            <w:r w:rsidRPr="008B13A5">
              <w:rPr>
                <w:noProof/>
                <w:sz w:val="20"/>
                <w:szCs w:val="18"/>
              </w:rPr>
              <w:t>Interviews</w:t>
            </w:r>
          </w:p>
        </w:tc>
        <w:tc>
          <w:tcPr>
            <w:tcW w:w="3780" w:type="dxa"/>
            <w:tcBorders>
              <w:right w:val="nil"/>
            </w:tcBorders>
          </w:tcPr>
          <w:p w14:paraId="65A79630" w14:textId="3147767D" w:rsidR="00F8618D" w:rsidRPr="008B13A5" w:rsidRDefault="00F8618D" w:rsidP="009B6EE7">
            <w:pPr>
              <w:pStyle w:val="ListBullet"/>
              <w:spacing w:after="0"/>
              <w:jc w:val="left"/>
              <w:rPr>
                <w:noProof/>
                <w:sz w:val="20"/>
                <w:szCs w:val="18"/>
              </w:rPr>
            </w:pPr>
            <w:r w:rsidRPr="008B13A5">
              <w:rPr>
                <w:noProof/>
                <w:sz w:val="20"/>
                <w:szCs w:val="18"/>
              </w:rPr>
              <w:t>EU industries</w:t>
            </w:r>
          </w:p>
          <w:p w14:paraId="6939A1B3" w14:textId="77777777" w:rsidR="00F8618D" w:rsidRPr="008B13A5" w:rsidRDefault="00F8618D" w:rsidP="009B6EE7">
            <w:pPr>
              <w:pStyle w:val="ListBullet"/>
              <w:spacing w:after="0"/>
              <w:jc w:val="left"/>
              <w:rPr>
                <w:noProof/>
                <w:sz w:val="20"/>
                <w:szCs w:val="18"/>
              </w:rPr>
            </w:pPr>
            <w:r w:rsidRPr="008B13A5">
              <w:rPr>
                <w:noProof/>
                <w:sz w:val="20"/>
                <w:szCs w:val="18"/>
              </w:rPr>
              <w:t>Policymakers</w:t>
            </w:r>
          </w:p>
          <w:p w14:paraId="62FD504E" w14:textId="22C4B17A" w:rsidR="00F8618D" w:rsidRPr="008B13A5" w:rsidRDefault="00F8618D" w:rsidP="009B6EE7">
            <w:pPr>
              <w:pStyle w:val="ListBullet"/>
              <w:spacing w:after="0"/>
              <w:jc w:val="left"/>
              <w:rPr>
                <w:noProof/>
                <w:sz w:val="20"/>
                <w:szCs w:val="18"/>
              </w:rPr>
            </w:pPr>
            <w:r w:rsidRPr="008B13A5">
              <w:rPr>
                <w:noProof/>
                <w:sz w:val="20"/>
                <w:szCs w:val="18"/>
              </w:rPr>
              <w:t>Industry representatives</w:t>
            </w:r>
          </w:p>
        </w:tc>
        <w:tc>
          <w:tcPr>
            <w:tcW w:w="2610" w:type="dxa"/>
            <w:tcBorders>
              <w:left w:val="nil"/>
            </w:tcBorders>
          </w:tcPr>
          <w:p w14:paraId="2AFE98FA" w14:textId="2262B96B" w:rsidR="00F8618D" w:rsidRPr="008B13A5" w:rsidRDefault="00F8618D" w:rsidP="009B6EE7">
            <w:pPr>
              <w:pStyle w:val="ListBullet"/>
              <w:spacing w:after="0"/>
              <w:jc w:val="left"/>
              <w:rPr>
                <w:noProof/>
                <w:sz w:val="20"/>
                <w:szCs w:val="18"/>
              </w:rPr>
            </w:pPr>
            <w:r w:rsidRPr="008B13A5">
              <w:rPr>
                <w:noProof/>
                <w:sz w:val="20"/>
                <w:szCs w:val="18"/>
              </w:rPr>
              <w:t>Key investors</w:t>
            </w:r>
          </w:p>
          <w:p w14:paraId="043F8418" w14:textId="25C38461" w:rsidR="00F8618D" w:rsidRPr="008B13A5" w:rsidRDefault="00F8618D" w:rsidP="009B6EE7">
            <w:pPr>
              <w:pStyle w:val="ListBullet"/>
              <w:spacing w:after="0"/>
              <w:jc w:val="left"/>
              <w:rPr>
                <w:noProof/>
                <w:sz w:val="20"/>
                <w:szCs w:val="18"/>
              </w:rPr>
            </w:pPr>
            <w:r w:rsidRPr="008B13A5">
              <w:rPr>
                <w:noProof/>
                <w:sz w:val="20"/>
                <w:szCs w:val="18"/>
              </w:rPr>
              <w:t>Interest groups/alliances</w:t>
            </w:r>
          </w:p>
          <w:p w14:paraId="13BB34F5" w14:textId="7D5B4693" w:rsidR="00F8618D" w:rsidRPr="008B13A5" w:rsidRDefault="00F8618D" w:rsidP="009B6EE7">
            <w:pPr>
              <w:pStyle w:val="ListBullet"/>
              <w:spacing w:after="0"/>
              <w:jc w:val="left"/>
              <w:rPr>
                <w:noProof/>
                <w:sz w:val="20"/>
                <w:szCs w:val="18"/>
              </w:rPr>
            </w:pPr>
            <w:r w:rsidRPr="008B13A5">
              <w:rPr>
                <w:noProof/>
                <w:sz w:val="20"/>
                <w:szCs w:val="18"/>
              </w:rPr>
              <w:t>Worker unions</w:t>
            </w:r>
          </w:p>
        </w:tc>
        <w:tc>
          <w:tcPr>
            <w:tcW w:w="1956" w:type="dxa"/>
          </w:tcPr>
          <w:p w14:paraId="0FEB633D" w14:textId="5BB13A4E" w:rsidR="00F8618D" w:rsidRPr="008B13A5" w:rsidRDefault="00F8618D" w:rsidP="009B6EE7">
            <w:pPr>
              <w:spacing w:after="0"/>
              <w:jc w:val="left"/>
              <w:rPr>
                <w:noProof/>
                <w:sz w:val="20"/>
                <w:szCs w:val="18"/>
              </w:rPr>
            </w:pPr>
            <w:r w:rsidRPr="008B13A5">
              <w:rPr>
                <w:noProof/>
                <w:sz w:val="20"/>
                <w:szCs w:val="18"/>
              </w:rPr>
              <w:t>4 November 2025 -</w:t>
            </w:r>
            <w:r w:rsidRPr="008B13A5">
              <w:rPr>
                <w:noProof/>
                <w:sz w:val="20"/>
                <w:szCs w:val="18"/>
              </w:rPr>
              <w:br/>
              <w:t>19 November 2025</w:t>
            </w:r>
          </w:p>
        </w:tc>
      </w:tr>
      <w:tr w:rsidR="00F8618D" w:rsidRPr="008B13A5" w14:paraId="737C6CFA" w14:textId="77777777">
        <w:trPr>
          <w:trHeight w:val="300"/>
          <w:tblHeader/>
        </w:trPr>
        <w:tc>
          <w:tcPr>
            <w:tcW w:w="1335" w:type="dxa"/>
          </w:tcPr>
          <w:p w14:paraId="557B8E29" w14:textId="77777777" w:rsidR="00F8618D" w:rsidRPr="008B13A5" w:rsidRDefault="00F8618D" w:rsidP="009B6EE7">
            <w:pPr>
              <w:pStyle w:val="ListBullet"/>
              <w:spacing w:after="0"/>
              <w:jc w:val="left"/>
              <w:rPr>
                <w:noProof/>
                <w:sz w:val="20"/>
                <w:szCs w:val="18"/>
              </w:rPr>
            </w:pPr>
            <w:r w:rsidRPr="008B13A5">
              <w:rPr>
                <w:noProof/>
                <w:sz w:val="20"/>
                <w:szCs w:val="18"/>
              </w:rPr>
              <w:t>Workshops</w:t>
            </w:r>
          </w:p>
        </w:tc>
        <w:tc>
          <w:tcPr>
            <w:tcW w:w="3780" w:type="dxa"/>
            <w:tcBorders>
              <w:right w:val="nil"/>
            </w:tcBorders>
          </w:tcPr>
          <w:p w14:paraId="0009A42C" w14:textId="37C20A5C" w:rsidR="00F8618D" w:rsidRPr="008B13A5" w:rsidRDefault="00F8618D" w:rsidP="009B6EE7">
            <w:pPr>
              <w:pStyle w:val="ListBullet"/>
              <w:spacing w:after="0"/>
              <w:jc w:val="left"/>
              <w:rPr>
                <w:noProof/>
                <w:sz w:val="20"/>
                <w:szCs w:val="18"/>
              </w:rPr>
            </w:pPr>
            <w:r w:rsidRPr="008B13A5">
              <w:rPr>
                <w:noProof/>
                <w:sz w:val="20"/>
                <w:szCs w:val="18"/>
              </w:rPr>
              <w:t>Industry representatives</w:t>
            </w:r>
          </w:p>
          <w:p w14:paraId="0CEBE755" w14:textId="660042A4" w:rsidR="00F8618D" w:rsidRPr="008B13A5" w:rsidRDefault="00F8618D" w:rsidP="009B6EE7">
            <w:pPr>
              <w:pStyle w:val="ListBullet"/>
              <w:spacing w:after="0"/>
              <w:jc w:val="left"/>
              <w:rPr>
                <w:noProof/>
                <w:sz w:val="20"/>
                <w:szCs w:val="18"/>
              </w:rPr>
            </w:pPr>
            <w:r w:rsidRPr="008B13A5">
              <w:rPr>
                <w:noProof/>
                <w:sz w:val="20"/>
                <w:szCs w:val="18"/>
              </w:rPr>
              <w:t>Regional and institutional actors</w:t>
            </w:r>
          </w:p>
          <w:p w14:paraId="511655F6" w14:textId="0AEC2E8D" w:rsidR="00F8618D" w:rsidRPr="008B13A5" w:rsidRDefault="00F8618D" w:rsidP="009B6EE7">
            <w:pPr>
              <w:pStyle w:val="ListBullet"/>
              <w:spacing w:after="0"/>
              <w:jc w:val="left"/>
              <w:rPr>
                <w:noProof/>
                <w:sz w:val="20"/>
                <w:szCs w:val="18"/>
              </w:rPr>
            </w:pPr>
            <w:r w:rsidRPr="008B13A5">
              <w:rPr>
                <w:noProof/>
                <w:sz w:val="20"/>
                <w:szCs w:val="18"/>
              </w:rPr>
              <w:t>Research and academic organisations</w:t>
            </w:r>
          </w:p>
        </w:tc>
        <w:tc>
          <w:tcPr>
            <w:tcW w:w="2610" w:type="dxa"/>
            <w:tcBorders>
              <w:left w:val="nil"/>
            </w:tcBorders>
          </w:tcPr>
          <w:p w14:paraId="60EC9AB2" w14:textId="3D335F03" w:rsidR="00F8618D" w:rsidRPr="008B13A5" w:rsidRDefault="00F8618D" w:rsidP="009B6EE7">
            <w:pPr>
              <w:pStyle w:val="ListBullet"/>
              <w:spacing w:after="0"/>
              <w:jc w:val="left"/>
              <w:rPr>
                <w:noProof/>
                <w:sz w:val="20"/>
                <w:szCs w:val="18"/>
              </w:rPr>
            </w:pPr>
            <w:r w:rsidRPr="008B13A5">
              <w:rPr>
                <w:noProof/>
                <w:sz w:val="20"/>
                <w:szCs w:val="18"/>
              </w:rPr>
              <w:t>Supporting ecosystem</w:t>
            </w:r>
          </w:p>
          <w:p w14:paraId="6FF78E9B" w14:textId="09E2AE50" w:rsidR="00F8618D" w:rsidRPr="008B13A5" w:rsidRDefault="00F8618D" w:rsidP="009B6EE7">
            <w:pPr>
              <w:pStyle w:val="ListBullet"/>
              <w:spacing w:after="0"/>
              <w:jc w:val="left"/>
              <w:rPr>
                <w:noProof/>
                <w:sz w:val="20"/>
                <w:szCs w:val="18"/>
              </w:rPr>
            </w:pPr>
            <w:r w:rsidRPr="008B13A5">
              <w:rPr>
                <w:noProof/>
                <w:sz w:val="20"/>
                <w:szCs w:val="18"/>
              </w:rPr>
              <w:t>European Commission representatives</w:t>
            </w:r>
          </w:p>
        </w:tc>
        <w:tc>
          <w:tcPr>
            <w:tcW w:w="1956" w:type="dxa"/>
          </w:tcPr>
          <w:p w14:paraId="0726B863" w14:textId="14F7E5EF" w:rsidR="00F8618D" w:rsidRPr="008B13A5" w:rsidRDefault="00F8618D" w:rsidP="009B6EE7">
            <w:pPr>
              <w:spacing w:after="0"/>
              <w:jc w:val="left"/>
              <w:rPr>
                <w:noProof/>
                <w:sz w:val="20"/>
                <w:szCs w:val="18"/>
              </w:rPr>
            </w:pPr>
            <w:r w:rsidRPr="008B13A5">
              <w:rPr>
                <w:noProof/>
                <w:sz w:val="20"/>
                <w:szCs w:val="18"/>
              </w:rPr>
              <w:t xml:space="preserve">12 September 2025 - </w:t>
            </w:r>
            <w:r w:rsidRPr="008B13A5">
              <w:rPr>
                <w:noProof/>
                <w:sz w:val="20"/>
                <w:szCs w:val="18"/>
              </w:rPr>
              <w:br/>
              <w:t>17 December 2025</w:t>
            </w:r>
          </w:p>
        </w:tc>
      </w:tr>
    </w:tbl>
    <w:p w14:paraId="076DA9CF" w14:textId="2F00D8BE" w:rsidR="00F8618D" w:rsidRPr="008B13A5" w:rsidRDefault="00F8618D" w:rsidP="009712FE">
      <w:pPr>
        <w:pStyle w:val="Heading1"/>
        <w:rPr>
          <w:bCs/>
          <w:noProof/>
          <w:szCs w:val="22"/>
        </w:rPr>
      </w:pPr>
      <w:bookmarkStart w:id="19" w:name="_Toc223620577"/>
      <w:bookmarkStart w:id="20" w:name="_Toc230010362"/>
      <w:r w:rsidRPr="008B13A5">
        <w:rPr>
          <w:noProof/>
        </w:rPr>
        <w:t>Methodological adaptations and limitations</w:t>
      </w:r>
      <w:bookmarkEnd w:id="19"/>
      <w:bookmarkEnd w:id="20"/>
    </w:p>
    <w:p w14:paraId="15182EC3" w14:textId="3BC833FD" w:rsidR="00F8618D" w:rsidRPr="008B13A5" w:rsidRDefault="00F8618D" w:rsidP="004A305C">
      <w:pPr>
        <w:rPr>
          <w:noProof/>
        </w:rPr>
      </w:pPr>
      <w:r w:rsidRPr="008B13A5">
        <w:rPr>
          <w:noProof/>
        </w:rPr>
        <w:t xml:space="preserve">The consultation strategy was adapted during implementation. Initial stakeholder participation in the OPC and survey was relatively low, so additional targeted consultations were integrated into the consultation plan. Focus groups were replaced by several thematic workshops to allow broader participation. These included workshops with different stakeholder groups. With increased participation in the OPC and survey, the final consultation results reflect </w:t>
      </w:r>
      <w:r w:rsidRPr="008B13A5">
        <w:rPr>
          <w:b/>
          <w:noProof/>
        </w:rPr>
        <w:t>a well-balanced mix of quantitative and qualitative inputs</w:t>
      </w:r>
      <w:r w:rsidRPr="008B13A5">
        <w:rPr>
          <w:noProof/>
        </w:rPr>
        <w:t>. Besides, findings were triangulated across multiple sources, with each conclusion based on at least two independent data sources. Section 4 provides a comparison table showing consistency across consultation activities. Finally, the analysis focuses on outputs and early outcomes, reflecting the Act</w:t>
      </w:r>
      <w:r w:rsidR="00323BFE" w:rsidRPr="008B13A5">
        <w:rPr>
          <w:noProof/>
        </w:rPr>
        <w:t>’</w:t>
      </w:r>
      <w:r w:rsidRPr="008B13A5">
        <w:rPr>
          <w:noProof/>
        </w:rPr>
        <w:t>s recent entry into force (September 2023). Self-selection bias was mitigated through diverse methods and outreach to underrepresented groups. Limited financial data for Pillar II facilities (due to ongoing construction and confidentiality) were addressed through cost modelling and qualitative validation.</w:t>
      </w:r>
    </w:p>
    <w:p w14:paraId="5BC6AA08" w14:textId="65D7F68D" w:rsidR="00F8618D" w:rsidRPr="008B13A5" w:rsidRDefault="00F8618D" w:rsidP="009712FE">
      <w:pPr>
        <w:pStyle w:val="Heading1"/>
        <w:rPr>
          <w:noProof/>
        </w:rPr>
      </w:pPr>
      <w:bookmarkStart w:id="21" w:name="_Toc223620578"/>
      <w:bookmarkStart w:id="22" w:name="_Toc230010363"/>
      <w:r w:rsidRPr="008B13A5">
        <w:rPr>
          <w:noProof/>
        </w:rPr>
        <w:t>Summarised results of the open public consultation (OPC)</w:t>
      </w:r>
      <w:bookmarkEnd w:id="21"/>
      <w:bookmarkEnd w:id="22"/>
      <w:r w:rsidR="00F274DD" w:rsidRPr="008B13A5">
        <w:rPr>
          <w:noProof/>
        </w:rPr>
        <w:t xml:space="preserve"> </w:t>
      </w:r>
    </w:p>
    <w:p w14:paraId="6F75E1C6" w14:textId="11226845" w:rsidR="00F8618D" w:rsidRPr="008B13A5" w:rsidRDefault="00F8618D" w:rsidP="00F8618D">
      <w:pPr>
        <w:rPr>
          <w:noProof/>
          <w:szCs w:val="22"/>
        </w:rPr>
      </w:pPr>
      <w:r w:rsidRPr="008B13A5">
        <w:rPr>
          <w:noProof/>
          <w:szCs w:val="22"/>
        </w:rPr>
        <w:t>The</w:t>
      </w:r>
      <w:r w:rsidR="00F274DD" w:rsidRPr="008B13A5">
        <w:rPr>
          <w:noProof/>
          <w:szCs w:val="22"/>
        </w:rPr>
        <w:t xml:space="preserve"> </w:t>
      </w:r>
      <w:r w:rsidRPr="008B13A5">
        <w:rPr>
          <w:noProof/>
          <w:szCs w:val="22"/>
        </w:rPr>
        <w:t>OPC</w:t>
      </w:r>
      <w:r w:rsidR="00F274DD" w:rsidRPr="008B13A5">
        <w:rPr>
          <w:noProof/>
          <w:szCs w:val="22"/>
        </w:rPr>
        <w:t xml:space="preserve"> </w:t>
      </w:r>
      <w:r w:rsidRPr="008B13A5">
        <w:rPr>
          <w:noProof/>
          <w:szCs w:val="22"/>
        </w:rPr>
        <w:t>was conducted over a</w:t>
      </w:r>
      <w:r w:rsidR="00F274DD" w:rsidRPr="008B13A5">
        <w:rPr>
          <w:noProof/>
          <w:szCs w:val="22"/>
        </w:rPr>
        <w:t xml:space="preserve"> </w:t>
      </w:r>
      <w:r w:rsidRPr="008B13A5">
        <w:rPr>
          <w:b/>
          <w:noProof/>
          <w:szCs w:val="22"/>
        </w:rPr>
        <w:t>12-week period, from 5 September 2025 to 28 November 2025</w:t>
      </w:r>
      <w:r w:rsidRPr="008B13A5">
        <w:rPr>
          <w:noProof/>
          <w:szCs w:val="22"/>
        </w:rPr>
        <w:t>. The questionnaire consisted of five sections covering respondent identification, views on the functioning of the current Chips Act, perspectives on</w:t>
      </w:r>
      <w:r w:rsidR="00F274DD" w:rsidRPr="008B13A5">
        <w:rPr>
          <w:noProof/>
          <w:szCs w:val="22"/>
        </w:rPr>
        <w:t xml:space="preserve"> </w:t>
      </w:r>
      <w:r w:rsidRPr="008B13A5">
        <w:rPr>
          <w:noProof/>
          <w:szCs w:val="22"/>
        </w:rPr>
        <w:t>possible future</w:t>
      </w:r>
      <w:r w:rsidR="00F274DD" w:rsidRPr="008B13A5">
        <w:rPr>
          <w:noProof/>
          <w:szCs w:val="22"/>
        </w:rPr>
        <w:t xml:space="preserve"> </w:t>
      </w:r>
      <w:r w:rsidRPr="008B13A5">
        <w:rPr>
          <w:noProof/>
          <w:szCs w:val="22"/>
        </w:rPr>
        <w:t>steps under a potential</w:t>
      </w:r>
      <w:r w:rsidR="00F274DD" w:rsidRPr="008B13A5">
        <w:rPr>
          <w:noProof/>
          <w:szCs w:val="22"/>
        </w:rPr>
        <w:t xml:space="preserve"> </w:t>
      </w:r>
      <w:r w:rsidRPr="008B13A5">
        <w:rPr>
          <w:noProof/>
          <w:szCs w:val="22"/>
        </w:rPr>
        <w:t>“Chips Act 2.0”,</w:t>
      </w:r>
      <w:r w:rsidR="00F274DD" w:rsidRPr="008B13A5">
        <w:rPr>
          <w:noProof/>
          <w:szCs w:val="22"/>
        </w:rPr>
        <w:t xml:space="preserve"> </w:t>
      </w:r>
      <w:r w:rsidRPr="008B13A5">
        <w:rPr>
          <w:noProof/>
          <w:szCs w:val="22"/>
        </w:rPr>
        <w:t>stakeholder-specific questions,</w:t>
      </w:r>
      <w:r w:rsidR="00F274DD" w:rsidRPr="008B13A5">
        <w:rPr>
          <w:noProof/>
          <w:szCs w:val="22"/>
        </w:rPr>
        <w:t xml:space="preserve"> </w:t>
      </w:r>
      <w:r w:rsidRPr="008B13A5">
        <w:rPr>
          <w:noProof/>
          <w:szCs w:val="22"/>
        </w:rPr>
        <w:t>and</w:t>
      </w:r>
      <w:r w:rsidR="00F274DD" w:rsidRPr="008B13A5">
        <w:rPr>
          <w:noProof/>
          <w:szCs w:val="22"/>
        </w:rPr>
        <w:t xml:space="preserve"> </w:t>
      </w:r>
      <w:r w:rsidRPr="008B13A5">
        <w:rPr>
          <w:noProof/>
          <w:szCs w:val="22"/>
        </w:rPr>
        <w:t>an option</w:t>
      </w:r>
      <w:r w:rsidR="00F274DD" w:rsidRPr="008B13A5">
        <w:rPr>
          <w:noProof/>
          <w:szCs w:val="22"/>
        </w:rPr>
        <w:t xml:space="preserve"> </w:t>
      </w:r>
      <w:r w:rsidRPr="008B13A5">
        <w:rPr>
          <w:noProof/>
          <w:szCs w:val="22"/>
        </w:rPr>
        <w:t>to upload supporting documents.</w:t>
      </w:r>
      <w:r w:rsidRPr="008B13A5">
        <w:rPr>
          <w:rFonts w:eastAsia="Yu Mincho"/>
          <w:noProof/>
          <w:szCs w:val="22"/>
        </w:rPr>
        <w:t xml:space="preserve"> </w:t>
      </w:r>
      <w:r w:rsidRPr="008B13A5">
        <w:rPr>
          <w:rFonts w:eastAsia="Yu Mincho"/>
          <w:noProof/>
          <w:lang w:eastAsia="en-GB"/>
        </w:rPr>
        <w:t xml:space="preserve">The open public consultation was available in all 24 EU official languages. </w:t>
      </w:r>
      <w:r w:rsidRPr="008B13A5">
        <w:rPr>
          <w:noProof/>
          <w:szCs w:val="22"/>
        </w:rPr>
        <w:t>It included both closed-ended and open-ended questions,</w:t>
      </w:r>
      <w:r w:rsidR="00F274DD" w:rsidRPr="008B13A5">
        <w:rPr>
          <w:noProof/>
          <w:szCs w:val="22"/>
        </w:rPr>
        <w:t xml:space="preserve"> </w:t>
      </w:r>
      <w:r w:rsidRPr="008B13A5">
        <w:rPr>
          <w:noProof/>
          <w:szCs w:val="22"/>
        </w:rPr>
        <w:t>allowing respondents to elaborate on their views. In total,</w:t>
      </w:r>
      <w:r w:rsidR="00F274DD" w:rsidRPr="008B13A5">
        <w:rPr>
          <w:noProof/>
          <w:szCs w:val="22"/>
        </w:rPr>
        <w:t xml:space="preserve"> </w:t>
      </w:r>
      <w:r w:rsidRPr="008B13A5">
        <w:rPr>
          <w:b/>
          <w:noProof/>
          <w:szCs w:val="22"/>
        </w:rPr>
        <w:t>105 survey responses and 39 position papers</w:t>
      </w:r>
      <w:r w:rsidR="00F274DD" w:rsidRPr="008B13A5">
        <w:rPr>
          <w:noProof/>
          <w:szCs w:val="22"/>
        </w:rPr>
        <w:t xml:space="preserve"> </w:t>
      </w:r>
      <w:r w:rsidRPr="008B13A5">
        <w:rPr>
          <w:noProof/>
          <w:szCs w:val="22"/>
        </w:rPr>
        <w:t>were received.</w:t>
      </w:r>
      <w:r w:rsidR="00F274DD" w:rsidRPr="008B13A5">
        <w:rPr>
          <w:noProof/>
          <w:szCs w:val="22"/>
        </w:rPr>
        <w:t xml:space="preserve"> </w:t>
      </w:r>
      <w:r w:rsidRPr="008B13A5">
        <w:rPr>
          <w:noProof/>
          <w:szCs w:val="22"/>
        </w:rPr>
        <w:t>One</w:t>
      </w:r>
      <w:r w:rsidR="00F274DD" w:rsidRPr="008B13A5">
        <w:rPr>
          <w:noProof/>
          <w:szCs w:val="22"/>
        </w:rPr>
        <w:t xml:space="preserve"> </w:t>
      </w:r>
      <w:r w:rsidRPr="008B13A5">
        <w:rPr>
          <w:noProof/>
          <w:szCs w:val="22"/>
        </w:rPr>
        <w:t>response</w:t>
      </w:r>
      <w:r w:rsidR="00F274DD" w:rsidRPr="008B13A5">
        <w:rPr>
          <w:noProof/>
          <w:szCs w:val="22"/>
        </w:rPr>
        <w:t xml:space="preserve"> </w:t>
      </w:r>
      <w:r w:rsidRPr="008B13A5">
        <w:rPr>
          <w:noProof/>
          <w:szCs w:val="22"/>
        </w:rPr>
        <w:t>was identified as a duplicate and another as a test submission; both</w:t>
      </w:r>
      <w:r w:rsidR="00F274DD" w:rsidRPr="008B13A5">
        <w:rPr>
          <w:noProof/>
          <w:szCs w:val="22"/>
        </w:rPr>
        <w:t xml:space="preserve"> </w:t>
      </w:r>
      <w:r w:rsidRPr="008B13A5">
        <w:rPr>
          <w:noProof/>
          <w:szCs w:val="22"/>
        </w:rPr>
        <w:t>were excluded, resulting in 103 responses included in the analysis.</w:t>
      </w:r>
      <w:r w:rsidR="00F274DD" w:rsidRPr="00BD008E">
        <w:rPr>
          <w:noProof/>
          <w:szCs w:val="22"/>
        </w:rPr>
        <w:t xml:space="preserve"> </w:t>
      </w:r>
    </w:p>
    <w:p w14:paraId="18636636" w14:textId="7CAC4718" w:rsidR="00F8618D" w:rsidRPr="008B13A5" w:rsidRDefault="00F8618D" w:rsidP="00F8618D">
      <w:pPr>
        <w:rPr>
          <w:noProof/>
          <w:szCs w:val="22"/>
        </w:rPr>
      </w:pPr>
      <w:r w:rsidRPr="008B13A5">
        <w:rPr>
          <w:noProof/>
          <w:szCs w:val="22"/>
        </w:rPr>
        <w:t>The</w:t>
      </w:r>
      <w:r w:rsidR="00F274DD" w:rsidRPr="008B13A5">
        <w:rPr>
          <w:noProof/>
          <w:szCs w:val="22"/>
        </w:rPr>
        <w:t xml:space="preserve"> </w:t>
      </w:r>
      <w:r w:rsidRPr="008B13A5">
        <w:rPr>
          <w:b/>
          <w:noProof/>
          <w:szCs w:val="22"/>
        </w:rPr>
        <w:t>statistical analysis of closed consultation questions</w:t>
      </w:r>
      <w:r w:rsidR="00F274DD" w:rsidRPr="008B13A5">
        <w:rPr>
          <w:noProof/>
          <w:szCs w:val="22"/>
        </w:rPr>
        <w:t xml:space="preserve"> </w:t>
      </w:r>
      <w:r w:rsidRPr="008B13A5">
        <w:rPr>
          <w:noProof/>
          <w:szCs w:val="22"/>
        </w:rPr>
        <w:t>combined high-level aggregation with disaggregated insights by stakeholder group, enabling</w:t>
      </w:r>
      <w:r w:rsidR="00F274DD" w:rsidRPr="008B13A5">
        <w:rPr>
          <w:noProof/>
          <w:szCs w:val="22"/>
        </w:rPr>
        <w:t xml:space="preserve"> </w:t>
      </w:r>
      <w:r w:rsidRPr="008B13A5">
        <w:rPr>
          <w:noProof/>
          <w:szCs w:val="22"/>
        </w:rPr>
        <w:t>the identification of emerging trends within</w:t>
      </w:r>
      <w:r w:rsidR="00F274DD" w:rsidRPr="008B13A5">
        <w:rPr>
          <w:noProof/>
          <w:szCs w:val="22"/>
        </w:rPr>
        <w:t xml:space="preserve"> </w:t>
      </w:r>
      <w:r w:rsidRPr="008B13A5">
        <w:rPr>
          <w:noProof/>
          <w:szCs w:val="22"/>
        </w:rPr>
        <w:t>specific</w:t>
      </w:r>
      <w:r w:rsidR="00F274DD" w:rsidRPr="008B13A5">
        <w:rPr>
          <w:noProof/>
          <w:szCs w:val="22"/>
        </w:rPr>
        <w:t xml:space="preserve"> </w:t>
      </w:r>
      <w:r w:rsidRPr="008B13A5">
        <w:rPr>
          <w:noProof/>
          <w:szCs w:val="22"/>
        </w:rPr>
        <w:t>groups and helping to</w:t>
      </w:r>
      <w:r w:rsidR="00F274DD" w:rsidRPr="008B13A5">
        <w:rPr>
          <w:noProof/>
          <w:szCs w:val="22"/>
        </w:rPr>
        <w:t xml:space="preserve"> </w:t>
      </w:r>
      <w:r w:rsidRPr="008B13A5">
        <w:rPr>
          <w:noProof/>
          <w:szCs w:val="22"/>
        </w:rPr>
        <w:t>contextualise broader patterns across responses.</w:t>
      </w:r>
      <w:r w:rsidR="00F274DD" w:rsidRPr="008B13A5">
        <w:rPr>
          <w:noProof/>
          <w:szCs w:val="22"/>
        </w:rPr>
        <w:t xml:space="preserve"> </w:t>
      </w:r>
      <w:r w:rsidRPr="008B13A5">
        <w:rPr>
          <w:noProof/>
          <w:szCs w:val="22"/>
        </w:rPr>
        <w:t>To</w:t>
      </w:r>
      <w:r w:rsidR="00F274DD" w:rsidRPr="008B13A5">
        <w:rPr>
          <w:noProof/>
          <w:szCs w:val="22"/>
        </w:rPr>
        <w:t xml:space="preserve"> </w:t>
      </w:r>
      <w:r w:rsidRPr="008B13A5">
        <w:rPr>
          <w:noProof/>
          <w:szCs w:val="22"/>
        </w:rPr>
        <w:t>facilitate</w:t>
      </w:r>
      <w:r w:rsidR="00F274DD" w:rsidRPr="008B13A5">
        <w:rPr>
          <w:noProof/>
          <w:szCs w:val="22"/>
        </w:rPr>
        <w:t xml:space="preserve"> </w:t>
      </w:r>
      <w:r w:rsidRPr="008B13A5">
        <w:rPr>
          <w:noProof/>
          <w:szCs w:val="22"/>
        </w:rPr>
        <w:t>the analysis, more granular stakeholder categories were clustered into higher-level groups.</w:t>
      </w:r>
      <w:r w:rsidR="00F274DD" w:rsidRPr="00BD008E">
        <w:rPr>
          <w:noProof/>
          <w:szCs w:val="22"/>
        </w:rPr>
        <w:t xml:space="preserve"> </w:t>
      </w:r>
    </w:p>
    <w:p w14:paraId="3854F411" w14:textId="691C28CA" w:rsidR="00F8618D" w:rsidRPr="008B13A5" w:rsidRDefault="00F8618D" w:rsidP="00F8618D">
      <w:pPr>
        <w:rPr>
          <w:noProof/>
          <w:szCs w:val="22"/>
        </w:rPr>
      </w:pPr>
      <w:r w:rsidRPr="008B13A5">
        <w:rPr>
          <w:noProof/>
          <w:szCs w:val="22"/>
        </w:rPr>
        <w:t>The</w:t>
      </w:r>
      <w:r w:rsidR="00F274DD" w:rsidRPr="008B13A5">
        <w:rPr>
          <w:noProof/>
          <w:szCs w:val="22"/>
        </w:rPr>
        <w:t xml:space="preserve"> </w:t>
      </w:r>
      <w:r w:rsidRPr="008B13A5">
        <w:rPr>
          <w:b/>
          <w:noProof/>
          <w:szCs w:val="22"/>
        </w:rPr>
        <w:t>qualitative analysis of open-ended responses and position papers</w:t>
      </w:r>
      <w:r w:rsidR="00F274DD" w:rsidRPr="008B13A5">
        <w:rPr>
          <w:noProof/>
          <w:szCs w:val="22"/>
        </w:rPr>
        <w:t xml:space="preserve"> </w:t>
      </w:r>
      <w:r w:rsidRPr="008B13A5">
        <w:rPr>
          <w:noProof/>
          <w:szCs w:val="22"/>
        </w:rPr>
        <w:t>used</w:t>
      </w:r>
      <w:r w:rsidR="00F274DD" w:rsidRPr="008B13A5">
        <w:rPr>
          <w:noProof/>
          <w:szCs w:val="22"/>
        </w:rPr>
        <w:t xml:space="preserve"> </w:t>
      </w:r>
      <w:r w:rsidRPr="008B13A5">
        <w:rPr>
          <w:noProof/>
          <w:szCs w:val="22"/>
        </w:rPr>
        <w:t>a hybrid approach, combining Large Language Model (LLM)-driven topic modelling with expert human validation</w:t>
      </w:r>
      <w:r w:rsidR="00F274DD" w:rsidRPr="008B13A5">
        <w:rPr>
          <w:noProof/>
          <w:szCs w:val="22"/>
        </w:rPr>
        <w:t xml:space="preserve"> </w:t>
      </w:r>
      <w:r w:rsidRPr="008B13A5">
        <w:rPr>
          <w:noProof/>
          <w:szCs w:val="22"/>
        </w:rPr>
        <w:t>to ensure</w:t>
      </w:r>
      <w:r w:rsidR="00F274DD" w:rsidRPr="008B13A5">
        <w:rPr>
          <w:noProof/>
          <w:szCs w:val="22"/>
        </w:rPr>
        <w:t xml:space="preserve"> </w:t>
      </w:r>
      <w:r w:rsidRPr="008B13A5">
        <w:rPr>
          <w:noProof/>
          <w:szCs w:val="22"/>
        </w:rPr>
        <w:t>a structured, consistent, and robust synthesis of stakeholder input</w:t>
      </w:r>
      <w:r w:rsidR="00F274DD" w:rsidRPr="008B13A5">
        <w:rPr>
          <w:noProof/>
          <w:szCs w:val="22"/>
        </w:rPr>
        <w:t xml:space="preserve"> </w:t>
      </w:r>
      <w:r w:rsidRPr="008B13A5">
        <w:rPr>
          <w:noProof/>
          <w:szCs w:val="22"/>
        </w:rPr>
        <w:t>across all evaluation criteria.</w:t>
      </w:r>
      <w:r w:rsidR="00F274DD" w:rsidRPr="00BD008E">
        <w:rPr>
          <w:noProof/>
          <w:szCs w:val="22"/>
        </w:rPr>
        <w:t xml:space="preserve"> </w:t>
      </w:r>
    </w:p>
    <w:p w14:paraId="2E2410D6" w14:textId="50B6D5AC" w:rsidR="00F8618D" w:rsidRPr="008B13A5" w:rsidRDefault="00F8618D" w:rsidP="00F8618D">
      <w:pPr>
        <w:rPr>
          <w:noProof/>
          <w:szCs w:val="22"/>
        </w:rPr>
      </w:pPr>
      <w:r w:rsidRPr="008B13A5">
        <w:rPr>
          <w:noProof/>
          <w:szCs w:val="22"/>
        </w:rPr>
        <w:t>Two</w:t>
      </w:r>
      <w:r w:rsidR="00F274DD" w:rsidRPr="008B13A5">
        <w:rPr>
          <w:noProof/>
          <w:szCs w:val="22"/>
        </w:rPr>
        <w:t xml:space="preserve"> </w:t>
      </w:r>
      <w:r w:rsidRPr="008B13A5">
        <w:rPr>
          <w:b/>
          <w:noProof/>
          <w:szCs w:val="22"/>
        </w:rPr>
        <w:t>organised campaigns</w:t>
      </w:r>
      <w:r w:rsidR="00F274DD" w:rsidRPr="008B13A5">
        <w:rPr>
          <w:noProof/>
          <w:szCs w:val="22"/>
        </w:rPr>
        <w:t xml:space="preserve"> </w:t>
      </w:r>
      <w:r w:rsidRPr="008B13A5">
        <w:rPr>
          <w:noProof/>
          <w:szCs w:val="22"/>
        </w:rPr>
        <w:t>with 21 contributions were</w:t>
      </w:r>
      <w:r w:rsidR="00F274DD" w:rsidRPr="008B13A5">
        <w:rPr>
          <w:noProof/>
          <w:szCs w:val="22"/>
        </w:rPr>
        <w:t xml:space="preserve"> </w:t>
      </w:r>
      <w:r w:rsidRPr="008B13A5">
        <w:rPr>
          <w:noProof/>
          <w:szCs w:val="22"/>
        </w:rPr>
        <w:t>identified, primarily</w:t>
      </w:r>
      <w:r w:rsidR="00F274DD" w:rsidRPr="008B13A5">
        <w:rPr>
          <w:noProof/>
          <w:szCs w:val="22"/>
        </w:rPr>
        <w:t xml:space="preserve"> </w:t>
      </w:r>
      <w:r w:rsidRPr="008B13A5">
        <w:rPr>
          <w:noProof/>
          <w:szCs w:val="22"/>
        </w:rPr>
        <w:t>representing</w:t>
      </w:r>
      <w:r w:rsidR="00F274DD" w:rsidRPr="008B13A5">
        <w:rPr>
          <w:noProof/>
          <w:szCs w:val="22"/>
        </w:rPr>
        <w:t xml:space="preserve"> </w:t>
      </w:r>
      <w:r w:rsidRPr="008B13A5">
        <w:rPr>
          <w:noProof/>
          <w:szCs w:val="22"/>
        </w:rPr>
        <w:t>stakeholders from the European semiconductor and electronics ecosystem, including the Euro</w:t>
      </w:r>
      <w:r w:rsidR="007C6659" w:rsidRPr="008B13A5">
        <w:rPr>
          <w:noProof/>
          <w:szCs w:val="22"/>
        </w:rPr>
        <w:t>P</w:t>
      </w:r>
      <w:r w:rsidRPr="008B13A5">
        <w:rPr>
          <w:noProof/>
          <w:szCs w:val="22"/>
        </w:rPr>
        <w:t>ractice consortium.</w:t>
      </w:r>
      <w:r w:rsidR="00F274DD" w:rsidRPr="008B13A5">
        <w:rPr>
          <w:noProof/>
          <w:szCs w:val="22"/>
        </w:rPr>
        <w:t xml:space="preserve"> </w:t>
      </w:r>
      <w:r w:rsidRPr="008B13A5">
        <w:rPr>
          <w:noProof/>
          <w:szCs w:val="22"/>
        </w:rPr>
        <w:t>Although</w:t>
      </w:r>
      <w:r w:rsidR="00F274DD" w:rsidRPr="008B13A5">
        <w:rPr>
          <w:noProof/>
          <w:szCs w:val="22"/>
        </w:rPr>
        <w:t xml:space="preserve"> </w:t>
      </w:r>
      <w:r w:rsidRPr="008B13A5">
        <w:rPr>
          <w:noProof/>
          <w:szCs w:val="22"/>
        </w:rPr>
        <w:t>campaign</w:t>
      </w:r>
      <w:r w:rsidR="00F274DD" w:rsidRPr="008B13A5">
        <w:rPr>
          <w:noProof/>
          <w:szCs w:val="22"/>
        </w:rPr>
        <w:t xml:space="preserve"> </w:t>
      </w:r>
      <w:r w:rsidRPr="008B13A5">
        <w:rPr>
          <w:noProof/>
          <w:szCs w:val="22"/>
        </w:rPr>
        <w:t>respondents</w:t>
      </w:r>
      <w:r w:rsidR="00F274DD" w:rsidRPr="008B13A5">
        <w:rPr>
          <w:noProof/>
          <w:szCs w:val="22"/>
        </w:rPr>
        <w:t xml:space="preserve"> </w:t>
      </w:r>
      <w:r w:rsidRPr="008B13A5">
        <w:rPr>
          <w:noProof/>
          <w:szCs w:val="22"/>
        </w:rPr>
        <w:t>did not</w:t>
      </w:r>
      <w:r w:rsidR="00F274DD" w:rsidRPr="008B13A5">
        <w:rPr>
          <w:noProof/>
          <w:szCs w:val="22"/>
        </w:rPr>
        <w:t xml:space="preserve"> </w:t>
      </w:r>
      <w:r w:rsidRPr="008B13A5">
        <w:rPr>
          <w:noProof/>
          <w:szCs w:val="22"/>
        </w:rPr>
        <w:t>submit</w:t>
      </w:r>
      <w:r w:rsidR="00F274DD" w:rsidRPr="008B13A5">
        <w:rPr>
          <w:noProof/>
          <w:szCs w:val="22"/>
        </w:rPr>
        <w:t xml:space="preserve"> </w:t>
      </w:r>
      <w:r w:rsidRPr="008B13A5">
        <w:rPr>
          <w:noProof/>
          <w:szCs w:val="22"/>
        </w:rPr>
        <w:t>identical</w:t>
      </w:r>
      <w:r w:rsidR="00F274DD" w:rsidRPr="008B13A5">
        <w:rPr>
          <w:noProof/>
          <w:szCs w:val="22"/>
        </w:rPr>
        <w:t xml:space="preserve"> </w:t>
      </w:r>
      <w:r w:rsidRPr="008B13A5">
        <w:rPr>
          <w:noProof/>
          <w:szCs w:val="22"/>
        </w:rPr>
        <w:t>answers</w:t>
      </w:r>
      <w:r w:rsidR="00F274DD" w:rsidRPr="008B13A5">
        <w:rPr>
          <w:noProof/>
          <w:szCs w:val="22"/>
        </w:rPr>
        <w:t xml:space="preserve"> </w:t>
      </w:r>
      <w:r w:rsidRPr="008B13A5">
        <w:rPr>
          <w:noProof/>
          <w:szCs w:val="22"/>
        </w:rPr>
        <w:t>to</w:t>
      </w:r>
      <w:r w:rsidR="00F274DD" w:rsidRPr="008B13A5">
        <w:rPr>
          <w:noProof/>
          <w:szCs w:val="22"/>
        </w:rPr>
        <w:t xml:space="preserve"> </w:t>
      </w:r>
      <w:r w:rsidRPr="008B13A5">
        <w:rPr>
          <w:noProof/>
          <w:szCs w:val="22"/>
        </w:rPr>
        <w:t>the</w:t>
      </w:r>
      <w:r w:rsidR="00F274DD" w:rsidRPr="008B13A5">
        <w:rPr>
          <w:noProof/>
          <w:szCs w:val="22"/>
        </w:rPr>
        <w:t xml:space="preserve"> </w:t>
      </w:r>
      <w:r w:rsidRPr="008B13A5">
        <w:rPr>
          <w:noProof/>
          <w:szCs w:val="22"/>
        </w:rPr>
        <w:t>closed questions, they</w:t>
      </w:r>
      <w:r w:rsidR="00F274DD" w:rsidRPr="008B13A5">
        <w:rPr>
          <w:noProof/>
          <w:szCs w:val="22"/>
        </w:rPr>
        <w:t xml:space="preserve"> </w:t>
      </w:r>
      <w:r w:rsidRPr="008B13A5">
        <w:rPr>
          <w:noProof/>
          <w:szCs w:val="22"/>
        </w:rPr>
        <w:t>repeated key messages across</w:t>
      </w:r>
      <w:r w:rsidR="00F274DD" w:rsidRPr="008B13A5">
        <w:rPr>
          <w:noProof/>
          <w:szCs w:val="22"/>
        </w:rPr>
        <w:t xml:space="preserve"> </w:t>
      </w:r>
      <w:r w:rsidRPr="008B13A5">
        <w:rPr>
          <w:noProof/>
          <w:szCs w:val="22"/>
        </w:rPr>
        <w:t>multiple</w:t>
      </w:r>
      <w:r w:rsidR="00F274DD" w:rsidRPr="008B13A5">
        <w:rPr>
          <w:noProof/>
          <w:szCs w:val="22"/>
        </w:rPr>
        <w:t xml:space="preserve"> </w:t>
      </w:r>
      <w:r w:rsidRPr="008B13A5">
        <w:rPr>
          <w:noProof/>
          <w:szCs w:val="22"/>
        </w:rPr>
        <w:t>open-ended</w:t>
      </w:r>
      <w:r w:rsidR="00F274DD" w:rsidRPr="008B13A5">
        <w:rPr>
          <w:noProof/>
          <w:szCs w:val="22"/>
        </w:rPr>
        <w:t xml:space="preserve"> </w:t>
      </w:r>
      <w:r w:rsidRPr="008B13A5">
        <w:rPr>
          <w:noProof/>
          <w:szCs w:val="22"/>
        </w:rPr>
        <w:t>questions; their inputs</w:t>
      </w:r>
      <w:r w:rsidR="00F274DD" w:rsidRPr="008B13A5">
        <w:rPr>
          <w:noProof/>
          <w:szCs w:val="22"/>
        </w:rPr>
        <w:t xml:space="preserve"> </w:t>
      </w:r>
      <w:r w:rsidRPr="008B13A5">
        <w:rPr>
          <w:noProof/>
          <w:szCs w:val="22"/>
        </w:rPr>
        <w:t>are</w:t>
      </w:r>
      <w:r w:rsidR="00F274DD" w:rsidRPr="008B13A5">
        <w:rPr>
          <w:noProof/>
          <w:szCs w:val="22"/>
        </w:rPr>
        <w:t xml:space="preserve"> </w:t>
      </w:r>
      <w:r w:rsidRPr="008B13A5">
        <w:rPr>
          <w:noProof/>
          <w:szCs w:val="22"/>
        </w:rPr>
        <w:t>therefore</w:t>
      </w:r>
      <w:r w:rsidR="00F274DD" w:rsidRPr="008B13A5">
        <w:rPr>
          <w:noProof/>
          <w:szCs w:val="22"/>
        </w:rPr>
        <w:t xml:space="preserve"> </w:t>
      </w:r>
      <w:r w:rsidRPr="008B13A5">
        <w:rPr>
          <w:noProof/>
          <w:szCs w:val="22"/>
        </w:rPr>
        <w:t>included in the</w:t>
      </w:r>
      <w:r w:rsidR="00F274DD" w:rsidRPr="008B13A5">
        <w:rPr>
          <w:noProof/>
          <w:szCs w:val="22"/>
        </w:rPr>
        <w:t xml:space="preserve"> </w:t>
      </w:r>
      <w:r w:rsidRPr="008B13A5">
        <w:rPr>
          <w:noProof/>
          <w:szCs w:val="22"/>
        </w:rPr>
        <w:t>closed-question</w:t>
      </w:r>
      <w:r w:rsidR="00F274DD" w:rsidRPr="008B13A5">
        <w:rPr>
          <w:noProof/>
          <w:szCs w:val="22"/>
        </w:rPr>
        <w:t xml:space="preserve"> </w:t>
      </w:r>
      <w:r w:rsidRPr="008B13A5">
        <w:rPr>
          <w:noProof/>
          <w:szCs w:val="22"/>
        </w:rPr>
        <w:t>analysis.</w:t>
      </w:r>
      <w:r w:rsidR="00F274DD" w:rsidRPr="008B13A5">
        <w:rPr>
          <w:noProof/>
          <w:szCs w:val="22"/>
        </w:rPr>
        <w:t xml:space="preserve"> </w:t>
      </w:r>
      <w:r w:rsidRPr="008B13A5">
        <w:rPr>
          <w:noProof/>
          <w:szCs w:val="22"/>
        </w:rPr>
        <w:t>The campaigns</w:t>
      </w:r>
      <w:r w:rsidR="00F274DD" w:rsidRPr="008B13A5">
        <w:rPr>
          <w:noProof/>
          <w:szCs w:val="22"/>
        </w:rPr>
        <w:t xml:space="preserve"> </w:t>
      </w:r>
      <w:r w:rsidRPr="008B13A5">
        <w:rPr>
          <w:noProof/>
          <w:szCs w:val="22"/>
        </w:rPr>
        <w:t>emphasised</w:t>
      </w:r>
      <w:r w:rsidR="00F274DD" w:rsidRPr="008B13A5">
        <w:rPr>
          <w:noProof/>
          <w:szCs w:val="22"/>
        </w:rPr>
        <w:t xml:space="preserve"> </w:t>
      </w:r>
      <w:r w:rsidRPr="008B13A5">
        <w:rPr>
          <w:noProof/>
          <w:szCs w:val="22"/>
        </w:rPr>
        <w:t>that revising the EU Chips Act must sharpen Europe’s strategic focus on semiconductor innovation, industrial deployment, and competitiveness by improving funding tools, reducing bureaucracy, and strengthening collaboration across the value chain.</w:t>
      </w:r>
      <w:r w:rsidR="00F274DD" w:rsidRPr="00BD008E">
        <w:rPr>
          <w:noProof/>
          <w:szCs w:val="22"/>
        </w:rPr>
        <w:t xml:space="preserve"> </w:t>
      </w:r>
    </w:p>
    <w:p w14:paraId="38A6A15B" w14:textId="540D7130" w:rsidR="00F8618D" w:rsidRPr="008B13A5" w:rsidRDefault="00F8618D" w:rsidP="00F8618D">
      <w:pPr>
        <w:rPr>
          <w:noProof/>
          <w:szCs w:val="22"/>
        </w:rPr>
      </w:pPr>
      <w:r w:rsidRPr="008B13A5">
        <w:rPr>
          <w:noProof/>
          <w:szCs w:val="22"/>
        </w:rPr>
        <w:t>The</w:t>
      </w:r>
      <w:r w:rsidR="00F274DD" w:rsidRPr="008B13A5">
        <w:rPr>
          <w:noProof/>
          <w:szCs w:val="22"/>
        </w:rPr>
        <w:t xml:space="preserve"> </w:t>
      </w:r>
      <w:r w:rsidRPr="008B13A5">
        <w:rPr>
          <w:noProof/>
          <w:szCs w:val="22"/>
        </w:rPr>
        <w:t>OPC</w:t>
      </w:r>
      <w:r w:rsidR="00F274DD" w:rsidRPr="008B13A5">
        <w:rPr>
          <w:noProof/>
          <w:szCs w:val="22"/>
        </w:rPr>
        <w:t xml:space="preserve"> </w:t>
      </w:r>
      <w:r w:rsidRPr="008B13A5">
        <w:rPr>
          <w:noProof/>
          <w:szCs w:val="22"/>
        </w:rPr>
        <w:t>was answered</w:t>
      </w:r>
      <w:r w:rsidR="00F274DD" w:rsidRPr="008B13A5">
        <w:rPr>
          <w:noProof/>
          <w:szCs w:val="22"/>
        </w:rPr>
        <w:t xml:space="preserve"> </w:t>
      </w:r>
      <w:r w:rsidRPr="008B13A5">
        <w:rPr>
          <w:noProof/>
          <w:szCs w:val="22"/>
        </w:rPr>
        <w:t>predominantly by</w:t>
      </w:r>
      <w:r w:rsidR="00F274DD" w:rsidRPr="008B13A5">
        <w:rPr>
          <w:noProof/>
          <w:szCs w:val="22"/>
        </w:rPr>
        <w:t xml:space="preserve"> </w:t>
      </w:r>
      <w:r w:rsidRPr="008B13A5">
        <w:rPr>
          <w:b/>
          <w:noProof/>
          <w:szCs w:val="22"/>
        </w:rPr>
        <w:t>organisations</w:t>
      </w:r>
      <w:r w:rsidR="00F274DD" w:rsidRPr="008B13A5">
        <w:rPr>
          <w:noProof/>
          <w:szCs w:val="22"/>
        </w:rPr>
        <w:t xml:space="preserve"> </w:t>
      </w:r>
      <w:r w:rsidRPr="008B13A5">
        <w:rPr>
          <w:noProof/>
          <w:szCs w:val="22"/>
        </w:rPr>
        <w:t>(84%, 87/103), with</w:t>
      </w:r>
      <w:r w:rsidR="00F274DD" w:rsidRPr="008B13A5">
        <w:rPr>
          <w:noProof/>
          <w:szCs w:val="22"/>
        </w:rPr>
        <w:t xml:space="preserve"> </w:t>
      </w:r>
      <w:r w:rsidRPr="008B13A5">
        <w:rPr>
          <w:b/>
          <w:noProof/>
          <w:szCs w:val="22"/>
        </w:rPr>
        <w:t>individual respondents</w:t>
      </w:r>
      <w:r w:rsidR="00F274DD" w:rsidRPr="008B13A5">
        <w:rPr>
          <w:noProof/>
          <w:szCs w:val="22"/>
        </w:rPr>
        <w:t xml:space="preserve"> </w:t>
      </w:r>
      <w:r w:rsidRPr="008B13A5">
        <w:rPr>
          <w:noProof/>
          <w:szCs w:val="22"/>
        </w:rPr>
        <w:t>comprising</w:t>
      </w:r>
      <w:r w:rsidR="00F274DD" w:rsidRPr="008B13A5">
        <w:rPr>
          <w:noProof/>
          <w:szCs w:val="22"/>
        </w:rPr>
        <w:t xml:space="preserve"> </w:t>
      </w:r>
      <w:r w:rsidRPr="008B13A5">
        <w:rPr>
          <w:noProof/>
          <w:szCs w:val="22"/>
        </w:rPr>
        <w:t>16% (16/103). Most responding organisations were international in scope (74%, 64/87)</w:t>
      </w:r>
      <w:r w:rsidR="00F274DD" w:rsidRPr="008B13A5">
        <w:rPr>
          <w:noProof/>
          <w:szCs w:val="22"/>
        </w:rPr>
        <w:t xml:space="preserve"> </w:t>
      </w:r>
      <w:r w:rsidRPr="008B13A5">
        <w:rPr>
          <w:noProof/>
          <w:szCs w:val="22"/>
        </w:rPr>
        <w:t>and</w:t>
      </w:r>
      <w:r w:rsidR="00F274DD" w:rsidRPr="008B13A5">
        <w:rPr>
          <w:noProof/>
          <w:szCs w:val="22"/>
        </w:rPr>
        <w:t xml:space="preserve"> </w:t>
      </w:r>
      <w:r w:rsidRPr="008B13A5">
        <w:rPr>
          <w:noProof/>
          <w:szCs w:val="22"/>
        </w:rPr>
        <w:t>primarily large enterprises with</w:t>
      </w:r>
      <w:r w:rsidR="00F274DD" w:rsidRPr="008B13A5">
        <w:rPr>
          <w:noProof/>
          <w:szCs w:val="22"/>
        </w:rPr>
        <w:t xml:space="preserve"> </w:t>
      </w:r>
      <w:r w:rsidRPr="008B13A5">
        <w:rPr>
          <w:noProof/>
          <w:szCs w:val="22"/>
        </w:rPr>
        <w:t>≥250 employees (51%, 44/87),</w:t>
      </w:r>
      <w:r w:rsidR="00F274DD" w:rsidRPr="008B13A5">
        <w:rPr>
          <w:noProof/>
          <w:szCs w:val="22"/>
        </w:rPr>
        <w:t xml:space="preserve"> </w:t>
      </w:r>
      <w:r w:rsidRPr="008B13A5">
        <w:rPr>
          <w:noProof/>
          <w:szCs w:val="22"/>
        </w:rPr>
        <w:t>although</w:t>
      </w:r>
      <w:r w:rsidR="00F274DD" w:rsidRPr="008B13A5">
        <w:rPr>
          <w:noProof/>
          <w:szCs w:val="22"/>
        </w:rPr>
        <w:t xml:space="preserve"> </w:t>
      </w:r>
      <w:r w:rsidRPr="008B13A5">
        <w:rPr>
          <w:noProof/>
          <w:szCs w:val="22"/>
        </w:rPr>
        <w:t>medium (22%,</w:t>
      </w:r>
      <w:r w:rsidR="00F274DD" w:rsidRPr="008B13A5">
        <w:rPr>
          <w:noProof/>
          <w:szCs w:val="22"/>
        </w:rPr>
        <w:t xml:space="preserve"> </w:t>
      </w:r>
      <w:r w:rsidRPr="008B13A5">
        <w:rPr>
          <w:noProof/>
          <w:szCs w:val="22"/>
        </w:rPr>
        <w:t>19/87) and small enterprises (21%, 18/87) were also represented.</w:t>
      </w:r>
      <w:r w:rsidR="00F274DD" w:rsidRPr="00BD008E">
        <w:rPr>
          <w:noProof/>
          <w:szCs w:val="22"/>
        </w:rPr>
        <w:t xml:space="preserve"> </w:t>
      </w:r>
    </w:p>
    <w:p w14:paraId="6B890210" w14:textId="6CE3B721" w:rsidR="00F8618D" w:rsidRPr="008B13A5" w:rsidRDefault="00F8618D" w:rsidP="00F8618D">
      <w:pPr>
        <w:rPr>
          <w:noProof/>
          <w:szCs w:val="22"/>
        </w:rPr>
      </w:pPr>
      <w:r w:rsidRPr="008B13A5">
        <w:rPr>
          <w:noProof/>
          <w:szCs w:val="22"/>
        </w:rPr>
        <w:t>Geographically, responses came</w:t>
      </w:r>
      <w:r w:rsidR="00F274DD" w:rsidRPr="008B13A5">
        <w:rPr>
          <w:noProof/>
          <w:szCs w:val="22"/>
        </w:rPr>
        <w:t xml:space="preserve"> </w:t>
      </w:r>
      <w:r w:rsidRPr="008B13A5">
        <w:rPr>
          <w:b/>
          <w:bCs/>
          <w:noProof/>
          <w:szCs w:val="22"/>
        </w:rPr>
        <w:t>mainly from</w:t>
      </w:r>
      <w:r w:rsidR="00F274DD" w:rsidRPr="008B13A5">
        <w:rPr>
          <w:b/>
          <w:bCs/>
          <w:noProof/>
          <w:szCs w:val="22"/>
        </w:rPr>
        <w:t xml:space="preserve"> </w:t>
      </w:r>
      <w:r w:rsidRPr="008B13A5">
        <w:rPr>
          <w:b/>
          <w:bCs/>
          <w:noProof/>
          <w:szCs w:val="22"/>
        </w:rPr>
        <w:t>EU Member States</w:t>
      </w:r>
      <w:r w:rsidR="00F274DD" w:rsidRPr="008B13A5">
        <w:rPr>
          <w:noProof/>
          <w:szCs w:val="22"/>
        </w:rPr>
        <w:t xml:space="preserve"> </w:t>
      </w:r>
      <w:r w:rsidRPr="008B13A5">
        <w:rPr>
          <w:noProof/>
          <w:szCs w:val="22"/>
        </w:rPr>
        <w:t>(91%, 94/103), with Germany contributing the</w:t>
      </w:r>
      <w:r w:rsidR="00F274DD" w:rsidRPr="008B13A5">
        <w:rPr>
          <w:noProof/>
          <w:szCs w:val="22"/>
        </w:rPr>
        <w:t xml:space="preserve"> </w:t>
      </w:r>
      <w:r w:rsidRPr="008B13A5">
        <w:rPr>
          <w:noProof/>
          <w:szCs w:val="22"/>
        </w:rPr>
        <w:t>most</w:t>
      </w:r>
      <w:r w:rsidR="00F274DD" w:rsidRPr="008B13A5">
        <w:rPr>
          <w:noProof/>
          <w:szCs w:val="22"/>
        </w:rPr>
        <w:t xml:space="preserve"> </w:t>
      </w:r>
      <w:r w:rsidRPr="008B13A5">
        <w:rPr>
          <w:noProof/>
          <w:szCs w:val="22"/>
        </w:rPr>
        <w:t>(26), followed by France (16) and Italy (10). Non-EU participation was limited to 9 responses, primarily from the United States (3) and Switzerland (2). Among individual respondents,</w:t>
      </w:r>
      <w:r w:rsidR="00F274DD" w:rsidRPr="008B13A5">
        <w:rPr>
          <w:noProof/>
          <w:szCs w:val="22"/>
        </w:rPr>
        <w:t xml:space="preserve"> </w:t>
      </w:r>
      <w:r w:rsidRPr="008B13A5">
        <w:rPr>
          <w:noProof/>
          <w:szCs w:val="22"/>
        </w:rPr>
        <w:t>a clear</w:t>
      </w:r>
      <w:r w:rsidR="00F274DD" w:rsidRPr="008B13A5">
        <w:rPr>
          <w:noProof/>
          <w:szCs w:val="22"/>
        </w:rPr>
        <w:t xml:space="preserve"> </w:t>
      </w:r>
      <w:r w:rsidRPr="008B13A5">
        <w:rPr>
          <w:noProof/>
          <w:szCs w:val="22"/>
        </w:rPr>
        <w:t>majority held EU nationality (88%, 14/16).</w:t>
      </w:r>
      <w:r w:rsidR="00F274DD" w:rsidRPr="00BD008E">
        <w:rPr>
          <w:noProof/>
          <w:szCs w:val="22"/>
        </w:rPr>
        <w:t xml:space="preserve"> </w:t>
      </w:r>
    </w:p>
    <w:p w14:paraId="60D733C6" w14:textId="77777777" w:rsidR="00F701BA" w:rsidRPr="00BD008E" w:rsidRDefault="00F8618D" w:rsidP="00415BD9">
      <w:pPr>
        <w:spacing w:after="0"/>
        <w:rPr>
          <w:noProof/>
          <w:szCs w:val="22"/>
        </w:rPr>
      </w:pPr>
      <w:r w:rsidRPr="008B13A5">
        <w:rPr>
          <w:noProof/>
          <w:szCs w:val="22"/>
          <w:lang w:eastAsia="en-GB"/>
        </w:rPr>
        <w:drawing>
          <wp:inline distT="0" distB="0" distL="0" distR="0" wp14:anchorId="0B28F048" wp14:editId="665FD0C8">
            <wp:extent cx="5939790" cy="2046605"/>
            <wp:effectExtent l="0" t="0" r="0" b="0"/>
            <wp:docPr id="1387604250" name="Picture 14"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hart 1, Chart elemen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9790" cy="2046605"/>
                    </a:xfrm>
                    <a:prstGeom prst="rect">
                      <a:avLst/>
                    </a:prstGeom>
                    <a:noFill/>
                    <a:ln>
                      <a:noFill/>
                    </a:ln>
                  </pic:spPr>
                </pic:pic>
              </a:graphicData>
            </a:graphic>
          </wp:inline>
        </w:drawing>
      </w:r>
    </w:p>
    <w:p w14:paraId="0A2C1675" w14:textId="77777777" w:rsidR="005E3D93" w:rsidRPr="008B13A5" w:rsidRDefault="005E3D93" w:rsidP="00507C01">
      <w:pPr>
        <w:spacing w:after="0"/>
        <w:rPr>
          <w:i/>
          <w:noProof/>
          <w:szCs w:val="22"/>
        </w:rPr>
      </w:pPr>
      <w:r w:rsidRPr="008B13A5">
        <w:rPr>
          <w:b/>
          <w:noProof/>
          <w:szCs w:val="22"/>
        </w:rPr>
        <w:t>Figure 1. Stakeholder types</w:t>
      </w:r>
    </w:p>
    <w:p w14:paraId="1B28D312" w14:textId="3AEA280B" w:rsidR="00F8618D" w:rsidRPr="008B13A5" w:rsidRDefault="00F701BA" w:rsidP="00F8618D">
      <w:pPr>
        <w:rPr>
          <w:noProof/>
          <w:sz w:val="20"/>
          <w:szCs w:val="18"/>
        </w:rPr>
      </w:pPr>
      <w:r w:rsidRPr="008B13A5">
        <w:rPr>
          <w:i/>
          <w:noProof/>
          <w:sz w:val="20"/>
          <w:szCs w:val="18"/>
        </w:rPr>
        <w:t>Source: Consolidated public consultation of the review of the Chips Act, September-November 2025, Question 2.</w:t>
      </w:r>
      <w:r w:rsidR="00F274DD" w:rsidRPr="00BD008E">
        <w:rPr>
          <w:noProof/>
          <w:sz w:val="20"/>
          <w:szCs w:val="18"/>
        </w:rPr>
        <w:t xml:space="preserve"> </w:t>
      </w:r>
    </w:p>
    <w:p w14:paraId="08361197" w14:textId="1D44CF93" w:rsidR="00F8618D" w:rsidRPr="008B13A5" w:rsidRDefault="00F8618D" w:rsidP="009712FE">
      <w:pPr>
        <w:pStyle w:val="Heading2"/>
        <w:rPr>
          <w:noProof/>
          <w:szCs w:val="22"/>
        </w:rPr>
      </w:pPr>
      <w:bookmarkStart w:id="23" w:name="_Toc223620579"/>
      <w:bookmarkStart w:id="24" w:name="_Toc230010364"/>
      <w:r w:rsidRPr="008B13A5">
        <w:rPr>
          <w:noProof/>
        </w:rPr>
        <w:t>Effectiveness</w:t>
      </w:r>
      <w:bookmarkEnd w:id="23"/>
      <w:bookmarkEnd w:id="24"/>
      <w:r w:rsidR="00F274DD" w:rsidRPr="00BD008E">
        <w:rPr>
          <w:noProof/>
        </w:rPr>
        <w:t xml:space="preserve"> </w:t>
      </w:r>
    </w:p>
    <w:p w14:paraId="1D4D7C3D" w14:textId="78F4C73A" w:rsidR="00F8618D" w:rsidRPr="008B13A5" w:rsidRDefault="00F8618D" w:rsidP="00F8618D">
      <w:pPr>
        <w:rPr>
          <w:noProof/>
          <w:szCs w:val="22"/>
        </w:rPr>
      </w:pPr>
      <w:r w:rsidRPr="008B13A5">
        <w:rPr>
          <w:b/>
          <w:noProof/>
          <w:szCs w:val="22"/>
        </w:rPr>
        <w:t>The consultation results</w:t>
      </w:r>
      <w:r w:rsidR="00F274DD" w:rsidRPr="008B13A5">
        <w:rPr>
          <w:b/>
          <w:noProof/>
          <w:szCs w:val="22"/>
        </w:rPr>
        <w:t xml:space="preserve"> </w:t>
      </w:r>
      <w:r w:rsidRPr="008B13A5">
        <w:rPr>
          <w:b/>
          <w:noProof/>
          <w:szCs w:val="22"/>
        </w:rPr>
        <w:t>indicate</w:t>
      </w:r>
      <w:r w:rsidR="00F274DD" w:rsidRPr="008B13A5">
        <w:rPr>
          <w:b/>
          <w:noProof/>
          <w:szCs w:val="22"/>
        </w:rPr>
        <w:t xml:space="preserve"> </w:t>
      </w:r>
      <w:r w:rsidRPr="008B13A5">
        <w:rPr>
          <w:b/>
          <w:noProof/>
          <w:szCs w:val="22"/>
        </w:rPr>
        <w:t>strong positive assessments of Pillar I (Chips for Europe Initiative)</w:t>
      </w:r>
      <w:r w:rsidR="00F274DD" w:rsidRPr="008B13A5">
        <w:rPr>
          <w:b/>
          <w:noProof/>
          <w:szCs w:val="22"/>
        </w:rPr>
        <w:t xml:space="preserve"> </w:t>
      </w:r>
      <w:r w:rsidRPr="008B13A5">
        <w:rPr>
          <w:b/>
          <w:noProof/>
          <w:szCs w:val="22"/>
        </w:rPr>
        <w:t>across</w:t>
      </w:r>
      <w:r w:rsidR="00F274DD" w:rsidRPr="008B13A5">
        <w:rPr>
          <w:b/>
          <w:noProof/>
          <w:szCs w:val="22"/>
        </w:rPr>
        <w:t xml:space="preserve"> </w:t>
      </w:r>
      <w:r w:rsidRPr="008B13A5">
        <w:rPr>
          <w:b/>
          <w:noProof/>
          <w:szCs w:val="22"/>
        </w:rPr>
        <w:t>all stakeholder groups.</w:t>
      </w:r>
      <w:r w:rsidR="00F274DD" w:rsidRPr="008B13A5">
        <w:rPr>
          <w:noProof/>
          <w:szCs w:val="22"/>
        </w:rPr>
        <w:t xml:space="preserve"> </w:t>
      </w:r>
      <w:r w:rsidRPr="008B13A5">
        <w:rPr>
          <w:noProof/>
          <w:szCs w:val="22"/>
        </w:rPr>
        <w:t>Supporting research and innovation activities was the highest-rated</w:t>
      </w:r>
      <w:r w:rsidR="00F274DD" w:rsidRPr="008B13A5">
        <w:rPr>
          <w:noProof/>
          <w:szCs w:val="22"/>
        </w:rPr>
        <w:t xml:space="preserve"> </w:t>
      </w:r>
      <w:r w:rsidRPr="008B13A5">
        <w:rPr>
          <w:noProof/>
          <w:szCs w:val="22"/>
        </w:rPr>
        <w:t>objective, while progress on security-by-design principles for cybersecurity protection ranked</w:t>
      </w:r>
      <w:r w:rsidR="00F274DD" w:rsidRPr="008B13A5">
        <w:rPr>
          <w:noProof/>
          <w:szCs w:val="22"/>
        </w:rPr>
        <w:t xml:space="preserve"> </w:t>
      </w:r>
      <w:r w:rsidRPr="008B13A5">
        <w:rPr>
          <w:noProof/>
          <w:szCs w:val="22"/>
        </w:rPr>
        <w:t>somewhat lower</w:t>
      </w:r>
      <w:r w:rsidR="00F274DD" w:rsidRPr="008B13A5">
        <w:rPr>
          <w:noProof/>
          <w:szCs w:val="22"/>
        </w:rPr>
        <w:t xml:space="preserve"> </w:t>
      </w:r>
      <w:r w:rsidRPr="008B13A5">
        <w:rPr>
          <w:noProof/>
          <w:szCs w:val="22"/>
        </w:rPr>
        <w:t>in comparison.</w:t>
      </w:r>
      <w:r w:rsidR="00F274DD" w:rsidRPr="008B13A5">
        <w:rPr>
          <w:noProof/>
          <w:szCs w:val="22"/>
        </w:rPr>
        <w:t xml:space="preserve"> </w:t>
      </w:r>
      <w:r w:rsidRPr="008B13A5">
        <w:rPr>
          <w:noProof/>
          <w:szCs w:val="22"/>
        </w:rPr>
        <w:t>Position papers broadly align with these trends, with stakeholders consistently</w:t>
      </w:r>
      <w:r w:rsidR="00F274DD" w:rsidRPr="008B13A5">
        <w:rPr>
          <w:noProof/>
          <w:szCs w:val="22"/>
        </w:rPr>
        <w:t xml:space="preserve"> </w:t>
      </w:r>
      <w:r w:rsidRPr="008B13A5">
        <w:rPr>
          <w:noProof/>
          <w:szCs w:val="22"/>
        </w:rPr>
        <w:t>identifying</w:t>
      </w:r>
      <w:r w:rsidR="00F274DD" w:rsidRPr="008B13A5">
        <w:rPr>
          <w:noProof/>
          <w:szCs w:val="22"/>
        </w:rPr>
        <w:t xml:space="preserve"> </w:t>
      </w:r>
      <w:r w:rsidRPr="008B13A5">
        <w:rPr>
          <w:noProof/>
          <w:szCs w:val="22"/>
        </w:rPr>
        <w:t>Pillar I activities,</w:t>
      </w:r>
      <w:r w:rsidR="00F274DD" w:rsidRPr="008B13A5">
        <w:rPr>
          <w:noProof/>
          <w:szCs w:val="22"/>
        </w:rPr>
        <w:t xml:space="preserve"> </w:t>
      </w:r>
      <w:r w:rsidRPr="008B13A5">
        <w:rPr>
          <w:noProof/>
          <w:szCs w:val="22"/>
        </w:rPr>
        <w:t>such as pilot lines, competence centres, and start-up support,</w:t>
      </w:r>
      <w:r w:rsidR="00F274DD" w:rsidRPr="008B13A5">
        <w:rPr>
          <w:noProof/>
          <w:szCs w:val="22"/>
        </w:rPr>
        <w:t xml:space="preserve"> </w:t>
      </w:r>
      <w:r w:rsidRPr="008B13A5">
        <w:rPr>
          <w:noProof/>
          <w:szCs w:val="22"/>
        </w:rPr>
        <w:t>as having strengthened Europe</w:t>
      </w:r>
      <w:r w:rsidR="00497125" w:rsidRPr="008B13A5">
        <w:rPr>
          <w:noProof/>
          <w:szCs w:val="22"/>
        </w:rPr>
        <w:t>’</w:t>
      </w:r>
      <w:r w:rsidRPr="008B13A5">
        <w:rPr>
          <w:noProof/>
          <w:szCs w:val="22"/>
        </w:rPr>
        <w:t>s innovation infrastructure and supported technological capacity building. Concrete examples cited include support for start-ups and local benefits such as job creation.</w:t>
      </w:r>
      <w:r w:rsidR="00F274DD" w:rsidRPr="00BD008E">
        <w:rPr>
          <w:noProof/>
          <w:szCs w:val="22"/>
        </w:rPr>
        <w:t xml:space="preserve"> </w:t>
      </w:r>
    </w:p>
    <w:p w14:paraId="40A3F458" w14:textId="1F3925EE" w:rsidR="00F8618D" w:rsidRPr="008B13A5" w:rsidRDefault="00F8618D" w:rsidP="00F8618D">
      <w:pPr>
        <w:rPr>
          <w:noProof/>
          <w:szCs w:val="22"/>
        </w:rPr>
      </w:pPr>
      <w:r w:rsidRPr="008B13A5">
        <w:rPr>
          <w:noProof/>
          <w:szCs w:val="22"/>
        </w:rPr>
        <w:t>Regarding</w:t>
      </w:r>
      <w:r w:rsidR="00F274DD" w:rsidRPr="008B13A5">
        <w:rPr>
          <w:noProof/>
          <w:szCs w:val="22"/>
        </w:rPr>
        <w:t xml:space="preserve"> </w:t>
      </w:r>
      <w:r w:rsidRPr="008B13A5">
        <w:rPr>
          <w:b/>
          <w:noProof/>
          <w:szCs w:val="22"/>
        </w:rPr>
        <w:t>pilot lines</w:t>
      </w:r>
      <w:r w:rsidR="00F274DD" w:rsidRPr="008B13A5">
        <w:rPr>
          <w:noProof/>
          <w:szCs w:val="22"/>
        </w:rPr>
        <w:t xml:space="preserve"> </w:t>
      </w:r>
      <w:r w:rsidRPr="008B13A5">
        <w:rPr>
          <w:noProof/>
          <w:szCs w:val="22"/>
        </w:rPr>
        <w:t>specifically, more than half of respondents</w:t>
      </w:r>
      <w:r w:rsidR="00F274DD" w:rsidRPr="008B13A5">
        <w:rPr>
          <w:noProof/>
          <w:szCs w:val="22"/>
        </w:rPr>
        <w:t xml:space="preserve"> </w:t>
      </w:r>
      <w:r w:rsidRPr="008B13A5">
        <w:rPr>
          <w:noProof/>
          <w:szCs w:val="22"/>
        </w:rPr>
        <w:t>(59%,</w:t>
      </w:r>
      <w:r w:rsidR="00F274DD" w:rsidRPr="008B13A5">
        <w:rPr>
          <w:noProof/>
          <w:szCs w:val="22"/>
        </w:rPr>
        <w:t xml:space="preserve"> </w:t>
      </w:r>
      <w:r w:rsidRPr="008B13A5">
        <w:rPr>
          <w:noProof/>
          <w:szCs w:val="22"/>
        </w:rPr>
        <w:t>56/96)</w:t>
      </w:r>
      <w:r w:rsidR="00F274DD" w:rsidRPr="008B13A5">
        <w:rPr>
          <w:noProof/>
          <w:szCs w:val="22"/>
        </w:rPr>
        <w:t xml:space="preserve"> </w:t>
      </w:r>
      <w:r w:rsidRPr="008B13A5">
        <w:rPr>
          <w:noProof/>
          <w:szCs w:val="22"/>
        </w:rPr>
        <w:t xml:space="preserve">considered that they meet their objectives of supporting the transition from </w:t>
      </w:r>
      <w:r w:rsidR="00497125" w:rsidRPr="008B13A5">
        <w:rPr>
          <w:noProof/>
          <w:szCs w:val="22"/>
        </w:rPr>
        <w:t>‘</w:t>
      </w:r>
      <w:r w:rsidRPr="008B13A5">
        <w:rPr>
          <w:noProof/>
          <w:szCs w:val="22"/>
        </w:rPr>
        <w:t>lab to fab</w:t>
      </w:r>
      <w:r w:rsidR="00497125" w:rsidRPr="008B13A5">
        <w:rPr>
          <w:noProof/>
          <w:szCs w:val="22"/>
        </w:rPr>
        <w:t>’</w:t>
      </w:r>
      <w:r w:rsidRPr="008B13A5">
        <w:rPr>
          <w:noProof/>
          <w:szCs w:val="22"/>
        </w:rPr>
        <w:t>, with RTOs/designers</w:t>
      </w:r>
      <w:r w:rsidR="00F274DD" w:rsidRPr="008B13A5">
        <w:rPr>
          <w:noProof/>
          <w:szCs w:val="22"/>
        </w:rPr>
        <w:t xml:space="preserve"> </w:t>
      </w:r>
      <w:r w:rsidRPr="008B13A5">
        <w:rPr>
          <w:noProof/>
          <w:szCs w:val="22"/>
        </w:rPr>
        <w:t>(76%, 13/17)</w:t>
      </w:r>
      <w:r w:rsidR="00F274DD" w:rsidRPr="008B13A5">
        <w:rPr>
          <w:noProof/>
          <w:szCs w:val="22"/>
        </w:rPr>
        <w:t xml:space="preserve"> </w:t>
      </w:r>
      <w:r w:rsidRPr="008B13A5">
        <w:rPr>
          <w:noProof/>
          <w:szCs w:val="22"/>
        </w:rPr>
        <w:t>and authorities</w:t>
      </w:r>
      <w:r w:rsidR="00F274DD" w:rsidRPr="008B13A5">
        <w:rPr>
          <w:noProof/>
          <w:szCs w:val="22"/>
        </w:rPr>
        <w:t xml:space="preserve"> </w:t>
      </w:r>
      <w:r w:rsidRPr="008B13A5">
        <w:rPr>
          <w:noProof/>
          <w:szCs w:val="22"/>
        </w:rPr>
        <w:t>(78%, 7/9 respectively)</w:t>
      </w:r>
      <w:r w:rsidR="00F274DD" w:rsidRPr="008B13A5">
        <w:rPr>
          <w:noProof/>
          <w:szCs w:val="22"/>
        </w:rPr>
        <w:t xml:space="preserve"> </w:t>
      </w:r>
      <w:r w:rsidRPr="008B13A5">
        <w:rPr>
          <w:noProof/>
          <w:szCs w:val="22"/>
        </w:rPr>
        <w:t>expressing the strongest positive views, while civil society and supply-chain respondents were more</w:t>
      </w:r>
      <w:r w:rsidR="00F274DD" w:rsidRPr="008B13A5">
        <w:rPr>
          <w:noProof/>
          <w:szCs w:val="22"/>
        </w:rPr>
        <w:t xml:space="preserve"> </w:t>
      </w:r>
      <w:r w:rsidRPr="008B13A5">
        <w:rPr>
          <w:noProof/>
          <w:szCs w:val="22"/>
        </w:rPr>
        <w:t>cautious.</w:t>
      </w:r>
      <w:r w:rsidR="00F274DD" w:rsidRPr="008B13A5">
        <w:rPr>
          <w:noProof/>
          <w:szCs w:val="22"/>
        </w:rPr>
        <w:t xml:space="preserve"> </w:t>
      </w:r>
      <w:r w:rsidRPr="008B13A5">
        <w:rPr>
          <w:noProof/>
          <w:szCs w:val="22"/>
        </w:rPr>
        <w:t>Answers to open-ended questions suggest that further industrialisation of pilot lines could be supported through state-aid framework reform (GBER revision) and sustained funding</w:t>
      </w:r>
      <w:r w:rsidR="00F274DD" w:rsidRPr="008B13A5">
        <w:rPr>
          <w:noProof/>
          <w:szCs w:val="22"/>
        </w:rPr>
        <w:t xml:space="preserve"> </w:t>
      </w:r>
      <w:r w:rsidRPr="008B13A5">
        <w:rPr>
          <w:noProof/>
          <w:szCs w:val="22"/>
        </w:rPr>
        <w:t>support, while end users highlighted the importance of market-driven orientation from the outset. Across sources, stakeholders note that closing the gap between innovation and industrial-scale production</w:t>
      </w:r>
      <w:r w:rsidR="00F274DD" w:rsidRPr="008B13A5">
        <w:rPr>
          <w:noProof/>
          <w:szCs w:val="22"/>
        </w:rPr>
        <w:t xml:space="preserve"> </w:t>
      </w:r>
      <w:r w:rsidRPr="008B13A5">
        <w:rPr>
          <w:noProof/>
          <w:szCs w:val="22"/>
        </w:rPr>
        <w:t>remains</w:t>
      </w:r>
      <w:r w:rsidR="00F274DD" w:rsidRPr="008B13A5">
        <w:rPr>
          <w:noProof/>
          <w:szCs w:val="22"/>
        </w:rPr>
        <w:t xml:space="preserve"> </w:t>
      </w:r>
      <w:r w:rsidRPr="008B13A5">
        <w:rPr>
          <w:noProof/>
          <w:szCs w:val="22"/>
        </w:rPr>
        <w:t>crucial to achieve high-volume production capabilities.</w:t>
      </w:r>
      <w:r w:rsidR="00F274DD" w:rsidRPr="00BD008E">
        <w:rPr>
          <w:noProof/>
          <w:szCs w:val="22"/>
        </w:rPr>
        <w:t xml:space="preserve"> </w:t>
      </w:r>
    </w:p>
    <w:p w14:paraId="6CE1B90B" w14:textId="0187D572" w:rsidR="00F8618D" w:rsidRPr="008B13A5" w:rsidRDefault="00F8618D" w:rsidP="00F8618D">
      <w:pPr>
        <w:rPr>
          <w:noProof/>
          <w:szCs w:val="22"/>
        </w:rPr>
      </w:pPr>
      <w:r w:rsidRPr="008B13A5">
        <w:rPr>
          <w:b/>
          <w:noProof/>
          <w:szCs w:val="22"/>
        </w:rPr>
        <w:t>Competence Centres</w:t>
      </w:r>
      <w:r w:rsidR="00F274DD" w:rsidRPr="008B13A5">
        <w:rPr>
          <w:noProof/>
          <w:szCs w:val="22"/>
        </w:rPr>
        <w:t xml:space="preserve"> </w:t>
      </w:r>
      <w:r w:rsidRPr="008B13A5">
        <w:rPr>
          <w:noProof/>
          <w:szCs w:val="22"/>
        </w:rPr>
        <w:t>are broadly viewed as too early to assess fully, though some respondents</w:t>
      </w:r>
      <w:r w:rsidR="00F274DD" w:rsidRPr="008B13A5">
        <w:rPr>
          <w:noProof/>
          <w:szCs w:val="22"/>
        </w:rPr>
        <w:t xml:space="preserve"> </w:t>
      </w:r>
      <w:r w:rsidRPr="008B13A5">
        <w:rPr>
          <w:noProof/>
          <w:szCs w:val="22"/>
        </w:rPr>
        <w:t>representing</w:t>
      </w:r>
      <w:r w:rsidR="00F274DD" w:rsidRPr="008B13A5">
        <w:rPr>
          <w:noProof/>
          <w:szCs w:val="22"/>
        </w:rPr>
        <w:t xml:space="preserve"> </w:t>
      </w:r>
      <w:r w:rsidRPr="008B13A5">
        <w:rPr>
          <w:noProof/>
          <w:szCs w:val="22"/>
        </w:rPr>
        <w:t>RTOs/designers raised questions about inclusiveness for regional actors and noted operational considerations including budget constraints (civil society and economic stakeholders) and non-unified service costs (public authorities). When asked about</w:t>
      </w:r>
      <w:r w:rsidR="00F274DD" w:rsidRPr="008B13A5">
        <w:rPr>
          <w:noProof/>
          <w:szCs w:val="22"/>
        </w:rPr>
        <w:t xml:space="preserve"> </w:t>
      </w:r>
      <w:r w:rsidRPr="008B13A5">
        <w:rPr>
          <w:noProof/>
          <w:szCs w:val="22"/>
        </w:rPr>
        <w:t>other</w:t>
      </w:r>
      <w:r w:rsidR="00F274DD" w:rsidRPr="008B13A5">
        <w:rPr>
          <w:noProof/>
          <w:szCs w:val="22"/>
        </w:rPr>
        <w:t xml:space="preserve"> </w:t>
      </w:r>
      <w:r w:rsidRPr="008B13A5">
        <w:rPr>
          <w:noProof/>
          <w:szCs w:val="22"/>
        </w:rPr>
        <w:t>activities that could be covered, most stakeholders suggested waiting until centres become fully operational before expanding their remit.</w:t>
      </w:r>
      <w:r w:rsidR="00F274DD" w:rsidRPr="00BD008E">
        <w:rPr>
          <w:noProof/>
          <w:szCs w:val="22"/>
        </w:rPr>
        <w:t xml:space="preserve"> </w:t>
      </w:r>
    </w:p>
    <w:p w14:paraId="2A84DC79" w14:textId="4FC91E20" w:rsidR="00F8618D" w:rsidRPr="008B13A5" w:rsidRDefault="00F8618D" w:rsidP="00F8618D">
      <w:pPr>
        <w:rPr>
          <w:noProof/>
          <w:szCs w:val="22"/>
        </w:rPr>
      </w:pPr>
      <w:r w:rsidRPr="008B13A5">
        <w:rPr>
          <w:noProof/>
          <w:szCs w:val="22"/>
        </w:rPr>
        <w:t>At the same time, stakeholders</w:t>
      </w:r>
      <w:r w:rsidR="00F274DD" w:rsidRPr="008B13A5">
        <w:rPr>
          <w:noProof/>
          <w:szCs w:val="22"/>
        </w:rPr>
        <w:t xml:space="preserve"> </w:t>
      </w:r>
      <w:r w:rsidRPr="008B13A5">
        <w:rPr>
          <w:noProof/>
          <w:szCs w:val="22"/>
        </w:rPr>
        <w:t>express doubt that the 20% market share target is realistic under current conditions. Overall, position papers</w:t>
      </w:r>
      <w:r w:rsidR="00F274DD" w:rsidRPr="008B13A5">
        <w:rPr>
          <w:noProof/>
          <w:szCs w:val="22"/>
        </w:rPr>
        <w:t xml:space="preserve"> </w:t>
      </w:r>
      <w:r w:rsidRPr="008B13A5">
        <w:rPr>
          <w:b/>
          <w:noProof/>
          <w:szCs w:val="22"/>
        </w:rPr>
        <w:t>characterise the Chips Act as</w:t>
      </w:r>
      <w:r w:rsidR="00F274DD" w:rsidRPr="008B13A5">
        <w:rPr>
          <w:b/>
          <w:noProof/>
          <w:szCs w:val="22"/>
        </w:rPr>
        <w:t xml:space="preserve"> </w:t>
      </w:r>
      <w:r w:rsidRPr="008B13A5">
        <w:rPr>
          <w:b/>
          <w:noProof/>
          <w:szCs w:val="22"/>
        </w:rPr>
        <w:t>a timely</w:t>
      </w:r>
      <w:r w:rsidR="00F274DD" w:rsidRPr="008B13A5">
        <w:rPr>
          <w:b/>
          <w:noProof/>
          <w:szCs w:val="22"/>
        </w:rPr>
        <w:t xml:space="preserve"> </w:t>
      </w:r>
      <w:r w:rsidRPr="008B13A5">
        <w:rPr>
          <w:b/>
          <w:noProof/>
          <w:szCs w:val="22"/>
        </w:rPr>
        <w:t>crisis response that created important momentum</w:t>
      </w:r>
      <w:r w:rsidRPr="008B13A5">
        <w:rPr>
          <w:noProof/>
          <w:szCs w:val="22"/>
        </w:rPr>
        <w:t>,</w:t>
      </w:r>
      <w:r w:rsidR="00F274DD" w:rsidRPr="008B13A5">
        <w:rPr>
          <w:noProof/>
          <w:szCs w:val="22"/>
        </w:rPr>
        <w:t xml:space="preserve"> </w:t>
      </w:r>
      <w:r w:rsidRPr="008B13A5">
        <w:rPr>
          <w:noProof/>
          <w:szCs w:val="22"/>
        </w:rPr>
        <w:t>while emphasising</w:t>
      </w:r>
      <w:r w:rsidR="00F274DD" w:rsidRPr="008B13A5">
        <w:rPr>
          <w:noProof/>
          <w:szCs w:val="22"/>
        </w:rPr>
        <w:t xml:space="preserve"> </w:t>
      </w:r>
      <w:r w:rsidRPr="008B13A5">
        <w:rPr>
          <w:noProof/>
          <w:szCs w:val="22"/>
        </w:rPr>
        <w:t>that Europe now</w:t>
      </w:r>
      <w:r w:rsidR="00F274DD" w:rsidRPr="008B13A5">
        <w:rPr>
          <w:noProof/>
          <w:szCs w:val="22"/>
        </w:rPr>
        <w:t xml:space="preserve"> </w:t>
      </w:r>
      <w:r w:rsidRPr="008B13A5">
        <w:rPr>
          <w:noProof/>
          <w:szCs w:val="22"/>
        </w:rPr>
        <w:t>requires</w:t>
      </w:r>
      <w:r w:rsidR="00F274DD" w:rsidRPr="008B13A5">
        <w:rPr>
          <w:noProof/>
          <w:szCs w:val="22"/>
        </w:rPr>
        <w:t xml:space="preserve"> </w:t>
      </w:r>
      <w:r w:rsidRPr="008B13A5">
        <w:rPr>
          <w:noProof/>
          <w:szCs w:val="22"/>
        </w:rPr>
        <w:t>substantially scaled</w:t>
      </w:r>
      <w:r w:rsidR="00F274DD" w:rsidRPr="008B13A5">
        <w:rPr>
          <w:noProof/>
          <w:szCs w:val="22"/>
        </w:rPr>
        <w:t xml:space="preserve"> </w:t>
      </w:r>
      <w:r w:rsidRPr="008B13A5">
        <w:rPr>
          <w:noProof/>
          <w:szCs w:val="22"/>
        </w:rPr>
        <w:t>and more comprehensive intervention to achieve meaningful strategic outcomes.</w:t>
      </w:r>
      <w:r w:rsidR="00F274DD" w:rsidRPr="00BD008E">
        <w:rPr>
          <w:noProof/>
          <w:szCs w:val="22"/>
        </w:rPr>
        <w:t xml:space="preserve"> </w:t>
      </w:r>
    </w:p>
    <w:p w14:paraId="2AB3570F" w14:textId="1A93941B" w:rsidR="00F8618D" w:rsidRPr="008B13A5" w:rsidRDefault="00F8618D" w:rsidP="00415BD9">
      <w:pPr>
        <w:spacing w:after="0"/>
        <w:rPr>
          <w:noProof/>
          <w:szCs w:val="22"/>
        </w:rPr>
      </w:pPr>
      <w:r w:rsidRPr="008B13A5">
        <w:rPr>
          <w:noProof/>
          <w:szCs w:val="22"/>
          <w:lang w:eastAsia="en-GB"/>
        </w:rPr>
        <w:drawing>
          <wp:inline distT="0" distB="0" distL="0" distR="0" wp14:anchorId="3C96A7A3" wp14:editId="0EDB9FF1">
            <wp:extent cx="5939790" cy="2167890"/>
            <wp:effectExtent l="0" t="0" r="0" b="0"/>
            <wp:docPr id="1385182714" name="Picture 13"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hart 1, Chart elemen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9790" cy="2167890"/>
                    </a:xfrm>
                    <a:prstGeom prst="rect">
                      <a:avLst/>
                    </a:prstGeom>
                    <a:noFill/>
                    <a:ln>
                      <a:noFill/>
                    </a:ln>
                  </pic:spPr>
                </pic:pic>
              </a:graphicData>
            </a:graphic>
          </wp:inline>
        </w:drawing>
      </w:r>
    </w:p>
    <w:p w14:paraId="4797F484" w14:textId="77777777" w:rsidR="00507C01" w:rsidRPr="008B13A5" w:rsidRDefault="00507C01" w:rsidP="00507C01">
      <w:pPr>
        <w:spacing w:after="0"/>
        <w:rPr>
          <w:i/>
          <w:noProof/>
          <w:szCs w:val="22"/>
        </w:rPr>
      </w:pPr>
      <w:r w:rsidRPr="008B13A5">
        <w:rPr>
          <w:b/>
          <w:noProof/>
          <w:szCs w:val="22"/>
        </w:rPr>
        <w:t>Figure 2. Achievement of Pillar I objectives</w:t>
      </w:r>
      <w:r w:rsidRPr="00BD008E">
        <w:rPr>
          <w:i/>
          <w:noProof/>
          <w:szCs w:val="22"/>
        </w:rPr>
        <w:t xml:space="preserve"> </w:t>
      </w:r>
    </w:p>
    <w:p w14:paraId="367BB7EA" w14:textId="50EE2DE1" w:rsidR="00415BD9" w:rsidRPr="008B13A5" w:rsidRDefault="00415BD9" w:rsidP="00F8618D">
      <w:pPr>
        <w:rPr>
          <w:noProof/>
          <w:sz w:val="20"/>
          <w:szCs w:val="18"/>
        </w:rPr>
      </w:pPr>
      <w:r w:rsidRPr="008B13A5">
        <w:rPr>
          <w:i/>
          <w:noProof/>
          <w:sz w:val="20"/>
          <w:szCs w:val="18"/>
        </w:rPr>
        <w:t>Source: Consolidated public consultation of the review of the Chips Act, September-November 2025, Question 6</w:t>
      </w:r>
      <w:r w:rsidR="009A65F9" w:rsidRPr="008B13A5">
        <w:rPr>
          <w:i/>
          <w:noProof/>
          <w:sz w:val="20"/>
          <w:szCs w:val="18"/>
        </w:rPr>
        <w:t>.</w:t>
      </w:r>
    </w:p>
    <w:p w14:paraId="3D1FAF0B" w14:textId="78CDFE36" w:rsidR="00F8618D" w:rsidRPr="008B13A5" w:rsidRDefault="00F8618D" w:rsidP="00F8618D">
      <w:pPr>
        <w:rPr>
          <w:noProof/>
          <w:szCs w:val="22"/>
        </w:rPr>
      </w:pPr>
      <w:r w:rsidRPr="008B13A5">
        <w:rPr>
          <w:b/>
          <w:bCs/>
          <w:noProof/>
          <w:color w:val="000000"/>
          <w:szCs w:val="22"/>
        </w:rPr>
        <w:t xml:space="preserve">Pillar II (Security of supply and resilience) also received broadly positive assessments. </w:t>
      </w:r>
      <w:r w:rsidRPr="008B13A5">
        <w:rPr>
          <w:noProof/>
          <w:color w:val="000000"/>
          <w:szCs w:val="22"/>
        </w:rPr>
        <w:t>Three quarters of respondents (75%, 60/97) considered that this Pillar fully or partially meets its objectives, with supply-chain respondents (70%, 19/27) and end users (67%, 8/12) expressing the strongest positive views, while authorities were more cautious 44% (4/9). A similarly large majority (71%, 69/96) indicated that Pillar II has made the EU a more attractive location for semiconductor manufacturing. Position papers note that while the Chips Act has mobilised substantial investment, questions remain about whether current funding levels are sufficient to keep pace with global competitive dynamics. Stakeholders also identify gaps in the value chain, including Europe</w:t>
      </w:r>
      <w:r w:rsidR="00497125" w:rsidRPr="008B13A5">
        <w:rPr>
          <w:noProof/>
          <w:color w:val="000000"/>
          <w:szCs w:val="22"/>
        </w:rPr>
        <w:t>’</w:t>
      </w:r>
      <w:r w:rsidRPr="008B13A5">
        <w:rPr>
          <w:noProof/>
          <w:color w:val="000000"/>
          <w:szCs w:val="22"/>
        </w:rPr>
        <w:t>s PCB manufacturing capacity and back-end manufacturing, which are perceived as undermining front-end investments and contributing to dependencies on non-European suppliers.</w:t>
      </w:r>
    </w:p>
    <w:p w14:paraId="038B159D" w14:textId="71FA9D3E" w:rsidR="00F8618D" w:rsidRPr="008B13A5" w:rsidRDefault="00F8618D" w:rsidP="00F8618D">
      <w:pPr>
        <w:rPr>
          <w:noProof/>
          <w:color w:val="000000"/>
          <w:szCs w:val="22"/>
        </w:rPr>
      </w:pPr>
      <w:r w:rsidRPr="008B13A5">
        <w:rPr>
          <w:b/>
          <w:bCs/>
          <w:noProof/>
          <w:color w:val="000000"/>
          <w:szCs w:val="22"/>
        </w:rPr>
        <w:t>Pillar III (Monitoring and crisis response)</w:t>
      </w:r>
      <w:r w:rsidRPr="008B13A5">
        <w:rPr>
          <w:noProof/>
          <w:color w:val="000000"/>
          <w:szCs w:val="22"/>
        </w:rPr>
        <w:t xml:space="preserve"> received comparatively lower assessments. Almost a third of respondents (30%, 29/96) considered that Pillar III fully or partially meets its objectives, with an equal share indicating that objectives are not met. End users and civil society/economic stakeholders expressed the strongest positive views (each 33%, 4/12 and 11/33), while authorities reported the lowest (22%, 2/9). Current uptake of monitoring mechanisms remains limited: two-thirds of respondents (66%, 61/93) reported they had not developed or implemented monitoring systems within their organisations, and a similar proportion (66%, 57/86) indicated they have never reported or received alerts about potential supply chain disruptions. When asked in open-ended questions about suggested additions and changes to Pillar III, there was broad agreement across stakeholders that the Pillar requires further development beyond its current focus on shortage management, with supply-chain stakeholders highlighting practical concerns around information-sharing and export control frameworks.</w:t>
      </w:r>
    </w:p>
    <w:p w14:paraId="09C8C8A2" w14:textId="0F469435" w:rsidR="00F8618D" w:rsidRPr="008B13A5" w:rsidRDefault="00F8618D" w:rsidP="00F8618D">
      <w:pPr>
        <w:rPr>
          <w:noProof/>
          <w:color w:val="000000"/>
          <w:szCs w:val="22"/>
        </w:rPr>
      </w:pPr>
      <w:r w:rsidRPr="008B13A5">
        <w:rPr>
          <w:b/>
          <w:bCs/>
          <w:noProof/>
          <w:color w:val="000000"/>
          <w:szCs w:val="22"/>
        </w:rPr>
        <w:t>Regarding chip supply shortages over the past 12-24 months, respondents most commonly reported experiencing shortages in final chips</w:t>
      </w:r>
      <w:r w:rsidRPr="008B13A5">
        <w:rPr>
          <w:noProof/>
          <w:color w:val="000000"/>
          <w:szCs w:val="22"/>
        </w:rPr>
        <w:t xml:space="preserve"> (39%, 22/57) and raw materials (26%, 15/57).</w:t>
      </w:r>
    </w:p>
    <w:p w14:paraId="17056149" w14:textId="7EB00E2B" w:rsidR="00F8618D" w:rsidRPr="008B13A5" w:rsidRDefault="00F8618D" w:rsidP="00425680">
      <w:pPr>
        <w:spacing w:after="0"/>
        <w:rPr>
          <w:noProof/>
          <w:szCs w:val="22"/>
        </w:rPr>
      </w:pPr>
      <w:r w:rsidRPr="008B13A5">
        <w:rPr>
          <w:noProof/>
          <w:szCs w:val="22"/>
          <w:lang w:eastAsia="en-GB"/>
        </w:rPr>
        <w:drawing>
          <wp:inline distT="0" distB="0" distL="0" distR="0" wp14:anchorId="7AA9FBDE" wp14:editId="4A5D7721">
            <wp:extent cx="5939790" cy="1893570"/>
            <wp:effectExtent l="0" t="0" r="0" b="0"/>
            <wp:docPr id="375702966" name="Picture 12"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hart 1, Chart elemen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9790" cy="1893570"/>
                    </a:xfrm>
                    <a:prstGeom prst="rect">
                      <a:avLst/>
                    </a:prstGeom>
                    <a:noFill/>
                    <a:ln>
                      <a:noFill/>
                    </a:ln>
                  </pic:spPr>
                </pic:pic>
              </a:graphicData>
            </a:graphic>
          </wp:inline>
        </w:drawing>
      </w:r>
    </w:p>
    <w:p w14:paraId="6F6B38DD" w14:textId="77777777" w:rsidR="005A0A33" w:rsidRPr="008B13A5" w:rsidRDefault="005A0A33" w:rsidP="005A0A33">
      <w:pPr>
        <w:spacing w:after="0"/>
        <w:rPr>
          <w:i/>
          <w:noProof/>
          <w:szCs w:val="22"/>
        </w:rPr>
      </w:pPr>
      <w:r w:rsidRPr="008B13A5">
        <w:rPr>
          <w:b/>
          <w:noProof/>
          <w:szCs w:val="22"/>
        </w:rPr>
        <w:t>Figure 3. Supply shortages</w:t>
      </w:r>
      <w:r w:rsidRPr="00BD008E">
        <w:rPr>
          <w:i/>
          <w:noProof/>
          <w:szCs w:val="22"/>
        </w:rPr>
        <w:t xml:space="preserve"> </w:t>
      </w:r>
    </w:p>
    <w:p w14:paraId="0E43C35D" w14:textId="7157D0B2" w:rsidR="00425680" w:rsidRPr="008B13A5" w:rsidRDefault="00425680" w:rsidP="00F8618D">
      <w:pPr>
        <w:rPr>
          <w:noProof/>
          <w:sz w:val="20"/>
          <w:szCs w:val="18"/>
        </w:rPr>
      </w:pPr>
      <w:r w:rsidRPr="008B13A5">
        <w:rPr>
          <w:i/>
          <w:noProof/>
          <w:sz w:val="20"/>
          <w:szCs w:val="18"/>
        </w:rPr>
        <w:t>Source: Consolidated public consultation of the review of the Chips Act, September-November 2025, Question 26</w:t>
      </w:r>
      <w:r w:rsidR="009A65F9" w:rsidRPr="008B13A5">
        <w:rPr>
          <w:i/>
          <w:noProof/>
          <w:sz w:val="20"/>
          <w:szCs w:val="18"/>
        </w:rPr>
        <w:t>.</w:t>
      </w:r>
    </w:p>
    <w:p w14:paraId="4471EA23" w14:textId="005D3740" w:rsidR="00F8618D" w:rsidRPr="008B13A5" w:rsidRDefault="00F8618D" w:rsidP="00F8618D">
      <w:pPr>
        <w:rPr>
          <w:noProof/>
          <w:color w:val="000000"/>
          <w:szCs w:val="22"/>
        </w:rPr>
      </w:pPr>
      <w:r w:rsidRPr="008B13A5">
        <w:rPr>
          <w:b/>
          <w:bCs/>
          <w:noProof/>
          <w:color w:val="000000"/>
          <w:szCs w:val="22"/>
        </w:rPr>
        <w:t>Looking ahead at the next 2-3 years, a large majority</w:t>
      </w:r>
      <w:r w:rsidRPr="008B13A5">
        <w:rPr>
          <w:noProof/>
          <w:color w:val="000000"/>
          <w:szCs w:val="22"/>
        </w:rPr>
        <w:t xml:space="preserve"> (83%, 68/82) </w:t>
      </w:r>
      <w:r w:rsidRPr="008B13A5">
        <w:rPr>
          <w:b/>
          <w:bCs/>
          <w:noProof/>
          <w:color w:val="000000"/>
          <w:szCs w:val="22"/>
        </w:rPr>
        <w:t>of respondents anticipate further disruptions</w:t>
      </w:r>
      <w:r w:rsidRPr="008B13A5">
        <w:rPr>
          <w:noProof/>
          <w:color w:val="000000"/>
          <w:szCs w:val="22"/>
        </w:rPr>
        <w:t xml:space="preserve">. Geopolitical risks (82%, 64/78) and new trade barriers (81%, 63/78) emerged as the most frequently cited </w:t>
      </w:r>
      <w:r w:rsidRPr="008B13A5">
        <w:rPr>
          <w:b/>
          <w:bCs/>
          <w:noProof/>
          <w:color w:val="000000"/>
          <w:szCs w:val="22"/>
        </w:rPr>
        <w:t>threats</w:t>
      </w:r>
      <w:r w:rsidRPr="008B13A5">
        <w:rPr>
          <w:noProof/>
          <w:color w:val="000000"/>
          <w:szCs w:val="22"/>
        </w:rPr>
        <w:t xml:space="preserve"> across stakeholder groups, followed by logistic bottlenecks (35%, 27/78) and natural hazards (26%, 20/78). Position papers echo these concerns, with stakeholders observing that Europe</w:t>
      </w:r>
      <w:r w:rsidR="00497125" w:rsidRPr="008B13A5">
        <w:rPr>
          <w:noProof/>
          <w:color w:val="000000"/>
          <w:szCs w:val="22"/>
        </w:rPr>
        <w:t>’</w:t>
      </w:r>
      <w:r w:rsidRPr="008B13A5">
        <w:rPr>
          <w:noProof/>
          <w:color w:val="000000"/>
          <w:szCs w:val="22"/>
        </w:rPr>
        <w:t>s relevance as a semiconductor market has declined relative to other regions, and that capacity gaps in advanced manufacturing nodes leave the EU reliant on a narrow base of non-European suppliers.</w:t>
      </w:r>
    </w:p>
    <w:p w14:paraId="61301887" w14:textId="6675D1D1" w:rsidR="00F8618D" w:rsidRPr="008B13A5" w:rsidRDefault="00F8618D" w:rsidP="00F8618D">
      <w:pPr>
        <w:rPr>
          <w:noProof/>
          <w:color w:val="000000"/>
          <w:szCs w:val="22"/>
        </w:rPr>
      </w:pPr>
      <w:r w:rsidRPr="008B13A5">
        <w:rPr>
          <w:noProof/>
          <w:color w:val="000000"/>
          <w:szCs w:val="22"/>
        </w:rPr>
        <w:t xml:space="preserve">Respondents most widely supported diversifying trade partners (83%, 71/86) as a </w:t>
      </w:r>
      <w:r w:rsidRPr="008B13A5">
        <w:rPr>
          <w:b/>
          <w:bCs/>
          <w:noProof/>
          <w:color w:val="000000"/>
          <w:szCs w:val="22"/>
        </w:rPr>
        <w:t>mitigation measure</w:t>
      </w:r>
      <w:r w:rsidRPr="008B13A5">
        <w:rPr>
          <w:noProof/>
          <w:color w:val="000000"/>
          <w:szCs w:val="22"/>
        </w:rPr>
        <w:t xml:space="preserve"> across all stakeholder groups, followed by investing in innovation for recycling, advanced materials or substitutes (73%, 63/86). Nearly two-thirds (65%, 51/79) considered it useful to introduce protective measures for the Union</w:t>
      </w:r>
      <w:r w:rsidR="00497125" w:rsidRPr="008B13A5">
        <w:rPr>
          <w:noProof/>
          <w:color w:val="000000"/>
          <w:szCs w:val="22"/>
        </w:rPr>
        <w:t>’</w:t>
      </w:r>
      <w:r w:rsidRPr="008B13A5">
        <w:rPr>
          <w:noProof/>
          <w:color w:val="000000"/>
          <w:szCs w:val="22"/>
        </w:rPr>
        <w:t>s semiconductor sector in the event of a crisis.</w:t>
      </w:r>
    </w:p>
    <w:p w14:paraId="0D29EEC1" w14:textId="1AE7F73F" w:rsidR="00F8618D" w:rsidRPr="008B13A5" w:rsidRDefault="00F8618D" w:rsidP="00F8618D">
      <w:pPr>
        <w:rPr>
          <w:noProof/>
        </w:rPr>
      </w:pPr>
      <w:r w:rsidRPr="008B13A5">
        <w:rPr>
          <w:b/>
          <w:bCs/>
          <w:noProof/>
        </w:rPr>
        <w:t xml:space="preserve">Communication effectiveness was assessed positively overall. </w:t>
      </w:r>
      <w:r w:rsidRPr="008B13A5">
        <w:rPr>
          <w:noProof/>
        </w:rPr>
        <w:t>A large majority (86%, 77/89) indicated that the implementation of the Chips Act has been communicated at least adequately within their relevant Member States, with broadly consistent views across stakeholder groups.</w:t>
      </w:r>
    </w:p>
    <w:p w14:paraId="1CB91152" w14:textId="77777777" w:rsidR="00F8618D" w:rsidRPr="008B13A5" w:rsidRDefault="00F8618D" w:rsidP="009712FE">
      <w:pPr>
        <w:pStyle w:val="Heading2"/>
        <w:rPr>
          <w:noProof/>
          <w:szCs w:val="22"/>
        </w:rPr>
      </w:pPr>
      <w:bookmarkStart w:id="25" w:name="_Toc223620580"/>
      <w:bookmarkStart w:id="26" w:name="_Toc230010365"/>
      <w:r w:rsidRPr="008B13A5">
        <w:rPr>
          <w:noProof/>
        </w:rPr>
        <w:t>Efficiency</w:t>
      </w:r>
      <w:bookmarkEnd w:id="25"/>
      <w:bookmarkEnd w:id="26"/>
    </w:p>
    <w:p w14:paraId="02DA3AE7" w14:textId="76556D64" w:rsidR="00F8618D" w:rsidRPr="008B13A5" w:rsidRDefault="00F8618D" w:rsidP="00F8618D">
      <w:pPr>
        <w:rPr>
          <w:noProof/>
          <w:color w:val="000000"/>
          <w:szCs w:val="22"/>
        </w:rPr>
      </w:pPr>
      <w:r w:rsidRPr="008B13A5">
        <w:rPr>
          <w:b/>
          <w:bCs/>
          <w:noProof/>
          <w:color w:val="000000"/>
          <w:szCs w:val="22"/>
        </w:rPr>
        <w:t xml:space="preserve">Experiences with implementation mechanisms varied considerably across stakeholder groups. </w:t>
      </w:r>
      <w:r w:rsidRPr="008B13A5">
        <w:rPr>
          <w:noProof/>
          <w:color w:val="000000"/>
          <w:szCs w:val="22"/>
        </w:rPr>
        <w:t>Among fabless companies who engaged with EU-level initiatives, perceptions were mixed, with equal shares finding them not effective or somewhat effective (each 33%, 3/9). Among RTOs, 67% (6/9) reported having been part of one of the five pilot line projects under Pillar I. Most foundry and integrated device manufacturers rated their experience with the first-of-a-kind framework under Pillar II as neutral or satisfactory (each 44%, 4/9), though two-thirds (67%, 6/9) had not applied for integrated production facility or Open EU foundry status.</w:t>
      </w:r>
    </w:p>
    <w:p w14:paraId="091267AB" w14:textId="6B08475D" w:rsidR="00F8618D" w:rsidRPr="008B13A5" w:rsidRDefault="00F8618D" w:rsidP="00F8618D">
      <w:pPr>
        <w:rPr>
          <w:noProof/>
          <w:color w:val="000000"/>
          <w:szCs w:val="22"/>
        </w:rPr>
      </w:pPr>
      <w:r w:rsidRPr="008B13A5">
        <w:rPr>
          <w:noProof/>
          <w:color w:val="000000"/>
          <w:szCs w:val="22"/>
        </w:rPr>
        <w:t xml:space="preserve">Position papers and answers to open-ended questions provide further insight into the challenges underlying these mixed experiences. A consistent finding across stakeholder groups is </w:t>
      </w:r>
      <w:r w:rsidRPr="008B13A5">
        <w:rPr>
          <w:b/>
          <w:bCs/>
          <w:noProof/>
          <w:color w:val="000000"/>
          <w:szCs w:val="22"/>
        </w:rPr>
        <w:t>concern about procedural complexity and slow timelines</w:t>
      </w:r>
      <w:r w:rsidRPr="008B13A5">
        <w:rPr>
          <w:noProof/>
          <w:color w:val="000000"/>
          <w:szCs w:val="22"/>
        </w:rPr>
        <w:t>. Stakeholders identify state aid approval delays, IPCEI and FOAK process complexity, administrative burden, and inconsistent pilot line access conditions as key efficiency barriers. The length of state aid approval processes is the most prominent concern, with stakeholders noting that timelines of up to two years from submission to grant notification create uncertainty and represent a competitive disadvantage relative to other semiconductor-producing regions. IPCEI is recognised as a valuable instrument, though its efficiency is seen as constrained by approval timelines, administrative complexity, and funding rates that are perceived as less competitive compared to global counterparts. Respondents also noted that Member States retain primary authority over planning and licensing processes, which can affect permit timelines.</w:t>
      </w:r>
    </w:p>
    <w:p w14:paraId="715041D4" w14:textId="77777777" w:rsidR="00AF6500" w:rsidRPr="008B13A5" w:rsidRDefault="00F8618D" w:rsidP="00AF6500">
      <w:pPr>
        <w:rPr>
          <w:noProof/>
          <w:color w:val="000000"/>
          <w:szCs w:val="22"/>
        </w:rPr>
      </w:pPr>
      <w:r w:rsidRPr="008B13A5">
        <w:rPr>
          <w:b/>
          <w:bCs/>
          <w:noProof/>
          <w:color w:val="000000"/>
          <w:szCs w:val="22"/>
        </w:rPr>
        <w:t>Public</w:t>
      </w:r>
      <w:r w:rsidR="00F274DD" w:rsidRPr="008B13A5">
        <w:rPr>
          <w:b/>
          <w:bCs/>
          <w:noProof/>
          <w:color w:val="000000"/>
          <w:szCs w:val="22"/>
        </w:rPr>
        <w:t xml:space="preserve"> </w:t>
      </w:r>
      <w:r w:rsidRPr="008B13A5">
        <w:rPr>
          <w:b/>
          <w:bCs/>
          <w:noProof/>
          <w:color w:val="000000"/>
          <w:szCs w:val="22"/>
        </w:rPr>
        <w:t>authority</w:t>
      </w:r>
      <w:r w:rsidR="00F274DD" w:rsidRPr="008B13A5">
        <w:rPr>
          <w:b/>
          <w:bCs/>
          <w:noProof/>
          <w:color w:val="000000"/>
          <w:szCs w:val="22"/>
        </w:rPr>
        <w:t xml:space="preserve"> </w:t>
      </w:r>
      <w:r w:rsidRPr="008B13A5">
        <w:rPr>
          <w:b/>
          <w:bCs/>
          <w:noProof/>
          <w:color w:val="000000"/>
          <w:szCs w:val="22"/>
        </w:rPr>
        <w:t>involvement</w:t>
      </w:r>
      <w:r w:rsidR="00F274DD" w:rsidRPr="008B13A5">
        <w:rPr>
          <w:b/>
          <w:bCs/>
          <w:noProof/>
          <w:color w:val="000000"/>
          <w:szCs w:val="22"/>
        </w:rPr>
        <w:t xml:space="preserve"> </w:t>
      </w:r>
      <w:r w:rsidRPr="008B13A5">
        <w:rPr>
          <w:b/>
          <w:bCs/>
          <w:noProof/>
          <w:color w:val="000000"/>
          <w:szCs w:val="22"/>
        </w:rPr>
        <w:t>in</w:t>
      </w:r>
      <w:r w:rsidR="00F274DD" w:rsidRPr="008B13A5">
        <w:rPr>
          <w:b/>
          <w:bCs/>
          <w:noProof/>
          <w:color w:val="000000"/>
          <w:szCs w:val="22"/>
        </w:rPr>
        <w:t xml:space="preserve"> </w:t>
      </w:r>
      <w:r w:rsidRPr="008B13A5">
        <w:rPr>
          <w:b/>
          <w:bCs/>
          <w:noProof/>
          <w:color w:val="000000"/>
          <w:szCs w:val="22"/>
        </w:rPr>
        <w:t>supporting</w:t>
      </w:r>
      <w:r w:rsidR="00F274DD" w:rsidRPr="008B13A5">
        <w:rPr>
          <w:b/>
          <w:bCs/>
          <w:noProof/>
          <w:color w:val="000000"/>
          <w:szCs w:val="22"/>
        </w:rPr>
        <w:t xml:space="preserve"> </w:t>
      </w:r>
      <w:r w:rsidRPr="008B13A5">
        <w:rPr>
          <w:b/>
          <w:bCs/>
          <w:noProof/>
          <w:color w:val="000000"/>
          <w:szCs w:val="22"/>
        </w:rPr>
        <w:t>semiconductor</w:t>
      </w:r>
      <w:r w:rsidR="00F274DD" w:rsidRPr="008B13A5">
        <w:rPr>
          <w:b/>
          <w:bCs/>
          <w:noProof/>
          <w:color w:val="000000"/>
          <w:szCs w:val="22"/>
        </w:rPr>
        <w:t xml:space="preserve"> </w:t>
      </w:r>
      <w:r w:rsidRPr="008B13A5">
        <w:rPr>
          <w:b/>
          <w:bCs/>
          <w:noProof/>
          <w:color w:val="000000"/>
          <w:szCs w:val="22"/>
        </w:rPr>
        <w:t>development</w:t>
      </w:r>
      <w:r w:rsidR="00F274DD" w:rsidRPr="008B13A5">
        <w:rPr>
          <w:b/>
          <w:bCs/>
          <w:noProof/>
          <w:color w:val="000000"/>
          <w:szCs w:val="22"/>
        </w:rPr>
        <w:t xml:space="preserve"> </w:t>
      </w:r>
      <w:r w:rsidRPr="008B13A5">
        <w:rPr>
          <w:b/>
          <w:bCs/>
          <w:noProof/>
          <w:color w:val="000000"/>
          <w:szCs w:val="22"/>
        </w:rPr>
        <w:t>varies</w:t>
      </w:r>
      <w:r w:rsidR="00F274DD" w:rsidRPr="008B13A5">
        <w:rPr>
          <w:b/>
          <w:bCs/>
          <w:noProof/>
          <w:color w:val="000000"/>
          <w:szCs w:val="22"/>
        </w:rPr>
        <w:t xml:space="preserve"> </w:t>
      </w:r>
      <w:r w:rsidRPr="008B13A5">
        <w:rPr>
          <w:b/>
          <w:bCs/>
          <w:noProof/>
          <w:color w:val="000000"/>
          <w:szCs w:val="22"/>
        </w:rPr>
        <w:t>across</w:t>
      </w:r>
      <w:r w:rsidR="00F274DD" w:rsidRPr="008B13A5">
        <w:rPr>
          <w:b/>
          <w:bCs/>
          <w:noProof/>
          <w:color w:val="000000"/>
          <w:szCs w:val="22"/>
        </w:rPr>
        <w:t xml:space="preserve"> </w:t>
      </w:r>
      <w:r w:rsidRPr="008B13A5">
        <w:rPr>
          <w:b/>
          <w:bCs/>
          <w:noProof/>
          <w:color w:val="000000"/>
          <w:szCs w:val="22"/>
        </w:rPr>
        <w:t>functions</w:t>
      </w:r>
      <w:r w:rsidRPr="008B13A5">
        <w:rPr>
          <w:noProof/>
          <w:color w:val="000000"/>
          <w:szCs w:val="22"/>
        </w:rPr>
        <w:t>.</w:t>
      </w:r>
      <w:r w:rsidR="00F274DD" w:rsidRPr="008B13A5">
        <w:rPr>
          <w:noProof/>
          <w:color w:val="000000"/>
          <w:szCs w:val="22"/>
        </w:rPr>
        <w:t xml:space="preserve"> </w:t>
      </w:r>
      <w:r w:rsidRPr="008B13A5">
        <w:rPr>
          <w:noProof/>
          <w:color w:val="000000"/>
          <w:szCs w:val="22"/>
        </w:rPr>
        <w:t>Among</w:t>
      </w:r>
      <w:r w:rsidR="00F274DD" w:rsidRPr="008B13A5">
        <w:rPr>
          <w:noProof/>
          <w:color w:val="000000"/>
          <w:szCs w:val="22"/>
        </w:rPr>
        <w:t xml:space="preserve"> </w:t>
      </w:r>
      <w:r w:rsidRPr="008B13A5">
        <w:rPr>
          <w:noProof/>
          <w:color w:val="000000"/>
          <w:szCs w:val="22"/>
        </w:rPr>
        <w:t>authority</w:t>
      </w:r>
      <w:r w:rsidR="00F274DD" w:rsidRPr="008B13A5">
        <w:rPr>
          <w:noProof/>
          <w:color w:val="000000"/>
          <w:szCs w:val="22"/>
        </w:rPr>
        <w:t xml:space="preserve"> </w:t>
      </w:r>
      <w:r w:rsidRPr="008B13A5">
        <w:rPr>
          <w:noProof/>
          <w:color w:val="000000"/>
          <w:szCs w:val="22"/>
        </w:rPr>
        <w:t>respondents,</w:t>
      </w:r>
      <w:r w:rsidR="00F274DD" w:rsidRPr="008B13A5">
        <w:rPr>
          <w:noProof/>
          <w:color w:val="000000"/>
          <w:szCs w:val="22"/>
        </w:rPr>
        <w:t xml:space="preserve"> </w:t>
      </w:r>
      <w:r w:rsidRPr="008B13A5">
        <w:rPr>
          <w:noProof/>
          <w:color w:val="000000"/>
          <w:szCs w:val="22"/>
        </w:rPr>
        <w:t>67%</w:t>
      </w:r>
      <w:r w:rsidR="00F274DD" w:rsidRPr="008B13A5">
        <w:rPr>
          <w:noProof/>
          <w:color w:val="000000"/>
          <w:szCs w:val="22"/>
        </w:rPr>
        <w:t xml:space="preserve"> </w:t>
      </w:r>
      <w:r w:rsidRPr="008B13A5">
        <w:rPr>
          <w:noProof/>
          <w:color w:val="000000"/>
          <w:szCs w:val="22"/>
        </w:rPr>
        <w:t>(6/9)</w:t>
      </w:r>
      <w:r w:rsidR="00F274DD" w:rsidRPr="008B13A5">
        <w:rPr>
          <w:noProof/>
          <w:color w:val="000000"/>
          <w:szCs w:val="22"/>
        </w:rPr>
        <w:t xml:space="preserve"> </w:t>
      </w:r>
      <w:r w:rsidRPr="008B13A5">
        <w:rPr>
          <w:noProof/>
          <w:color w:val="000000"/>
          <w:szCs w:val="22"/>
        </w:rPr>
        <w:t>indicated</w:t>
      </w:r>
      <w:r w:rsidR="00F274DD" w:rsidRPr="008B13A5">
        <w:rPr>
          <w:noProof/>
          <w:color w:val="000000"/>
          <w:szCs w:val="22"/>
        </w:rPr>
        <w:t xml:space="preserve"> </w:t>
      </w:r>
      <w:r w:rsidRPr="008B13A5">
        <w:rPr>
          <w:noProof/>
          <w:color w:val="000000"/>
          <w:szCs w:val="22"/>
        </w:rPr>
        <w:t>they</w:t>
      </w:r>
      <w:r w:rsidR="00F274DD" w:rsidRPr="008B13A5">
        <w:rPr>
          <w:noProof/>
          <w:color w:val="000000"/>
          <w:szCs w:val="22"/>
        </w:rPr>
        <w:t xml:space="preserve"> </w:t>
      </w:r>
      <w:r w:rsidRPr="008B13A5">
        <w:rPr>
          <w:noProof/>
          <w:color w:val="000000"/>
          <w:szCs w:val="22"/>
        </w:rPr>
        <w:t>provide</w:t>
      </w:r>
      <w:r w:rsidR="00F274DD" w:rsidRPr="008B13A5">
        <w:rPr>
          <w:noProof/>
          <w:color w:val="000000"/>
          <w:szCs w:val="22"/>
        </w:rPr>
        <w:t xml:space="preserve"> </w:t>
      </w:r>
      <w:r w:rsidRPr="008B13A5">
        <w:rPr>
          <w:noProof/>
          <w:color w:val="000000"/>
          <w:szCs w:val="22"/>
        </w:rPr>
        <w:t>specific</w:t>
      </w:r>
      <w:r w:rsidR="00F274DD" w:rsidRPr="008B13A5">
        <w:rPr>
          <w:noProof/>
          <w:color w:val="000000"/>
          <w:szCs w:val="22"/>
        </w:rPr>
        <w:t xml:space="preserve"> </w:t>
      </w:r>
      <w:r w:rsidRPr="008B13A5">
        <w:rPr>
          <w:noProof/>
          <w:color w:val="000000"/>
          <w:szCs w:val="22"/>
        </w:rPr>
        <w:t>incentives</w:t>
      </w:r>
      <w:r w:rsidR="00F274DD" w:rsidRPr="008B13A5">
        <w:rPr>
          <w:noProof/>
          <w:color w:val="000000"/>
          <w:szCs w:val="22"/>
        </w:rPr>
        <w:t xml:space="preserve"> </w:t>
      </w:r>
      <w:r w:rsidRPr="008B13A5">
        <w:rPr>
          <w:noProof/>
          <w:color w:val="000000"/>
          <w:szCs w:val="22"/>
        </w:rPr>
        <w:t>to</w:t>
      </w:r>
      <w:r w:rsidR="00F274DD" w:rsidRPr="008B13A5">
        <w:rPr>
          <w:noProof/>
          <w:color w:val="000000"/>
          <w:szCs w:val="22"/>
        </w:rPr>
        <w:t xml:space="preserve"> </w:t>
      </w:r>
      <w:r w:rsidRPr="008B13A5">
        <w:rPr>
          <w:noProof/>
          <w:color w:val="000000"/>
          <w:szCs w:val="22"/>
        </w:rPr>
        <w:t>the</w:t>
      </w:r>
      <w:r w:rsidR="00F274DD" w:rsidRPr="008B13A5">
        <w:rPr>
          <w:noProof/>
          <w:color w:val="000000"/>
          <w:szCs w:val="22"/>
        </w:rPr>
        <w:t xml:space="preserve"> </w:t>
      </w:r>
      <w:r w:rsidRPr="008B13A5">
        <w:rPr>
          <w:noProof/>
          <w:color w:val="000000"/>
          <w:szCs w:val="22"/>
        </w:rPr>
        <w:t>semiconductor</w:t>
      </w:r>
      <w:r w:rsidR="00F274DD" w:rsidRPr="008B13A5">
        <w:rPr>
          <w:noProof/>
          <w:color w:val="000000"/>
          <w:szCs w:val="22"/>
        </w:rPr>
        <w:t xml:space="preserve"> </w:t>
      </w:r>
      <w:r w:rsidRPr="008B13A5">
        <w:rPr>
          <w:noProof/>
          <w:color w:val="000000"/>
          <w:szCs w:val="22"/>
        </w:rPr>
        <w:t>value</w:t>
      </w:r>
      <w:r w:rsidR="00F274DD" w:rsidRPr="008B13A5">
        <w:rPr>
          <w:noProof/>
          <w:color w:val="000000"/>
          <w:szCs w:val="22"/>
        </w:rPr>
        <w:t xml:space="preserve"> </w:t>
      </w:r>
      <w:r w:rsidRPr="008B13A5">
        <w:rPr>
          <w:noProof/>
          <w:color w:val="000000"/>
          <w:szCs w:val="22"/>
        </w:rPr>
        <w:t>chain,</w:t>
      </w:r>
      <w:r w:rsidR="00F274DD" w:rsidRPr="008B13A5">
        <w:rPr>
          <w:noProof/>
          <w:color w:val="000000"/>
          <w:szCs w:val="22"/>
        </w:rPr>
        <w:t xml:space="preserve"> </w:t>
      </w:r>
      <w:r w:rsidRPr="008B13A5">
        <w:rPr>
          <w:noProof/>
          <w:color w:val="000000"/>
          <w:szCs w:val="22"/>
        </w:rPr>
        <w:t>while</w:t>
      </w:r>
      <w:r w:rsidR="00F274DD" w:rsidRPr="008B13A5">
        <w:rPr>
          <w:noProof/>
          <w:color w:val="000000"/>
          <w:szCs w:val="22"/>
        </w:rPr>
        <w:t xml:space="preserve"> </w:t>
      </w:r>
      <w:r w:rsidRPr="008B13A5">
        <w:rPr>
          <w:noProof/>
          <w:color w:val="000000"/>
          <w:szCs w:val="22"/>
        </w:rPr>
        <w:t>44%</w:t>
      </w:r>
      <w:r w:rsidR="00F274DD" w:rsidRPr="008B13A5">
        <w:rPr>
          <w:noProof/>
          <w:color w:val="000000"/>
          <w:szCs w:val="22"/>
        </w:rPr>
        <w:t xml:space="preserve"> </w:t>
      </w:r>
      <w:r w:rsidRPr="008B13A5">
        <w:rPr>
          <w:noProof/>
          <w:color w:val="000000"/>
          <w:szCs w:val="22"/>
        </w:rPr>
        <w:t>(4/9)</w:t>
      </w:r>
      <w:r w:rsidR="00F274DD" w:rsidRPr="008B13A5">
        <w:rPr>
          <w:noProof/>
          <w:color w:val="000000"/>
          <w:szCs w:val="22"/>
        </w:rPr>
        <w:t xml:space="preserve"> </w:t>
      </w:r>
      <w:r w:rsidRPr="008B13A5">
        <w:rPr>
          <w:noProof/>
          <w:color w:val="000000"/>
          <w:szCs w:val="22"/>
        </w:rPr>
        <w:t>have</w:t>
      </w:r>
      <w:r w:rsidR="00F274DD" w:rsidRPr="008B13A5">
        <w:rPr>
          <w:noProof/>
          <w:color w:val="000000"/>
          <w:szCs w:val="22"/>
        </w:rPr>
        <w:t xml:space="preserve"> </w:t>
      </w:r>
      <w:r w:rsidRPr="008B13A5">
        <w:rPr>
          <w:noProof/>
          <w:color w:val="000000"/>
          <w:szCs w:val="22"/>
        </w:rPr>
        <w:t>been</w:t>
      </w:r>
      <w:r w:rsidR="00F274DD" w:rsidRPr="008B13A5">
        <w:rPr>
          <w:noProof/>
          <w:color w:val="000000"/>
          <w:szCs w:val="22"/>
        </w:rPr>
        <w:t xml:space="preserve"> </w:t>
      </w:r>
      <w:r w:rsidRPr="008B13A5">
        <w:rPr>
          <w:noProof/>
          <w:color w:val="000000"/>
          <w:szCs w:val="22"/>
        </w:rPr>
        <w:t>involved</w:t>
      </w:r>
      <w:r w:rsidR="00F274DD" w:rsidRPr="008B13A5">
        <w:rPr>
          <w:noProof/>
          <w:color w:val="000000"/>
          <w:szCs w:val="22"/>
        </w:rPr>
        <w:t xml:space="preserve"> </w:t>
      </w:r>
      <w:r w:rsidRPr="008B13A5">
        <w:rPr>
          <w:noProof/>
          <w:color w:val="000000"/>
          <w:szCs w:val="22"/>
        </w:rPr>
        <w:t>in</w:t>
      </w:r>
      <w:r w:rsidR="00F274DD" w:rsidRPr="008B13A5">
        <w:rPr>
          <w:noProof/>
          <w:color w:val="000000"/>
          <w:szCs w:val="22"/>
        </w:rPr>
        <w:t xml:space="preserve"> </w:t>
      </w:r>
      <w:r w:rsidRPr="008B13A5">
        <w:rPr>
          <w:noProof/>
          <w:color w:val="000000"/>
          <w:szCs w:val="22"/>
        </w:rPr>
        <w:t>facilitating</w:t>
      </w:r>
      <w:r w:rsidR="00F274DD" w:rsidRPr="008B13A5">
        <w:rPr>
          <w:noProof/>
          <w:color w:val="000000"/>
          <w:szCs w:val="22"/>
        </w:rPr>
        <w:t xml:space="preserve"> </w:t>
      </w:r>
      <w:r w:rsidRPr="008B13A5">
        <w:rPr>
          <w:noProof/>
          <w:color w:val="000000"/>
          <w:szCs w:val="22"/>
        </w:rPr>
        <w:t>first-of-a-kind</w:t>
      </w:r>
      <w:r w:rsidR="00F274DD" w:rsidRPr="008B13A5">
        <w:rPr>
          <w:noProof/>
          <w:color w:val="000000"/>
          <w:szCs w:val="22"/>
        </w:rPr>
        <w:t xml:space="preserve"> </w:t>
      </w:r>
      <w:r w:rsidRPr="008B13A5">
        <w:rPr>
          <w:noProof/>
          <w:color w:val="000000"/>
          <w:szCs w:val="22"/>
        </w:rPr>
        <w:t>facility</w:t>
      </w:r>
      <w:r w:rsidR="00F274DD" w:rsidRPr="008B13A5">
        <w:rPr>
          <w:noProof/>
          <w:color w:val="000000"/>
          <w:szCs w:val="22"/>
        </w:rPr>
        <w:t xml:space="preserve"> </w:t>
      </w:r>
      <w:r w:rsidRPr="008B13A5">
        <w:rPr>
          <w:noProof/>
          <w:color w:val="000000"/>
          <w:szCs w:val="22"/>
        </w:rPr>
        <w:t>investments.</w:t>
      </w:r>
      <w:r w:rsidR="00F274DD" w:rsidRPr="008B13A5">
        <w:rPr>
          <w:noProof/>
          <w:color w:val="000000"/>
          <w:szCs w:val="22"/>
        </w:rPr>
        <w:t xml:space="preserve"> </w:t>
      </w:r>
      <w:r w:rsidRPr="008B13A5">
        <w:rPr>
          <w:noProof/>
          <w:color w:val="000000"/>
          <w:szCs w:val="22"/>
        </w:rPr>
        <w:t>Two-thirds</w:t>
      </w:r>
      <w:r w:rsidR="00F274DD" w:rsidRPr="008B13A5">
        <w:rPr>
          <w:noProof/>
          <w:color w:val="000000"/>
          <w:szCs w:val="22"/>
        </w:rPr>
        <w:t xml:space="preserve"> </w:t>
      </w:r>
      <w:r w:rsidRPr="008B13A5">
        <w:rPr>
          <w:noProof/>
          <w:color w:val="000000"/>
          <w:szCs w:val="22"/>
        </w:rPr>
        <w:t>(67%,</w:t>
      </w:r>
      <w:r w:rsidR="00F274DD" w:rsidRPr="008B13A5">
        <w:rPr>
          <w:noProof/>
          <w:color w:val="000000"/>
          <w:szCs w:val="22"/>
        </w:rPr>
        <w:t xml:space="preserve"> </w:t>
      </w:r>
      <w:r w:rsidRPr="008B13A5">
        <w:rPr>
          <w:noProof/>
          <w:color w:val="000000"/>
          <w:szCs w:val="22"/>
        </w:rPr>
        <w:t>6/9)</w:t>
      </w:r>
      <w:r w:rsidR="00F274DD" w:rsidRPr="008B13A5">
        <w:rPr>
          <w:noProof/>
          <w:color w:val="000000"/>
          <w:szCs w:val="22"/>
        </w:rPr>
        <w:t xml:space="preserve"> </w:t>
      </w:r>
      <w:r w:rsidRPr="008B13A5">
        <w:rPr>
          <w:noProof/>
          <w:color w:val="000000"/>
          <w:szCs w:val="22"/>
        </w:rPr>
        <w:t>reported</w:t>
      </w:r>
      <w:r w:rsidR="00F274DD" w:rsidRPr="008B13A5">
        <w:rPr>
          <w:noProof/>
          <w:color w:val="000000"/>
          <w:szCs w:val="22"/>
        </w:rPr>
        <w:t xml:space="preserve"> </w:t>
      </w:r>
      <w:r w:rsidRPr="008B13A5">
        <w:rPr>
          <w:noProof/>
          <w:color w:val="000000"/>
          <w:szCs w:val="22"/>
        </w:rPr>
        <w:t>that</w:t>
      </w:r>
      <w:r w:rsidR="00F274DD" w:rsidRPr="008B13A5">
        <w:rPr>
          <w:noProof/>
          <w:color w:val="000000"/>
          <w:szCs w:val="22"/>
        </w:rPr>
        <w:t xml:space="preserve"> </w:t>
      </w:r>
      <w:r w:rsidRPr="008B13A5">
        <w:rPr>
          <w:noProof/>
          <w:color w:val="000000"/>
          <w:szCs w:val="22"/>
        </w:rPr>
        <w:t>their</w:t>
      </w:r>
      <w:r w:rsidR="00F274DD" w:rsidRPr="008B13A5">
        <w:rPr>
          <w:noProof/>
          <w:color w:val="000000"/>
          <w:szCs w:val="22"/>
        </w:rPr>
        <w:t xml:space="preserve"> </w:t>
      </w:r>
      <w:r w:rsidRPr="008B13A5">
        <w:rPr>
          <w:noProof/>
          <w:color w:val="000000"/>
          <w:szCs w:val="22"/>
        </w:rPr>
        <w:t>authority</w:t>
      </w:r>
      <w:r w:rsidR="00F274DD" w:rsidRPr="008B13A5">
        <w:rPr>
          <w:noProof/>
          <w:color w:val="000000"/>
          <w:szCs w:val="22"/>
        </w:rPr>
        <w:t xml:space="preserve"> </w:t>
      </w:r>
      <w:r w:rsidRPr="008B13A5">
        <w:rPr>
          <w:noProof/>
          <w:color w:val="000000"/>
          <w:szCs w:val="22"/>
        </w:rPr>
        <w:t>has</w:t>
      </w:r>
      <w:r w:rsidR="00F274DD" w:rsidRPr="008B13A5">
        <w:rPr>
          <w:noProof/>
          <w:color w:val="000000"/>
          <w:szCs w:val="22"/>
        </w:rPr>
        <w:t xml:space="preserve"> </w:t>
      </w:r>
      <w:r w:rsidRPr="008B13A5">
        <w:rPr>
          <w:noProof/>
          <w:color w:val="000000"/>
          <w:szCs w:val="22"/>
        </w:rPr>
        <w:t>developed</w:t>
      </w:r>
      <w:r w:rsidR="00F274DD" w:rsidRPr="008B13A5">
        <w:rPr>
          <w:noProof/>
          <w:color w:val="000000"/>
          <w:szCs w:val="22"/>
        </w:rPr>
        <w:t xml:space="preserve"> </w:t>
      </w:r>
      <w:r w:rsidRPr="008B13A5">
        <w:rPr>
          <w:noProof/>
          <w:color w:val="000000"/>
          <w:szCs w:val="22"/>
        </w:rPr>
        <w:t>a</w:t>
      </w:r>
      <w:r w:rsidR="00F274DD" w:rsidRPr="008B13A5">
        <w:rPr>
          <w:noProof/>
          <w:color w:val="000000"/>
          <w:szCs w:val="22"/>
        </w:rPr>
        <w:t xml:space="preserve"> </w:t>
      </w:r>
      <w:r w:rsidRPr="008B13A5">
        <w:rPr>
          <w:noProof/>
          <w:color w:val="000000"/>
          <w:szCs w:val="22"/>
        </w:rPr>
        <w:t>semiconductor</w:t>
      </w:r>
      <w:r w:rsidR="00F274DD" w:rsidRPr="008B13A5">
        <w:rPr>
          <w:noProof/>
          <w:color w:val="000000"/>
          <w:szCs w:val="22"/>
        </w:rPr>
        <w:t xml:space="preserve"> </w:t>
      </w:r>
      <w:r w:rsidRPr="008B13A5">
        <w:rPr>
          <w:noProof/>
          <w:color w:val="000000"/>
          <w:szCs w:val="22"/>
        </w:rPr>
        <w:t>strategy</w:t>
      </w:r>
      <w:r w:rsidR="00F274DD" w:rsidRPr="008B13A5">
        <w:rPr>
          <w:noProof/>
          <w:color w:val="000000"/>
          <w:szCs w:val="22"/>
        </w:rPr>
        <w:t xml:space="preserve"> </w:t>
      </w:r>
      <w:r w:rsidRPr="008B13A5">
        <w:rPr>
          <w:noProof/>
          <w:color w:val="000000"/>
          <w:szCs w:val="22"/>
        </w:rPr>
        <w:t>at</w:t>
      </w:r>
      <w:r w:rsidR="00F274DD" w:rsidRPr="008B13A5">
        <w:rPr>
          <w:noProof/>
          <w:color w:val="000000"/>
          <w:szCs w:val="22"/>
        </w:rPr>
        <w:t xml:space="preserve"> </w:t>
      </w:r>
      <w:r w:rsidRPr="008B13A5">
        <w:rPr>
          <w:noProof/>
          <w:color w:val="000000"/>
          <w:szCs w:val="22"/>
        </w:rPr>
        <w:t>national,</w:t>
      </w:r>
      <w:r w:rsidR="00F274DD" w:rsidRPr="008B13A5">
        <w:rPr>
          <w:noProof/>
          <w:color w:val="000000"/>
          <w:szCs w:val="22"/>
        </w:rPr>
        <w:t xml:space="preserve"> </w:t>
      </w:r>
      <w:r w:rsidRPr="008B13A5">
        <w:rPr>
          <w:noProof/>
          <w:color w:val="000000"/>
          <w:szCs w:val="22"/>
        </w:rPr>
        <w:t>regional,</w:t>
      </w:r>
      <w:r w:rsidR="00F274DD" w:rsidRPr="008B13A5">
        <w:rPr>
          <w:noProof/>
          <w:color w:val="000000"/>
          <w:szCs w:val="22"/>
        </w:rPr>
        <w:t xml:space="preserve"> </w:t>
      </w:r>
      <w:r w:rsidRPr="008B13A5">
        <w:rPr>
          <w:noProof/>
          <w:color w:val="000000"/>
          <w:szCs w:val="22"/>
        </w:rPr>
        <w:t>or</w:t>
      </w:r>
      <w:r w:rsidR="00F274DD" w:rsidRPr="008B13A5">
        <w:rPr>
          <w:noProof/>
          <w:color w:val="000000"/>
          <w:szCs w:val="22"/>
        </w:rPr>
        <w:t xml:space="preserve"> </w:t>
      </w:r>
      <w:r w:rsidRPr="008B13A5">
        <w:rPr>
          <w:noProof/>
          <w:color w:val="000000"/>
          <w:szCs w:val="22"/>
        </w:rPr>
        <w:t>local</w:t>
      </w:r>
      <w:r w:rsidR="00F274DD" w:rsidRPr="008B13A5">
        <w:rPr>
          <w:noProof/>
          <w:color w:val="000000"/>
          <w:szCs w:val="22"/>
        </w:rPr>
        <w:t xml:space="preserve"> </w:t>
      </w:r>
      <w:r w:rsidRPr="008B13A5">
        <w:rPr>
          <w:noProof/>
          <w:color w:val="000000"/>
          <w:szCs w:val="22"/>
        </w:rPr>
        <w:t>level.</w:t>
      </w:r>
      <w:r w:rsidR="00F274DD" w:rsidRPr="008B13A5">
        <w:rPr>
          <w:noProof/>
          <w:color w:val="000000"/>
          <w:szCs w:val="22"/>
        </w:rPr>
        <w:t xml:space="preserve"> </w:t>
      </w:r>
      <w:r w:rsidRPr="008B13A5">
        <w:rPr>
          <w:noProof/>
          <w:color w:val="000000"/>
          <w:szCs w:val="22"/>
        </w:rPr>
        <w:t>All</w:t>
      </w:r>
      <w:r w:rsidR="00F274DD" w:rsidRPr="008B13A5">
        <w:rPr>
          <w:noProof/>
          <w:color w:val="000000"/>
          <w:szCs w:val="22"/>
        </w:rPr>
        <w:t xml:space="preserve"> </w:t>
      </w:r>
      <w:r w:rsidRPr="008B13A5">
        <w:rPr>
          <w:noProof/>
          <w:color w:val="000000"/>
          <w:szCs w:val="22"/>
        </w:rPr>
        <w:t>authorities</w:t>
      </w:r>
      <w:r w:rsidR="00F274DD" w:rsidRPr="008B13A5">
        <w:rPr>
          <w:noProof/>
          <w:color w:val="000000"/>
          <w:szCs w:val="22"/>
        </w:rPr>
        <w:t xml:space="preserve"> </w:t>
      </w:r>
      <w:r w:rsidRPr="008B13A5">
        <w:rPr>
          <w:noProof/>
          <w:color w:val="000000"/>
          <w:szCs w:val="22"/>
        </w:rPr>
        <w:t>expressed</w:t>
      </w:r>
      <w:r w:rsidR="00F274DD" w:rsidRPr="008B13A5">
        <w:rPr>
          <w:noProof/>
          <w:color w:val="000000"/>
          <w:szCs w:val="22"/>
        </w:rPr>
        <w:t xml:space="preserve"> </w:t>
      </w:r>
      <w:r w:rsidRPr="008B13A5">
        <w:rPr>
          <w:noProof/>
          <w:color w:val="000000"/>
          <w:szCs w:val="22"/>
        </w:rPr>
        <w:t>interest</w:t>
      </w:r>
      <w:r w:rsidR="00F274DD" w:rsidRPr="008B13A5">
        <w:rPr>
          <w:noProof/>
          <w:color w:val="000000"/>
          <w:szCs w:val="22"/>
        </w:rPr>
        <w:t xml:space="preserve"> </w:t>
      </w:r>
      <w:r w:rsidRPr="008B13A5">
        <w:rPr>
          <w:noProof/>
          <w:color w:val="000000"/>
          <w:szCs w:val="22"/>
        </w:rPr>
        <w:t>in</w:t>
      </w:r>
      <w:r w:rsidR="00F274DD" w:rsidRPr="008B13A5">
        <w:rPr>
          <w:noProof/>
          <w:color w:val="000000"/>
          <w:szCs w:val="22"/>
        </w:rPr>
        <w:t xml:space="preserve"> </w:t>
      </w:r>
      <w:r w:rsidRPr="008B13A5">
        <w:rPr>
          <w:noProof/>
          <w:color w:val="000000"/>
          <w:szCs w:val="22"/>
        </w:rPr>
        <w:t>supporting</w:t>
      </w:r>
      <w:r w:rsidR="00F274DD" w:rsidRPr="008B13A5">
        <w:rPr>
          <w:noProof/>
          <w:color w:val="000000"/>
          <w:szCs w:val="22"/>
        </w:rPr>
        <w:t xml:space="preserve"> </w:t>
      </w:r>
      <w:r w:rsidRPr="008B13A5">
        <w:rPr>
          <w:noProof/>
          <w:color w:val="000000"/>
          <w:szCs w:val="22"/>
        </w:rPr>
        <w:t>strategic</w:t>
      </w:r>
      <w:r w:rsidR="00F274DD" w:rsidRPr="008B13A5">
        <w:rPr>
          <w:noProof/>
          <w:color w:val="000000"/>
          <w:szCs w:val="22"/>
        </w:rPr>
        <w:t xml:space="preserve"> </w:t>
      </w:r>
      <w:r w:rsidRPr="008B13A5">
        <w:rPr>
          <w:noProof/>
          <w:color w:val="000000"/>
          <w:szCs w:val="22"/>
        </w:rPr>
        <w:t>projects</w:t>
      </w:r>
      <w:r w:rsidR="00F274DD" w:rsidRPr="008B13A5">
        <w:rPr>
          <w:noProof/>
          <w:color w:val="000000"/>
          <w:szCs w:val="22"/>
        </w:rPr>
        <w:t xml:space="preserve"> </w:t>
      </w:r>
      <w:r w:rsidRPr="008B13A5">
        <w:rPr>
          <w:noProof/>
          <w:color w:val="000000"/>
          <w:szCs w:val="22"/>
        </w:rPr>
        <w:t>in</w:t>
      </w:r>
      <w:r w:rsidR="00F274DD" w:rsidRPr="008B13A5">
        <w:rPr>
          <w:noProof/>
          <w:color w:val="000000"/>
          <w:szCs w:val="22"/>
        </w:rPr>
        <w:t xml:space="preserve"> </w:t>
      </w:r>
      <w:r w:rsidRPr="008B13A5">
        <w:rPr>
          <w:noProof/>
          <w:color w:val="000000"/>
          <w:szCs w:val="22"/>
        </w:rPr>
        <w:t>line</w:t>
      </w:r>
      <w:r w:rsidR="00F274DD" w:rsidRPr="008B13A5">
        <w:rPr>
          <w:noProof/>
          <w:color w:val="000000"/>
          <w:szCs w:val="22"/>
        </w:rPr>
        <w:t xml:space="preserve"> </w:t>
      </w:r>
      <w:r w:rsidRPr="008B13A5">
        <w:rPr>
          <w:noProof/>
          <w:color w:val="000000"/>
          <w:szCs w:val="22"/>
        </w:rPr>
        <w:t>with</w:t>
      </w:r>
      <w:r w:rsidR="00F274DD" w:rsidRPr="008B13A5">
        <w:rPr>
          <w:noProof/>
          <w:color w:val="000000"/>
          <w:szCs w:val="22"/>
        </w:rPr>
        <w:t xml:space="preserve"> </w:t>
      </w:r>
      <w:r w:rsidRPr="008B13A5">
        <w:rPr>
          <w:noProof/>
          <w:color w:val="000000"/>
          <w:szCs w:val="22"/>
        </w:rPr>
        <w:t>the</w:t>
      </w:r>
      <w:r w:rsidR="00F274DD" w:rsidRPr="008B13A5">
        <w:rPr>
          <w:noProof/>
          <w:color w:val="000000"/>
          <w:szCs w:val="22"/>
        </w:rPr>
        <w:t xml:space="preserve"> </w:t>
      </w:r>
      <w:r w:rsidRPr="008B13A5">
        <w:rPr>
          <w:noProof/>
          <w:color w:val="000000"/>
          <w:szCs w:val="22"/>
        </w:rPr>
        <w:t>Commission</w:t>
      </w:r>
      <w:r w:rsidR="00497125" w:rsidRPr="008B13A5">
        <w:rPr>
          <w:noProof/>
          <w:color w:val="000000"/>
          <w:szCs w:val="22"/>
        </w:rPr>
        <w:t>’</w:t>
      </w:r>
      <w:r w:rsidRPr="008B13A5">
        <w:rPr>
          <w:noProof/>
          <w:color w:val="000000"/>
          <w:szCs w:val="22"/>
        </w:rPr>
        <w:t>s</w:t>
      </w:r>
      <w:r w:rsidR="00F274DD" w:rsidRPr="008B13A5">
        <w:rPr>
          <w:noProof/>
          <w:color w:val="000000"/>
          <w:szCs w:val="22"/>
        </w:rPr>
        <w:t xml:space="preserve"> </w:t>
      </w:r>
      <w:r w:rsidRPr="008B13A5">
        <w:rPr>
          <w:noProof/>
          <w:color w:val="000000"/>
          <w:szCs w:val="22"/>
        </w:rPr>
        <w:t>proposal</w:t>
      </w:r>
      <w:r w:rsidR="00F274DD" w:rsidRPr="008B13A5">
        <w:rPr>
          <w:noProof/>
          <w:color w:val="000000"/>
          <w:szCs w:val="22"/>
        </w:rPr>
        <w:t xml:space="preserve"> </w:t>
      </w:r>
      <w:r w:rsidRPr="008B13A5">
        <w:rPr>
          <w:noProof/>
          <w:color w:val="000000"/>
          <w:szCs w:val="22"/>
        </w:rPr>
        <w:t>for</w:t>
      </w:r>
      <w:r w:rsidR="00F274DD" w:rsidRPr="008B13A5">
        <w:rPr>
          <w:noProof/>
          <w:color w:val="000000"/>
          <w:szCs w:val="22"/>
        </w:rPr>
        <w:t xml:space="preserve"> </w:t>
      </w:r>
      <w:r w:rsidRPr="008B13A5">
        <w:rPr>
          <w:noProof/>
          <w:color w:val="000000"/>
          <w:szCs w:val="22"/>
        </w:rPr>
        <w:t>a</w:t>
      </w:r>
      <w:r w:rsidR="00F274DD" w:rsidRPr="008B13A5">
        <w:rPr>
          <w:noProof/>
          <w:color w:val="000000"/>
          <w:szCs w:val="22"/>
        </w:rPr>
        <w:t xml:space="preserve"> </w:t>
      </w:r>
      <w:r w:rsidRPr="008B13A5">
        <w:rPr>
          <w:noProof/>
          <w:color w:val="000000"/>
          <w:szCs w:val="22"/>
        </w:rPr>
        <w:t>European</w:t>
      </w:r>
      <w:r w:rsidR="00F274DD" w:rsidRPr="008B13A5">
        <w:rPr>
          <w:noProof/>
          <w:color w:val="000000"/>
          <w:szCs w:val="22"/>
        </w:rPr>
        <w:t xml:space="preserve"> </w:t>
      </w:r>
      <w:r w:rsidRPr="008B13A5">
        <w:rPr>
          <w:noProof/>
          <w:color w:val="000000"/>
          <w:szCs w:val="22"/>
        </w:rPr>
        <w:t>Competitiveness</w:t>
      </w:r>
      <w:r w:rsidR="00F274DD" w:rsidRPr="008B13A5">
        <w:rPr>
          <w:noProof/>
          <w:color w:val="000000"/>
          <w:szCs w:val="22"/>
        </w:rPr>
        <w:t xml:space="preserve"> </w:t>
      </w:r>
      <w:r w:rsidRPr="008B13A5">
        <w:rPr>
          <w:noProof/>
          <w:color w:val="000000"/>
          <w:szCs w:val="22"/>
        </w:rPr>
        <w:t>Fund.</w:t>
      </w:r>
    </w:p>
    <w:p w14:paraId="37AED2F0" w14:textId="6637449E" w:rsidR="00F8618D" w:rsidRPr="008B13A5" w:rsidRDefault="00F8618D" w:rsidP="00AF6500">
      <w:pPr>
        <w:rPr>
          <w:noProof/>
          <w:color w:val="000000"/>
          <w:szCs w:val="22"/>
        </w:rPr>
      </w:pPr>
      <w:r w:rsidRPr="008B13A5">
        <w:rPr>
          <w:noProof/>
        </w:rPr>
        <w:t xml:space="preserve">Regarding </w:t>
      </w:r>
      <w:r w:rsidRPr="008B13A5">
        <w:rPr>
          <w:b/>
          <w:bCs/>
          <w:noProof/>
        </w:rPr>
        <w:t>coordination and financing</w:t>
      </w:r>
      <w:r w:rsidRPr="008B13A5">
        <w:rPr>
          <w:noProof/>
        </w:rPr>
        <w:t>, three quarters of respondents (75%, 64/85) indicated that strategic project selection and set-up should be coordinated at EU level, with strong cross-stakeholder consensus. A large majority of all respondents (87%, 74/85) favoured financing through a combination of funding sources. In their open-text responses, several respondents representing RTOs/designers highlighted the need to align support with market demand, noting that EU awards alone may not guarantee commercial viability. In terms of beneficial incentives for companies, end-user industry respondents particularly favoured financial support for R&amp;D (89%, 8/9), subsidies for building manufacturing facilities (89%, 8/9), and tax incentives for chip production and usage (78%, 7/9).</w:t>
      </w:r>
    </w:p>
    <w:p w14:paraId="48DF0C74" w14:textId="77777777" w:rsidR="00F8618D" w:rsidRPr="008B13A5" w:rsidRDefault="00F8618D" w:rsidP="009712FE">
      <w:pPr>
        <w:pStyle w:val="Heading2"/>
        <w:rPr>
          <w:noProof/>
          <w:szCs w:val="22"/>
        </w:rPr>
      </w:pPr>
      <w:bookmarkStart w:id="27" w:name="_Toc223620581"/>
      <w:bookmarkStart w:id="28" w:name="_Toc230010366"/>
      <w:r w:rsidRPr="008B13A5">
        <w:rPr>
          <w:noProof/>
        </w:rPr>
        <w:t>Coherence</w:t>
      </w:r>
      <w:bookmarkEnd w:id="27"/>
      <w:bookmarkEnd w:id="28"/>
    </w:p>
    <w:p w14:paraId="2FED9668" w14:textId="4E0BD414" w:rsidR="00F8618D" w:rsidRPr="008B13A5" w:rsidRDefault="00F8618D" w:rsidP="00F8618D">
      <w:pPr>
        <w:rPr>
          <w:noProof/>
          <w:color w:val="000000"/>
          <w:szCs w:val="22"/>
        </w:rPr>
      </w:pPr>
      <w:r w:rsidRPr="008B13A5">
        <w:rPr>
          <w:noProof/>
          <w:color w:val="000000"/>
          <w:szCs w:val="22"/>
        </w:rPr>
        <w:t xml:space="preserve">A large majority of respondents (86%, 58/67) reported that the </w:t>
      </w:r>
      <w:r w:rsidRPr="008B13A5">
        <w:rPr>
          <w:b/>
          <w:bCs/>
          <w:noProof/>
          <w:color w:val="000000"/>
          <w:szCs w:val="22"/>
        </w:rPr>
        <w:t>Chips Act has contributed to improving governance and coordination between national and regional authorities</w:t>
      </w:r>
      <w:r w:rsidRPr="008B13A5">
        <w:rPr>
          <w:noProof/>
          <w:color w:val="000000"/>
          <w:szCs w:val="22"/>
        </w:rPr>
        <w:t>, with 9% (6/67) indicating it contributed very well, 16% (11/67) well, and 61% (41/67) adequately. The strongest positive views came from authorities and RTOs/designers, while end users showed more mixed views. Position papers and open-ended responses indicate scope for further strengthening governance arrangements, including through more structured industry involvement in decision-making processes.</w:t>
      </w:r>
    </w:p>
    <w:p w14:paraId="48AFEC92" w14:textId="637627F2" w:rsidR="00F8618D" w:rsidRPr="008B13A5" w:rsidRDefault="00F8618D" w:rsidP="00F8618D">
      <w:pPr>
        <w:rPr>
          <w:noProof/>
          <w:color w:val="000000"/>
          <w:szCs w:val="22"/>
        </w:rPr>
      </w:pPr>
      <w:r w:rsidRPr="008B13A5">
        <w:rPr>
          <w:noProof/>
          <w:color w:val="000000"/>
          <w:szCs w:val="22"/>
        </w:rPr>
        <w:t xml:space="preserve">The most prominent </w:t>
      </w:r>
      <w:r w:rsidRPr="008B13A5">
        <w:rPr>
          <w:b/>
          <w:bCs/>
          <w:noProof/>
          <w:color w:val="000000"/>
          <w:szCs w:val="22"/>
        </w:rPr>
        <w:t>internal coherence</w:t>
      </w:r>
      <w:r w:rsidRPr="008B13A5">
        <w:rPr>
          <w:noProof/>
          <w:color w:val="000000"/>
          <w:szCs w:val="22"/>
        </w:rPr>
        <w:t xml:space="preserve"> concern identified in position papers is the relationship between research and innovation activities under Pillar I and manufacturing capacity under Pillar II. Stakeholders argue that innovation delivers greater value when supported by clear pathways to industrial-scale production. As DIGITALEUROPE noted, </w:t>
      </w:r>
      <w:r w:rsidR="006C5509" w:rsidRPr="008B13A5">
        <w:rPr>
          <w:noProof/>
          <w:color w:val="000000"/>
          <w:szCs w:val="22"/>
        </w:rPr>
        <w:t>“</w:t>
      </w:r>
      <w:r w:rsidRPr="008B13A5">
        <w:rPr>
          <w:noProof/>
          <w:color w:val="000000"/>
          <w:szCs w:val="22"/>
        </w:rPr>
        <w:t>Pillar 1 and Pillar 2 […] must be more closely integrated. Innovation generated in Pillar 1 only delivers real value when it transitions into industrial-scale manufacturing under Pillar 2</w:t>
      </w:r>
      <w:r w:rsidR="006C5509" w:rsidRPr="008B13A5">
        <w:rPr>
          <w:noProof/>
          <w:color w:val="000000"/>
          <w:szCs w:val="22"/>
        </w:rPr>
        <w:t>”</w:t>
      </w:r>
      <w:r w:rsidRPr="008B13A5">
        <w:rPr>
          <w:noProof/>
          <w:color w:val="000000"/>
          <w:szCs w:val="22"/>
        </w:rPr>
        <w:t>, a view echoed by other business associations such as Eurochambres and ESIA. Beyond internal coherence, respondents call for stronger alignment between the Chips Act and adjacent EU policy instruments, including the Quantum Act, Advanced Materials Act, EuroHPC, and EDIP, to ensure complementarity across policy domains. Stakeholders also identify a need for enhanced coordination across EU, national, and regional governance levels, with regional stakeholders emphasising that success depends on research, companies, pilot lines, centres of excellence, and public policy working closely together.</w:t>
      </w:r>
    </w:p>
    <w:p w14:paraId="46360C83" w14:textId="4AE4E06E" w:rsidR="00F8618D" w:rsidRPr="008B13A5" w:rsidRDefault="00F8618D" w:rsidP="00BE4440">
      <w:pPr>
        <w:spacing w:after="0"/>
        <w:rPr>
          <w:noProof/>
          <w:szCs w:val="22"/>
        </w:rPr>
      </w:pPr>
      <w:r w:rsidRPr="008B13A5">
        <w:rPr>
          <w:noProof/>
          <w:szCs w:val="22"/>
          <w:lang w:eastAsia="en-GB"/>
        </w:rPr>
        <w:drawing>
          <wp:inline distT="0" distB="0" distL="0" distR="0" wp14:anchorId="663063D0" wp14:editId="75F81FB2">
            <wp:extent cx="5939790" cy="1515745"/>
            <wp:effectExtent l="0" t="0" r="0" b="0"/>
            <wp:docPr id="520155982" name="Picture 11"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hart 1, Chart elemen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9790" cy="1515745"/>
                    </a:xfrm>
                    <a:prstGeom prst="rect">
                      <a:avLst/>
                    </a:prstGeom>
                    <a:noFill/>
                    <a:ln>
                      <a:noFill/>
                    </a:ln>
                  </pic:spPr>
                </pic:pic>
              </a:graphicData>
            </a:graphic>
          </wp:inline>
        </w:drawing>
      </w:r>
    </w:p>
    <w:p w14:paraId="40FBD28B" w14:textId="77777777" w:rsidR="005A0A33" w:rsidRPr="008B13A5" w:rsidRDefault="005A0A33" w:rsidP="005A0A33">
      <w:pPr>
        <w:spacing w:after="0"/>
        <w:rPr>
          <w:i/>
          <w:noProof/>
          <w:szCs w:val="22"/>
        </w:rPr>
      </w:pPr>
      <w:r w:rsidRPr="008B13A5">
        <w:rPr>
          <w:b/>
          <w:noProof/>
          <w:szCs w:val="22"/>
        </w:rPr>
        <w:t>Figure 4. Impact on governance and coordination</w:t>
      </w:r>
    </w:p>
    <w:p w14:paraId="04586EC3" w14:textId="4F9DE982" w:rsidR="00BE4440" w:rsidRPr="008B13A5" w:rsidRDefault="00BE4440" w:rsidP="00F8618D">
      <w:pPr>
        <w:rPr>
          <w:noProof/>
          <w:szCs w:val="22"/>
        </w:rPr>
      </w:pPr>
      <w:r w:rsidRPr="008B13A5">
        <w:rPr>
          <w:i/>
          <w:noProof/>
          <w:sz w:val="20"/>
          <w:szCs w:val="18"/>
        </w:rPr>
        <w:t>Source: Consolidated public consultation of the review of the Chips Act, September-November 2025, Question 31.</w:t>
      </w:r>
    </w:p>
    <w:p w14:paraId="228AEA9D" w14:textId="14B7D6D5" w:rsidR="00F8618D" w:rsidRPr="008B13A5" w:rsidRDefault="00F8618D" w:rsidP="00F8618D">
      <w:pPr>
        <w:rPr>
          <w:noProof/>
          <w:szCs w:val="22"/>
        </w:rPr>
      </w:pPr>
      <w:r w:rsidRPr="008B13A5">
        <w:rPr>
          <w:noProof/>
          <w:color w:val="000000"/>
          <w:szCs w:val="22"/>
        </w:rPr>
        <w:t xml:space="preserve">Regarding </w:t>
      </w:r>
      <w:r w:rsidRPr="008B13A5">
        <w:rPr>
          <w:b/>
          <w:bCs/>
          <w:noProof/>
          <w:color w:val="000000"/>
          <w:szCs w:val="22"/>
        </w:rPr>
        <w:t>sustainability</w:t>
      </w:r>
      <w:r w:rsidRPr="008B13A5">
        <w:rPr>
          <w:noProof/>
          <w:color w:val="000000"/>
          <w:szCs w:val="22"/>
        </w:rPr>
        <w:t>, the majority of respondents (71%, 47/66) reported that their organisation has sustainable practices or policies in place for the semiconductor sector. Supply-chain actors showed the strongest uptake (85%, 17/20), while civil society/economic stakeholders (60%, 12/20) and RTOs/designers (56%, 5/9) showed more varied adoption. Among civil society and economic stakeholders, raw materials extraction was the most widely shared environmental concern (75%, 6/8), followed by high energy consumption, lifecycle assessment capabilities, and water usage. When prioritising concerns related to chips and electronic components, high energy consumption emerged as the top issue (86%, 6/7). In position papers and open-ended questions, some respondents noted potential tensions between environmental regulations and manufacturing requirements, while others observed that sustainability considerations are sometimes deprioritised relative to performance improvements and that incentives may need to target both new and existing equipment. Among business associations, the most frequently cited actions to promote sustainable practices were incentives for green manufacturing and R&amp;D funding for eco-friendly technologies (both 85%, 11/13).</w:t>
      </w:r>
    </w:p>
    <w:p w14:paraId="46574786" w14:textId="1267C3C5" w:rsidR="00F8618D" w:rsidRPr="008B13A5" w:rsidRDefault="00F8618D" w:rsidP="009712FE">
      <w:pPr>
        <w:pStyle w:val="Heading2"/>
        <w:rPr>
          <w:bCs/>
          <w:noProof/>
          <w:szCs w:val="22"/>
        </w:rPr>
      </w:pPr>
      <w:bookmarkStart w:id="29" w:name="_Toc223620582"/>
      <w:bookmarkStart w:id="30" w:name="_Toc230010367"/>
      <w:r w:rsidRPr="008B13A5">
        <w:rPr>
          <w:noProof/>
        </w:rPr>
        <w:t>EU added value</w:t>
      </w:r>
      <w:bookmarkEnd w:id="29"/>
      <w:bookmarkEnd w:id="30"/>
    </w:p>
    <w:p w14:paraId="1D5FCC41" w14:textId="0DC56A35" w:rsidR="00F8618D" w:rsidRPr="008B13A5" w:rsidRDefault="00F8618D" w:rsidP="00F8618D">
      <w:pPr>
        <w:rPr>
          <w:noProof/>
          <w:color w:val="000000"/>
          <w:szCs w:val="22"/>
        </w:rPr>
      </w:pPr>
      <w:r w:rsidRPr="008B13A5">
        <w:rPr>
          <w:b/>
          <w:bCs/>
          <w:noProof/>
          <w:color w:val="000000"/>
          <w:szCs w:val="22"/>
        </w:rPr>
        <w:t>Position papers show strong consensus that EU-level action provides irreplaceable value through coordination mechanisms that should be further strengthened</w:t>
      </w:r>
      <w:r w:rsidRPr="008B13A5">
        <w:rPr>
          <w:noProof/>
          <w:color w:val="000000"/>
          <w:szCs w:val="22"/>
        </w:rPr>
        <w:t>. Stakeholders support a centralised EU-level strategic framework and significant EU budgetary contributions that complement Member State funding. Respondents frame EU coordination as essential for European semiconductor competitiveness, emphasising that it helps minimise fragmentation and enables scale effects that no individual Member State could achieve alone. In response to open-ended questions, authority representatives recommended the European Semiconductor Board as the primary coordination platform, with investments planned according to European priorities and demand to ensure resilient supply chains.</w:t>
      </w:r>
    </w:p>
    <w:p w14:paraId="7F2B94A7" w14:textId="788FE65D" w:rsidR="00F8618D" w:rsidRPr="008B13A5" w:rsidRDefault="00F8618D" w:rsidP="00F8618D">
      <w:pPr>
        <w:rPr>
          <w:noProof/>
          <w:color w:val="000000"/>
          <w:szCs w:val="22"/>
        </w:rPr>
      </w:pPr>
      <w:r w:rsidRPr="008B13A5">
        <w:rPr>
          <w:b/>
          <w:bCs/>
          <w:noProof/>
          <w:color w:val="000000"/>
          <w:szCs w:val="22"/>
        </w:rPr>
        <w:t>Views on extending information mandates showed no unanimous position across stakeholder groups.</w:t>
      </w:r>
      <w:r w:rsidRPr="008B13A5">
        <w:rPr>
          <w:noProof/>
          <w:color w:val="000000"/>
          <w:szCs w:val="22"/>
        </w:rPr>
        <w:t xml:space="preserve"> Almost half of respondents (47%, 40/85) supported giving the European Commission or National Competent Authorities a mandate to request information from companies along the semiconductor supply chain to prevent future disruptions, with a similar share (47%, 40/86) supporting mandates to address potential vulnerabilities such as overcapacities or dependencies.</w:t>
      </w:r>
    </w:p>
    <w:p w14:paraId="5AC221A2" w14:textId="6D33DF57" w:rsidR="00F8618D" w:rsidRPr="008B13A5" w:rsidRDefault="00F8618D" w:rsidP="00F8618D">
      <w:pPr>
        <w:rPr>
          <w:noProof/>
          <w:color w:val="000000"/>
          <w:szCs w:val="22"/>
        </w:rPr>
      </w:pPr>
      <w:r w:rsidRPr="008B13A5">
        <w:rPr>
          <w:b/>
          <w:bCs/>
          <w:noProof/>
          <w:color w:val="000000"/>
          <w:szCs w:val="22"/>
        </w:rPr>
        <w:t>International cooperation received strong support across all stakeholder groups</w:t>
      </w:r>
      <w:r w:rsidRPr="008B13A5">
        <w:rPr>
          <w:noProof/>
          <w:color w:val="000000"/>
          <w:szCs w:val="22"/>
        </w:rPr>
        <w:t>. Collaborative R&amp;D and innovation was the most widely supported action area, consistently ranking at or near the top for every group, while supply chain diversification and security of supply was another cross-cutting priority. Position papers similarly call for strengthened international partnerships with key semiconductor-producing nations, proposing more formalised cooperation mechanisms and risk-based frameworks.</w:t>
      </w:r>
    </w:p>
    <w:p w14:paraId="307A3D77" w14:textId="45F15E2B" w:rsidR="00F8618D" w:rsidRPr="008B13A5" w:rsidRDefault="00F8618D" w:rsidP="00286D92">
      <w:pPr>
        <w:spacing w:after="0"/>
        <w:rPr>
          <w:noProof/>
          <w:szCs w:val="22"/>
        </w:rPr>
      </w:pPr>
      <w:r w:rsidRPr="008B13A5">
        <w:rPr>
          <w:noProof/>
          <w:szCs w:val="22"/>
          <w:lang w:eastAsia="en-GB"/>
        </w:rPr>
        <w:drawing>
          <wp:inline distT="0" distB="0" distL="0" distR="0" wp14:anchorId="69721F9E" wp14:editId="56E262B3">
            <wp:extent cx="5939790" cy="1992630"/>
            <wp:effectExtent l="0" t="0" r="0" b="0"/>
            <wp:docPr id="584982638" name="Picture 10"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hart 1, Chart elemen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9790" cy="1992630"/>
                    </a:xfrm>
                    <a:prstGeom prst="rect">
                      <a:avLst/>
                    </a:prstGeom>
                    <a:noFill/>
                    <a:ln>
                      <a:noFill/>
                    </a:ln>
                  </pic:spPr>
                </pic:pic>
              </a:graphicData>
            </a:graphic>
          </wp:inline>
        </w:drawing>
      </w:r>
    </w:p>
    <w:p w14:paraId="7186D1A8" w14:textId="77777777" w:rsidR="00286D92" w:rsidRPr="008B13A5" w:rsidRDefault="00286D92" w:rsidP="00286D92">
      <w:pPr>
        <w:spacing w:after="0"/>
        <w:rPr>
          <w:b/>
          <w:noProof/>
          <w:szCs w:val="22"/>
        </w:rPr>
      </w:pPr>
      <w:r w:rsidRPr="008B13A5">
        <w:rPr>
          <w:b/>
          <w:noProof/>
          <w:szCs w:val="22"/>
        </w:rPr>
        <w:t>Figure 5. International cooperation actions</w:t>
      </w:r>
    </w:p>
    <w:p w14:paraId="18FDD988" w14:textId="3DDD3521" w:rsidR="00286D92" w:rsidRPr="008B13A5" w:rsidRDefault="00286D92" w:rsidP="00286D92">
      <w:pPr>
        <w:rPr>
          <w:i/>
          <w:noProof/>
          <w:sz w:val="20"/>
          <w:szCs w:val="18"/>
        </w:rPr>
      </w:pPr>
      <w:r w:rsidRPr="008B13A5">
        <w:rPr>
          <w:i/>
          <w:noProof/>
          <w:sz w:val="20"/>
          <w:szCs w:val="18"/>
        </w:rPr>
        <w:t>Source: Consolidated public consultation of the review of the Chips Act, September-November 2025, Question 63.</w:t>
      </w:r>
      <w:r w:rsidRPr="00BD008E">
        <w:rPr>
          <w:i/>
          <w:noProof/>
          <w:sz w:val="20"/>
          <w:szCs w:val="18"/>
        </w:rPr>
        <w:t xml:space="preserve"> </w:t>
      </w:r>
    </w:p>
    <w:p w14:paraId="5C94CDBA" w14:textId="61759771" w:rsidR="00F8618D" w:rsidRPr="008B13A5" w:rsidRDefault="00F8618D" w:rsidP="006143EF">
      <w:pPr>
        <w:rPr>
          <w:noProof/>
        </w:rPr>
      </w:pPr>
      <w:r w:rsidRPr="008B13A5">
        <w:rPr>
          <w:noProof/>
        </w:rPr>
        <w:t xml:space="preserve">All end-user industry representatives (8/8) indicated that the </w:t>
      </w:r>
      <w:r w:rsidRPr="008B13A5">
        <w:rPr>
          <w:b/>
          <w:bCs/>
          <w:noProof/>
        </w:rPr>
        <w:t xml:space="preserve">EU should focus on facilitating technology exchange </w:t>
      </w:r>
      <w:r w:rsidRPr="008B13A5">
        <w:rPr>
          <w:noProof/>
        </w:rPr>
        <w:t>in its global semiconductor partnerships, with 88% (7/8) highlighting the importance of building strategic alliances with global leaders, while 75% (6/8) saw value in leading research initiatives. All public authorities (9/9) indicated that they engage in bilateral or multilateral cooperation with third countries in the field of semiconductors, covering areas such as R&amp;D, industrial development, and investment. Among education institutions, half (2/4) indicated that the Chips Act incentivised companies to collaborate with European education institutions and align curricula with labour market needs.</w:t>
      </w:r>
    </w:p>
    <w:p w14:paraId="53A54E0F" w14:textId="77777777" w:rsidR="00F8618D" w:rsidRPr="008B13A5" w:rsidRDefault="00F8618D" w:rsidP="009712FE">
      <w:pPr>
        <w:pStyle w:val="Heading2"/>
        <w:rPr>
          <w:noProof/>
          <w:szCs w:val="22"/>
        </w:rPr>
      </w:pPr>
      <w:bookmarkStart w:id="31" w:name="_Toc223620583"/>
      <w:bookmarkStart w:id="32" w:name="_Toc230010368"/>
      <w:r w:rsidRPr="008B13A5">
        <w:rPr>
          <w:noProof/>
        </w:rPr>
        <w:t>Relevance</w:t>
      </w:r>
      <w:bookmarkEnd w:id="31"/>
      <w:bookmarkEnd w:id="32"/>
    </w:p>
    <w:p w14:paraId="07B06819" w14:textId="0BCBF8AD" w:rsidR="00F8618D" w:rsidRPr="008B13A5" w:rsidRDefault="00F8618D" w:rsidP="00F8618D">
      <w:pPr>
        <w:rPr>
          <w:noProof/>
          <w:color w:val="000000"/>
          <w:szCs w:val="22"/>
        </w:rPr>
      </w:pPr>
      <w:r w:rsidRPr="008B13A5">
        <w:rPr>
          <w:b/>
          <w:bCs/>
          <w:noProof/>
          <w:color w:val="000000"/>
          <w:szCs w:val="22"/>
        </w:rPr>
        <w:t>Views on framework adequacy were mixed</w:t>
      </w:r>
      <w:r w:rsidRPr="008B13A5">
        <w:rPr>
          <w:noProof/>
          <w:color w:val="000000"/>
          <w:szCs w:val="22"/>
        </w:rPr>
        <w:t>. One quarter of respondents (25%, 23/94) agreed that the current Chips Act framework provides a sufficiently robust approach to address Europe’s supply-side vulnerabilities, while almost half (44%, 41/94) disagreed and one-third (32%, 30/94) expressed a neutral view. RTOs/designers showed the strongest support (62%, 10/16), whereas supply-chain respondents were more cautious, with 56% (14/25) disagreeing. Among authorities, none agreed with the statement, with responses split between neutrality (67%, 6/9) and disagreement (33%, 3/9).</w:t>
      </w:r>
    </w:p>
    <w:p w14:paraId="159647F9" w14:textId="0451D8B3" w:rsidR="00F8618D" w:rsidRPr="008B13A5" w:rsidRDefault="00F8618D" w:rsidP="00F8618D">
      <w:pPr>
        <w:rPr>
          <w:noProof/>
          <w:color w:val="000000"/>
          <w:szCs w:val="22"/>
        </w:rPr>
      </w:pPr>
      <w:r w:rsidRPr="008B13A5">
        <w:rPr>
          <w:noProof/>
          <w:color w:val="000000"/>
          <w:szCs w:val="22"/>
        </w:rPr>
        <w:t xml:space="preserve">Position papers provide further insight into these reservations. A frequently cited concern is that </w:t>
      </w:r>
      <w:r w:rsidRPr="008B13A5">
        <w:rPr>
          <w:b/>
          <w:bCs/>
          <w:noProof/>
          <w:color w:val="000000"/>
          <w:szCs w:val="22"/>
        </w:rPr>
        <w:t>the Act</w:t>
      </w:r>
      <w:r w:rsidR="00497125" w:rsidRPr="008B13A5">
        <w:rPr>
          <w:b/>
          <w:bCs/>
          <w:noProof/>
          <w:color w:val="000000"/>
          <w:szCs w:val="22"/>
        </w:rPr>
        <w:t>’</w:t>
      </w:r>
      <w:r w:rsidRPr="008B13A5">
        <w:rPr>
          <w:b/>
          <w:bCs/>
          <w:noProof/>
          <w:color w:val="000000"/>
          <w:szCs w:val="22"/>
        </w:rPr>
        <w:t>s scope places too much emphasis on production capacity targets over alignment with European industrial needs</w:t>
      </w:r>
      <w:r w:rsidRPr="008B13A5">
        <w:rPr>
          <w:noProof/>
          <w:color w:val="000000"/>
          <w:szCs w:val="22"/>
        </w:rPr>
        <w:t xml:space="preserve">. As ASML emphasises, </w:t>
      </w:r>
      <w:r w:rsidR="006C5509" w:rsidRPr="008B13A5">
        <w:rPr>
          <w:noProof/>
          <w:color w:val="000000"/>
          <w:szCs w:val="22"/>
        </w:rPr>
        <w:t>“</w:t>
      </w:r>
      <w:r w:rsidRPr="008B13A5">
        <w:rPr>
          <w:noProof/>
          <w:color w:val="000000"/>
          <w:szCs w:val="22"/>
        </w:rPr>
        <w:t xml:space="preserve">A successful approach to the Chips Act review must not only help develop production capabilities but, more fundamentally, it must create the framework conditions for industry to create […] an end market for more semiconductors </w:t>
      </w:r>
      <w:r w:rsidR="00497125" w:rsidRPr="008B13A5">
        <w:rPr>
          <w:noProof/>
          <w:color w:val="000000"/>
          <w:szCs w:val="22"/>
        </w:rPr>
        <w:t>‘</w:t>
      </w:r>
      <w:r w:rsidRPr="008B13A5">
        <w:rPr>
          <w:noProof/>
          <w:color w:val="000000"/>
          <w:szCs w:val="22"/>
        </w:rPr>
        <w:t>made in the EU</w:t>
      </w:r>
      <w:r w:rsidR="00497125" w:rsidRPr="008B13A5">
        <w:rPr>
          <w:noProof/>
          <w:color w:val="000000"/>
          <w:szCs w:val="22"/>
        </w:rPr>
        <w:t>’</w:t>
      </w:r>
      <w:r w:rsidRPr="008B13A5">
        <w:rPr>
          <w:noProof/>
          <w:color w:val="000000"/>
          <w:szCs w:val="22"/>
        </w:rPr>
        <w:t>.</w:t>
      </w:r>
      <w:r w:rsidR="006C5509" w:rsidRPr="008B13A5">
        <w:rPr>
          <w:noProof/>
          <w:color w:val="000000"/>
          <w:szCs w:val="22"/>
        </w:rPr>
        <w:t>”</w:t>
      </w:r>
      <w:r w:rsidRPr="008B13A5">
        <w:rPr>
          <w:noProof/>
          <w:color w:val="000000"/>
          <w:szCs w:val="22"/>
        </w:rPr>
        <w:t xml:space="preserve"> Respondents also note that the Act focuses predominantly on front-end chip manufacturing while giving insufficient attention to adjacent value chain segments, particularly printed circuit boards, packaging, and back-end processes. Design capabilities emerge as a prominent theme, with stakeholders arguing that the production-centric approach does not sufficiently recognise the role of chip design in European value creation. Position papers also highlight a disconnect between Chips Act priorities and the needs of key European user industries, particularly automotive, aerospace, defence, and industrial sectors, as well as emerging technology domains such as quantum, photonics, and AI chips.</w:t>
      </w:r>
    </w:p>
    <w:p w14:paraId="4153DA79" w14:textId="57662576" w:rsidR="00F8618D" w:rsidRPr="008B13A5" w:rsidRDefault="00F8618D" w:rsidP="00F8618D">
      <w:pPr>
        <w:rPr>
          <w:noProof/>
          <w:color w:val="000000"/>
          <w:szCs w:val="22"/>
        </w:rPr>
      </w:pPr>
      <w:r w:rsidRPr="008B13A5">
        <w:rPr>
          <w:noProof/>
          <w:color w:val="000000"/>
          <w:szCs w:val="22"/>
        </w:rPr>
        <w:t xml:space="preserve">Among supply-chain respondents, </w:t>
      </w:r>
      <w:r w:rsidRPr="008B13A5">
        <w:rPr>
          <w:b/>
          <w:bCs/>
          <w:noProof/>
          <w:color w:val="000000"/>
          <w:szCs w:val="22"/>
        </w:rPr>
        <w:t>key factors when selecting a location for semiconductor-related facilities relate to funding access, administrative ease, and skill availability</w:t>
      </w:r>
      <w:r w:rsidRPr="008B13A5">
        <w:rPr>
          <w:noProof/>
          <w:color w:val="000000"/>
          <w:szCs w:val="22"/>
        </w:rPr>
        <w:t xml:space="preserve">. Speed and ease of access to public funding was rated very important by 88% (15/17), while clarity of administrative processes and predictability of funding were similarly emphasised. The most frequently identified </w:t>
      </w:r>
      <w:r w:rsidRPr="008B13A5">
        <w:rPr>
          <w:b/>
          <w:bCs/>
          <w:noProof/>
          <w:color w:val="000000"/>
          <w:szCs w:val="22"/>
        </w:rPr>
        <w:t>barriers to developing an EU AI chip value chain</w:t>
      </w:r>
      <w:r w:rsidRPr="008B13A5">
        <w:rPr>
          <w:noProof/>
          <w:color w:val="000000"/>
          <w:szCs w:val="22"/>
        </w:rPr>
        <w:t xml:space="preserve"> were lack of manufacturing capability (59%, 55/93), lack of investment instruments (57%, 53/93), skilled workforce shortages (55%, 51/93), and low domestic demand from hyperscalers or AI companies (55%, 51/93). Views varied across stakeholder groups.</w:t>
      </w:r>
    </w:p>
    <w:p w14:paraId="66152CB0" w14:textId="5A810AA7" w:rsidR="00F8618D" w:rsidRPr="008B13A5" w:rsidRDefault="00F8618D" w:rsidP="00B32CB5">
      <w:pPr>
        <w:spacing w:after="0"/>
        <w:rPr>
          <w:noProof/>
          <w:szCs w:val="22"/>
        </w:rPr>
      </w:pPr>
      <w:r w:rsidRPr="008B13A5">
        <w:rPr>
          <w:noProof/>
          <w:szCs w:val="22"/>
          <w:lang w:eastAsia="en-GB"/>
        </w:rPr>
        <w:drawing>
          <wp:inline distT="0" distB="0" distL="0" distR="0" wp14:anchorId="5A33D04E" wp14:editId="5678271B">
            <wp:extent cx="5939790" cy="1987550"/>
            <wp:effectExtent l="0" t="0" r="0" b="0"/>
            <wp:docPr id="989803731" name="Picture 9"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hart 1, Chart elemen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9790" cy="1987550"/>
                    </a:xfrm>
                    <a:prstGeom prst="rect">
                      <a:avLst/>
                    </a:prstGeom>
                    <a:noFill/>
                    <a:ln>
                      <a:noFill/>
                    </a:ln>
                  </pic:spPr>
                </pic:pic>
              </a:graphicData>
            </a:graphic>
          </wp:inline>
        </w:drawing>
      </w:r>
    </w:p>
    <w:p w14:paraId="49EF0A42" w14:textId="77777777" w:rsidR="00B32CB5" w:rsidRPr="008B13A5" w:rsidRDefault="00B32CB5" w:rsidP="00B32CB5">
      <w:pPr>
        <w:spacing w:after="0"/>
        <w:rPr>
          <w:b/>
          <w:noProof/>
          <w:szCs w:val="22"/>
        </w:rPr>
      </w:pPr>
      <w:r w:rsidRPr="008B13A5">
        <w:rPr>
          <w:b/>
          <w:noProof/>
          <w:szCs w:val="22"/>
        </w:rPr>
        <w:t>Figure 6. Barriers to AI chip value chain development</w:t>
      </w:r>
    </w:p>
    <w:p w14:paraId="4A2230FC" w14:textId="4D1DE2A9" w:rsidR="00B32CB5" w:rsidRPr="008B13A5" w:rsidRDefault="00B32CB5" w:rsidP="00B32CB5">
      <w:pPr>
        <w:rPr>
          <w:b/>
          <w:noProof/>
          <w:sz w:val="20"/>
          <w:szCs w:val="18"/>
        </w:rPr>
      </w:pPr>
      <w:r w:rsidRPr="008B13A5">
        <w:rPr>
          <w:i/>
          <w:noProof/>
          <w:sz w:val="20"/>
          <w:szCs w:val="18"/>
        </w:rPr>
        <w:t>Source: Consolidated public consultation of the review of the Chips Act, September-November 2025, Question 42.</w:t>
      </w:r>
      <w:r w:rsidRPr="008B13A5">
        <w:rPr>
          <w:b/>
          <w:noProof/>
          <w:sz w:val="20"/>
          <w:szCs w:val="18"/>
        </w:rPr>
        <w:t xml:space="preserve"> </w:t>
      </w:r>
    </w:p>
    <w:p w14:paraId="55603D7E" w14:textId="7F3ACFB9" w:rsidR="00F8618D" w:rsidRPr="008B13A5" w:rsidRDefault="00F8618D" w:rsidP="00F8618D">
      <w:pPr>
        <w:rPr>
          <w:noProof/>
          <w:color w:val="000000"/>
          <w:szCs w:val="22"/>
        </w:rPr>
      </w:pPr>
      <w:r w:rsidRPr="008B13A5">
        <w:rPr>
          <w:b/>
          <w:bCs/>
          <w:noProof/>
          <w:color w:val="000000"/>
          <w:szCs w:val="22"/>
        </w:rPr>
        <w:t>Specific obstacles varied by stakeholder type.</w:t>
      </w:r>
      <w:r w:rsidRPr="008B13A5">
        <w:rPr>
          <w:noProof/>
          <w:color w:val="000000"/>
          <w:szCs w:val="22"/>
        </w:rPr>
        <w:t xml:space="preserve"> Fabless companies identified limited access to venture capital and risk finance as the most critical obstacle (78%, 7/9), followed by high cost or limited availability of EDA tools and IP blocks (67%, 6/9). Supply-chain respondents highlighted complex or lengthy permitting procedures and energy costs (each 88%, 15/16). Public authorities unanimously identified access to financing or aid as a key challenge (9/9) to attracting large-scale semiconductor production projects to their region or country, with 78% (7/9) also highlighting skilled labour availability. When asked in open-ended questions what </w:t>
      </w:r>
      <w:r w:rsidRPr="008B13A5">
        <w:rPr>
          <w:b/>
          <w:bCs/>
          <w:noProof/>
          <w:color w:val="000000"/>
          <w:szCs w:val="22"/>
        </w:rPr>
        <w:t xml:space="preserve">measures </w:t>
      </w:r>
      <w:r w:rsidRPr="008B13A5">
        <w:rPr>
          <w:noProof/>
          <w:color w:val="000000"/>
          <w:szCs w:val="22"/>
        </w:rPr>
        <w:t xml:space="preserve">could mitigate these obstacles, end users emphasised the importance of continuous, proactive Commission dialogue, real-time trade restriction monitoring, early crisis engagement, and complete value chain resilience, extending beyond chip manufacturing. RTOs/designers highlighted EU-level supply observatories with real-time component data and shared strategic reserves for research components. Supply chain stakeholders called for coordinated EU-wide early-warning systems, harmonised export rules and chips diplomacy with like-minded countries. </w:t>
      </w:r>
    </w:p>
    <w:p w14:paraId="6823F7A4" w14:textId="2C6B7555" w:rsidR="00F8618D" w:rsidRPr="008B13A5" w:rsidRDefault="00F8618D" w:rsidP="006143EF">
      <w:pPr>
        <w:rPr>
          <w:noProof/>
        </w:rPr>
      </w:pPr>
      <w:r w:rsidRPr="008B13A5">
        <w:rPr>
          <w:noProof/>
        </w:rPr>
        <w:t xml:space="preserve">Regarding </w:t>
      </w:r>
      <w:r w:rsidRPr="008B13A5">
        <w:rPr>
          <w:b/>
          <w:noProof/>
        </w:rPr>
        <w:t>leadership potential</w:t>
      </w:r>
      <w:r w:rsidRPr="008B13A5">
        <w:rPr>
          <w:noProof/>
        </w:rPr>
        <w:t xml:space="preserve">, respondents most frequently identified semiconductor manufacturing equipment as the segment where the EU has strongest potential to gain or reinforce leadership (79%, 70/89), followed by manufacturing of mainstream chips above 28 nm (62%, 55/89) and packaging, testing, and assembly (61%, 54/89). Fewer respondents (29%, 26/89) saw potential for leadership in advanced chip manufacturing below 10 nm. In terms of </w:t>
      </w:r>
      <w:r w:rsidRPr="008B13A5">
        <w:rPr>
          <w:b/>
          <w:noProof/>
        </w:rPr>
        <w:t>end-user industry prioritisation</w:t>
      </w:r>
      <w:r w:rsidRPr="008B13A5">
        <w:rPr>
          <w:noProof/>
        </w:rPr>
        <w:t>, defence/aerospace received strongest support (93%, 83/90), followed by automotive (82%, 75/92), energy (82%, 73/89), and data-centre infrastructure (79%, 73/92).</w:t>
      </w:r>
    </w:p>
    <w:p w14:paraId="46E04BDC" w14:textId="77777777" w:rsidR="00F8618D" w:rsidRPr="008B13A5" w:rsidRDefault="00F8618D" w:rsidP="009712FE">
      <w:pPr>
        <w:pStyle w:val="Heading2"/>
        <w:rPr>
          <w:bCs/>
          <w:noProof/>
          <w:szCs w:val="22"/>
        </w:rPr>
      </w:pPr>
      <w:bookmarkStart w:id="33" w:name="_Toc223620584"/>
      <w:bookmarkStart w:id="34" w:name="_Toc230010369"/>
      <w:r w:rsidRPr="008B13A5">
        <w:rPr>
          <w:noProof/>
        </w:rPr>
        <w:t>Prospective</w:t>
      </w:r>
      <w:bookmarkEnd w:id="33"/>
      <w:bookmarkEnd w:id="34"/>
    </w:p>
    <w:p w14:paraId="013E72AF" w14:textId="67345E50" w:rsidR="00F8618D" w:rsidRPr="008B13A5" w:rsidRDefault="00F8618D" w:rsidP="00F8618D">
      <w:pPr>
        <w:rPr>
          <w:noProof/>
          <w:color w:val="000000"/>
          <w:szCs w:val="22"/>
        </w:rPr>
      </w:pPr>
      <w:r w:rsidRPr="008B13A5">
        <w:rPr>
          <w:b/>
          <w:bCs/>
          <w:noProof/>
          <w:color w:val="000000"/>
          <w:szCs w:val="22"/>
        </w:rPr>
        <w:t>Respondents expressed strong and consistent support for further Union action across all four action areas.</w:t>
      </w:r>
      <w:r w:rsidRPr="008B13A5">
        <w:rPr>
          <w:noProof/>
          <w:color w:val="000000"/>
          <w:szCs w:val="22"/>
        </w:rPr>
        <w:t xml:space="preserve"> Addressing talent shortages received the highest level of agreement, with 94% of respondents (88 out of 94) agreeing or strongly agreeing that the European semiconductor industry faces serious talent shortages requiring investment in attraction, skilling, reskilling, and training policies; notably, 65% (61 out of 94) strongly agreed, the highest intensity across all statements. The need for EU-level coordination of dispersed national strategies followed closely at 88% (83 out of 94), while lowering barriers for fabless companies and innovative semiconductor firms received 87% agreement. Making Europe a more attractive destination for next-generation chip manufacturing received 84% support (80 out of 95). Across stakeholder groups, there was broad convergence on these priorities, though with variations in intensity (see </w:t>
      </w:r>
      <w:r w:rsidRPr="008B13A5">
        <w:rPr>
          <w:b/>
          <w:bCs/>
          <w:noProof/>
          <w:color w:val="000000"/>
          <w:szCs w:val="22"/>
        </w:rPr>
        <w:t>Figure 7</w:t>
      </w:r>
      <w:r w:rsidRPr="008B13A5">
        <w:rPr>
          <w:noProof/>
          <w:color w:val="000000"/>
          <w:szCs w:val="22"/>
        </w:rPr>
        <w:t>).</w:t>
      </w:r>
    </w:p>
    <w:p w14:paraId="628F5403" w14:textId="2642820F" w:rsidR="00F8618D" w:rsidRPr="008B13A5" w:rsidRDefault="00F8618D" w:rsidP="00EB1697">
      <w:pPr>
        <w:spacing w:after="0"/>
        <w:rPr>
          <w:noProof/>
          <w:color w:val="000000"/>
          <w:szCs w:val="22"/>
        </w:rPr>
      </w:pPr>
      <w:r w:rsidRPr="008B13A5">
        <w:rPr>
          <w:noProof/>
          <w:lang w:eastAsia="en-GB"/>
        </w:rPr>
        <w:drawing>
          <wp:inline distT="0" distB="0" distL="0" distR="0" wp14:anchorId="10CB2D5C" wp14:editId="182BFF16">
            <wp:extent cx="5939790" cy="2411095"/>
            <wp:effectExtent l="0" t="0" r="0" b="0"/>
            <wp:docPr id="1868016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01624"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9790" cy="2411095"/>
                    </a:xfrm>
                    <a:prstGeom prst="rect">
                      <a:avLst/>
                    </a:prstGeom>
                    <a:noFill/>
                    <a:ln>
                      <a:noFill/>
                    </a:ln>
                  </pic:spPr>
                </pic:pic>
              </a:graphicData>
            </a:graphic>
          </wp:inline>
        </w:drawing>
      </w:r>
    </w:p>
    <w:p w14:paraId="51B86F95" w14:textId="77777777" w:rsidR="00EB1697" w:rsidRPr="008B13A5" w:rsidRDefault="00EB1697" w:rsidP="00EB1697">
      <w:pPr>
        <w:spacing w:after="0"/>
        <w:rPr>
          <w:b/>
          <w:bCs/>
          <w:noProof/>
          <w:szCs w:val="22"/>
        </w:rPr>
      </w:pPr>
      <w:r w:rsidRPr="008B13A5">
        <w:rPr>
          <w:b/>
          <w:bCs/>
          <w:noProof/>
          <w:szCs w:val="22"/>
        </w:rPr>
        <w:t>Figure 7. Areas for further Union action (sum of strongly agree + agree)</w:t>
      </w:r>
    </w:p>
    <w:p w14:paraId="15FA8E4F" w14:textId="579CB6E8" w:rsidR="00EB1697" w:rsidRPr="008B13A5" w:rsidRDefault="00EB1697" w:rsidP="00EB1697">
      <w:pPr>
        <w:rPr>
          <w:i/>
          <w:iCs/>
          <w:noProof/>
          <w:color w:val="000000"/>
          <w:sz w:val="20"/>
          <w:szCs w:val="18"/>
        </w:rPr>
      </w:pPr>
      <w:r w:rsidRPr="008B13A5">
        <w:rPr>
          <w:i/>
          <w:iCs/>
          <w:noProof/>
          <w:color w:val="000000"/>
          <w:sz w:val="20"/>
          <w:szCs w:val="18"/>
        </w:rPr>
        <w:t>Source: Consolidated public consultation of the review of the Chips Act, September–November 2025, Question 34.</w:t>
      </w:r>
    </w:p>
    <w:p w14:paraId="2F96F0ED" w14:textId="3D3B34C9" w:rsidR="00F8618D" w:rsidRPr="008B13A5" w:rsidRDefault="00F8618D" w:rsidP="00F8618D">
      <w:pPr>
        <w:rPr>
          <w:noProof/>
          <w:color w:val="000000"/>
          <w:szCs w:val="22"/>
        </w:rPr>
      </w:pPr>
      <w:r w:rsidRPr="008B13A5">
        <w:rPr>
          <w:noProof/>
          <w:color w:val="000000"/>
          <w:szCs w:val="22"/>
        </w:rPr>
        <w:t>Position papers provide detailed recommendations for a potential Chips Act 2.0. The core message is that the next phase requires strategic transformation rather than incremental adjustment, moving from a crisis-response instrument to a comprehensive industrial strategy aligned with European demand and competitive positioning.</w:t>
      </w:r>
    </w:p>
    <w:p w14:paraId="4CA574E9" w14:textId="6346CCC4" w:rsidR="00F8618D" w:rsidRPr="008B13A5" w:rsidRDefault="00F8618D" w:rsidP="00F8618D">
      <w:pPr>
        <w:rPr>
          <w:noProof/>
          <w:color w:val="000000"/>
          <w:szCs w:val="22"/>
        </w:rPr>
      </w:pPr>
      <w:r w:rsidRPr="008B13A5">
        <w:rPr>
          <w:b/>
          <w:bCs/>
          <w:noProof/>
          <w:color w:val="000000"/>
          <w:szCs w:val="22"/>
        </w:rPr>
        <w:t>Design capabilities</w:t>
      </w:r>
      <w:r w:rsidRPr="008B13A5">
        <w:rPr>
          <w:noProof/>
          <w:color w:val="000000"/>
          <w:szCs w:val="22"/>
        </w:rPr>
        <w:t xml:space="preserve"> emerge as one of the most frequently referenced priorities, particularly among supply-chain actors, with proposals for dedicated support to the fabless sector, investment in open-source architectures, and processor development. Stakeholders also call for targeted support for quantum computing, AI chips, and other emerging technologies. Pilot line expansion and lab-to-fab pathways received particular emphasis from RTOs and user industries, building on the recognised success of Pillar I activities. Stakeholders call for enhanced pilot line infrastructure and clearer pathways from research to industrial production across different technology readiness levels.</w:t>
      </w:r>
    </w:p>
    <w:p w14:paraId="74CE43BE" w14:textId="77777777" w:rsidR="00F8618D" w:rsidRPr="008B13A5" w:rsidRDefault="00F8618D" w:rsidP="00F8618D">
      <w:pPr>
        <w:rPr>
          <w:noProof/>
          <w:color w:val="000000"/>
          <w:szCs w:val="22"/>
        </w:rPr>
      </w:pPr>
      <w:r w:rsidRPr="008B13A5">
        <w:rPr>
          <w:b/>
          <w:bCs/>
          <w:noProof/>
          <w:color w:val="000000"/>
          <w:szCs w:val="22"/>
        </w:rPr>
        <w:t>Scope expansion</w:t>
      </w:r>
      <w:r w:rsidRPr="008B13A5">
        <w:rPr>
          <w:noProof/>
          <w:color w:val="000000"/>
          <w:szCs w:val="22"/>
        </w:rPr>
        <w:t xml:space="preserve"> beyond front-end chip manufacturing to encompass the full electronics value chain received strong emphasis, particularly from business associations. Respondents underlined the need to widen the FOAK definition under Pillar II to better support the broader semiconductor supply chain and address gaps in PCBs and back-end manufacturing.</w:t>
      </w:r>
    </w:p>
    <w:p w14:paraId="73CD06D4" w14:textId="431E19BD" w:rsidR="00F8618D" w:rsidRPr="008B13A5" w:rsidRDefault="00F8618D" w:rsidP="00737D3D">
      <w:pPr>
        <w:rPr>
          <w:noProof/>
          <w:color w:val="000000"/>
          <w:szCs w:val="22"/>
        </w:rPr>
      </w:pPr>
      <w:r w:rsidRPr="008B13A5">
        <w:rPr>
          <w:b/>
          <w:bCs/>
          <w:noProof/>
        </w:rPr>
        <w:t>Governance and funding reforms</w:t>
      </w:r>
      <w:r w:rsidRPr="008B13A5">
        <w:rPr>
          <w:noProof/>
        </w:rPr>
        <w:t xml:space="preserve"> feature prominently across stakeholder groups. Proposals include dedicated leadership positions, streamlined procedures through one-stop-shop mechanisms, and strengthened dialogue between policymakers and the European electronics ecosystem. On funding, stakeholders call for structural changes including, consolidated budgets to ensure consistency, dedicated EU budget lines for semiconductors in the next Multiannual Financial Framework and tax incentives to enhance investment attractiveness.</w:t>
      </w:r>
    </w:p>
    <w:p w14:paraId="1B8BDD92" w14:textId="0697C7F3" w:rsidR="00F8618D" w:rsidRPr="008B13A5" w:rsidRDefault="00F8618D" w:rsidP="009712FE">
      <w:pPr>
        <w:pStyle w:val="Heading1"/>
        <w:rPr>
          <w:noProof/>
          <w:szCs w:val="22"/>
        </w:rPr>
      </w:pPr>
      <w:bookmarkStart w:id="35" w:name="_Toc223620585"/>
      <w:bookmarkStart w:id="36" w:name="_Toc230010370"/>
      <w:r w:rsidRPr="008B13A5">
        <w:rPr>
          <w:noProof/>
        </w:rPr>
        <w:t>Summarised results of the call for evidence</w:t>
      </w:r>
      <w:bookmarkEnd w:id="35"/>
      <w:bookmarkEnd w:id="36"/>
    </w:p>
    <w:p w14:paraId="5FBFD978" w14:textId="68E72AB0" w:rsidR="00F8618D" w:rsidRPr="008B13A5" w:rsidRDefault="00F8618D" w:rsidP="00F8618D">
      <w:pPr>
        <w:rPr>
          <w:noProof/>
          <w:color w:val="000000"/>
          <w:szCs w:val="22"/>
        </w:rPr>
      </w:pPr>
      <w:r w:rsidRPr="008B13A5">
        <w:rPr>
          <w:noProof/>
          <w:color w:val="000000"/>
          <w:szCs w:val="22"/>
        </w:rPr>
        <w:t xml:space="preserve">The call for evidence was conducted in parallel with the public consultation from </w:t>
      </w:r>
      <w:r w:rsidRPr="008B13A5">
        <w:rPr>
          <w:b/>
          <w:bCs/>
          <w:noProof/>
          <w:color w:val="000000"/>
          <w:szCs w:val="22"/>
        </w:rPr>
        <w:t>5 September 2025 to 28 November 2025</w:t>
      </w:r>
      <w:r w:rsidRPr="008B13A5">
        <w:rPr>
          <w:noProof/>
          <w:color w:val="000000"/>
          <w:szCs w:val="22"/>
        </w:rPr>
        <w:t xml:space="preserve">. Stakeholders were invited to provide open-text responses as well as position papers. In total, </w:t>
      </w:r>
      <w:r w:rsidRPr="008B13A5">
        <w:rPr>
          <w:b/>
          <w:bCs/>
          <w:noProof/>
          <w:color w:val="000000"/>
          <w:szCs w:val="22"/>
        </w:rPr>
        <w:t>209 responses</w:t>
      </w:r>
      <w:r w:rsidRPr="008B13A5">
        <w:rPr>
          <w:noProof/>
          <w:color w:val="000000"/>
          <w:szCs w:val="22"/>
        </w:rPr>
        <w:t xml:space="preserve"> were received, including 85 position papers. All inputs were analysed using a hybrid approach combining LLM-driven topic modelling with expert human validation.</w:t>
      </w:r>
    </w:p>
    <w:p w14:paraId="5E06A99B" w14:textId="2A9605D5" w:rsidR="00F8618D" w:rsidRPr="008B13A5" w:rsidRDefault="00F8618D" w:rsidP="00F8618D">
      <w:pPr>
        <w:rPr>
          <w:noProof/>
          <w:color w:val="000000"/>
          <w:szCs w:val="22"/>
        </w:rPr>
      </w:pPr>
      <w:r w:rsidRPr="008B13A5">
        <w:rPr>
          <w:noProof/>
          <w:color w:val="000000"/>
          <w:szCs w:val="22"/>
        </w:rPr>
        <w:t>The public consultation was answered predominantly by</w:t>
      </w:r>
      <w:r w:rsidRPr="008B13A5">
        <w:rPr>
          <w:b/>
          <w:bCs/>
          <w:noProof/>
          <w:color w:val="000000"/>
          <w:szCs w:val="22"/>
        </w:rPr>
        <w:t xml:space="preserve"> organisations</w:t>
      </w:r>
      <w:r w:rsidRPr="008B13A5">
        <w:rPr>
          <w:noProof/>
          <w:color w:val="000000"/>
          <w:szCs w:val="22"/>
        </w:rPr>
        <w:t xml:space="preserve"> (87%, 181/209), with individual citizen respondents comprising 13% (28/209). The largest stakeholder groups were companies/businesses (32%, 66/209), academic/research institutions (26%, 55/209), and business associations (15%, 31/209), followed by NGOs (5%, 10/209), other stakeholders including consumer organisations and trade unions (6%, 12/209), and public authorities (3%, 7/209). Most responding organisations were large enterprises with 250 or more employees (52%, 94/181), though medium (18%, 32/181), small (16%, 29/181), and micro enterprises (14%, 26/181) were also represented.</w:t>
      </w:r>
    </w:p>
    <w:p w14:paraId="40A5976B" w14:textId="374A9751" w:rsidR="00F8618D" w:rsidRPr="008B13A5" w:rsidRDefault="00F8618D" w:rsidP="00F8618D">
      <w:pPr>
        <w:rPr>
          <w:noProof/>
          <w:color w:val="000000"/>
          <w:szCs w:val="22"/>
        </w:rPr>
      </w:pPr>
      <w:r w:rsidRPr="008B13A5">
        <w:rPr>
          <w:noProof/>
          <w:color w:val="000000"/>
          <w:szCs w:val="22"/>
        </w:rPr>
        <w:t xml:space="preserve">Geographically, responses came predominantly from </w:t>
      </w:r>
      <w:r w:rsidRPr="008B13A5">
        <w:rPr>
          <w:b/>
          <w:bCs/>
          <w:noProof/>
          <w:color w:val="000000"/>
          <w:szCs w:val="22"/>
        </w:rPr>
        <w:t>EU Member States</w:t>
      </w:r>
      <w:r w:rsidRPr="008B13A5">
        <w:rPr>
          <w:noProof/>
          <w:color w:val="000000"/>
          <w:szCs w:val="22"/>
        </w:rPr>
        <w:t xml:space="preserve"> (90%, 188/209), with Germany contributing the highest number (41), followed by France (31), Belgium (21), Spain (19), and Italy (17). Non-EU participation totalled 21 responses, primarily from Switzerland (5), the United Kingdom (5), and the United States (4).</w:t>
      </w:r>
    </w:p>
    <w:p w14:paraId="2BAEC43B" w14:textId="4C432032" w:rsidR="00F8618D" w:rsidRPr="008B13A5" w:rsidRDefault="00F8618D" w:rsidP="009712FE">
      <w:pPr>
        <w:pStyle w:val="Heading2"/>
        <w:rPr>
          <w:noProof/>
          <w:szCs w:val="22"/>
        </w:rPr>
      </w:pPr>
      <w:bookmarkStart w:id="37" w:name="_Toc223620586"/>
      <w:bookmarkStart w:id="38" w:name="_Toc230010371"/>
      <w:r w:rsidRPr="008B13A5">
        <w:rPr>
          <w:noProof/>
        </w:rPr>
        <w:t>Effectiveness</w:t>
      </w:r>
      <w:bookmarkEnd w:id="37"/>
      <w:bookmarkEnd w:id="38"/>
      <w:r w:rsidR="00F274DD" w:rsidRPr="00BD008E">
        <w:rPr>
          <w:noProof/>
        </w:rPr>
        <w:t xml:space="preserve"> </w:t>
      </w:r>
    </w:p>
    <w:p w14:paraId="6AAAD589" w14:textId="2E50981C" w:rsidR="00F8618D" w:rsidRPr="008B13A5" w:rsidRDefault="00F8618D" w:rsidP="00F8618D">
      <w:pPr>
        <w:rPr>
          <w:noProof/>
          <w:color w:val="000000"/>
          <w:szCs w:val="22"/>
        </w:rPr>
      </w:pPr>
      <w:r w:rsidRPr="008B13A5">
        <w:rPr>
          <w:noProof/>
          <w:color w:val="000000"/>
          <w:szCs w:val="22"/>
        </w:rPr>
        <w:t>Responses and position papers present a nuanced view of the Chips Act</w:t>
      </w:r>
      <w:r w:rsidR="00497125" w:rsidRPr="008B13A5">
        <w:rPr>
          <w:noProof/>
          <w:color w:val="000000"/>
          <w:szCs w:val="22"/>
        </w:rPr>
        <w:t>’</w:t>
      </w:r>
      <w:r w:rsidRPr="008B13A5">
        <w:rPr>
          <w:noProof/>
          <w:color w:val="000000"/>
          <w:szCs w:val="22"/>
        </w:rPr>
        <w:t xml:space="preserve">s effectiveness. The Act is widely credited with </w:t>
      </w:r>
      <w:r w:rsidRPr="008B13A5">
        <w:rPr>
          <w:b/>
          <w:bCs/>
          <w:noProof/>
          <w:color w:val="000000"/>
          <w:szCs w:val="22"/>
        </w:rPr>
        <w:t>generating political attention, mobilising substantial investment, and establishing foundational infrastructure</w:t>
      </w:r>
      <w:r w:rsidRPr="008B13A5">
        <w:rPr>
          <w:noProof/>
          <w:color w:val="000000"/>
          <w:szCs w:val="22"/>
        </w:rPr>
        <w:t>, while stakeholders also identify areas where further progress is needed to achieve intended targets.</w:t>
      </w:r>
    </w:p>
    <w:p w14:paraId="36CEDB43" w14:textId="564D6EDD" w:rsidR="00F8618D" w:rsidRPr="008B13A5" w:rsidRDefault="00F8618D" w:rsidP="00737D3D">
      <w:pPr>
        <w:rPr>
          <w:noProof/>
          <w:szCs w:val="22"/>
        </w:rPr>
      </w:pPr>
      <w:r w:rsidRPr="008B13A5">
        <w:rPr>
          <w:noProof/>
        </w:rPr>
        <w:t xml:space="preserve">On </w:t>
      </w:r>
      <w:r w:rsidRPr="008B13A5">
        <w:rPr>
          <w:b/>
          <w:noProof/>
        </w:rPr>
        <w:t>investment and strategic vulnerabilities</w:t>
      </w:r>
      <w:r w:rsidRPr="008B13A5">
        <w:rPr>
          <w:noProof/>
        </w:rPr>
        <w:t>, stakeholders acknowledge substantial investment announcements but question whether current volumes are sufficient to shift Europe</w:t>
      </w:r>
      <w:r w:rsidR="00497125" w:rsidRPr="008B13A5">
        <w:rPr>
          <w:noProof/>
        </w:rPr>
        <w:t>’</w:t>
      </w:r>
      <w:r w:rsidRPr="008B13A5">
        <w:rPr>
          <w:noProof/>
        </w:rPr>
        <w:t xml:space="preserve">s competitive position. Dependence on external suppliers, particularly for advanced nodes, is seen as a continuing area requiring attention. Regarding </w:t>
      </w:r>
      <w:r w:rsidRPr="008B13A5">
        <w:rPr>
          <w:b/>
          <w:noProof/>
        </w:rPr>
        <w:t>specific pillars</w:t>
      </w:r>
      <w:r w:rsidRPr="008B13A5">
        <w:rPr>
          <w:noProof/>
        </w:rPr>
        <w:t xml:space="preserve">, Pillar III monitoring mechanisms are seen as requiring further development to deliver effective supply chain visibility. For Pillars I and II, stakeholders identify considerations related to technology readiness level coverage and project execution. While Pillar I is credited with tangible achievements, the lab-to-fab transition remains an area for improvement, with respondents calling for stronger mechanisms to translate research excellence into industrial-scale production. Several </w:t>
      </w:r>
      <w:r w:rsidRPr="008B13A5">
        <w:rPr>
          <w:b/>
          <w:noProof/>
        </w:rPr>
        <w:t>cross-cutting enablers</w:t>
      </w:r>
      <w:r w:rsidRPr="008B13A5">
        <w:rPr>
          <w:noProof/>
        </w:rPr>
        <w:t xml:space="preserve"> emerge. Respondents stress that infrastructure investments should be matched with sustained human-capital development, with academic institutions underscoring the interdependence between skills, research, and industrial capability. Stakeholders also emphasise that improved accessibility and distribution of support instruments would help maximise the Act</w:t>
      </w:r>
      <w:r w:rsidR="00497125" w:rsidRPr="008B13A5">
        <w:rPr>
          <w:noProof/>
        </w:rPr>
        <w:t>’</w:t>
      </w:r>
      <w:r w:rsidRPr="008B13A5">
        <w:rPr>
          <w:noProof/>
        </w:rPr>
        <w:t xml:space="preserve">s </w:t>
      </w:r>
      <w:r w:rsidRPr="008B13A5">
        <w:rPr>
          <w:noProof/>
          <w:szCs w:val="22"/>
        </w:rPr>
        <w:t>effectiveness, particularly for SMEs and start-ups.</w:t>
      </w:r>
    </w:p>
    <w:p w14:paraId="38BE61CC" w14:textId="34546A9D" w:rsidR="00F8618D" w:rsidRPr="008B13A5" w:rsidRDefault="00F8618D" w:rsidP="009712FE">
      <w:pPr>
        <w:pStyle w:val="Heading2"/>
        <w:rPr>
          <w:noProof/>
          <w:szCs w:val="22"/>
        </w:rPr>
      </w:pPr>
      <w:bookmarkStart w:id="39" w:name="_Toc223620587"/>
      <w:bookmarkStart w:id="40" w:name="_Toc230010372"/>
      <w:r w:rsidRPr="008B13A5">
        <w:rPr>
          <w:noProof/>
        </w:rPr>
        <w:t>Efficiency</w:t>
      </w:r>
      <w:bookmarkEnd w:id="39"/>
      <w:bookmarkEnd w:id="40"/>
      <w:r w:rsidR="00F274DD" w:rsidRPr="008B13A5">
        <w:rPr>
          <w:noProof/>
        </w:rPr>
        <w:t xml:space="preserve"> </w:t>
      </w:r>
    </w:p>
    <w:p w14:paraId="79646FB2" w14:textId="77777777" w:rsidR="00F8618D" w:rsidRPr="008B13A5" w:rsidRDefault="00F8618D" w:rsidP="00F8618D">
      <w:pPr>
        <w:rPr>
          <w:noProof/>
          <w:color w:val="000000"/>
          <w:szCs w:val="22"/>
        </w:rPr>
      </w:pPr>
      <w:r w:rsidRPr="008B13A5">
        <w:rPr>
          <w:noProof/>
          <w:color w:val="000000"/>
          <w:szCs w:val="22"/>
        </w:rPr>
        <w:t xml:space="preserve">Responses addressing this criterion primarily focus on </w:t>
      </w:r>
      <w:r w:rsidRPr="008B13A5">
        <w:rPr>
          <w:b/>
          <w:bCs/>
          <w:noProof/>
          <w:color w:val="000000"/>
          <w:szCs w:val="22"/>
        </w:rPr>
        <w:t>procedural complexity and approval timescales across Chips Act instruments</w:t>
      </w:r>
      <w:r w:rsidRPr="008B13A5">
        <w:rPr>
          <w:noProof/>
          <w:color w:val="000000"/>
          <w:szCs w:val="22"/>
        </w:rPr>
        <w:t>. Stakeholders across groups identify lengthy approval timelines, administrative burdens, fragmented approaches between EU and national levels, and implementation capacity constraints as areas for improvement.</w:t>
      </w:r>
    </w:p>
    <w:p w14:paraId="63E7FB5B" w14:textId="2FEB8545" w:rsidR="00F8618D" w:rsidRPr="008B13A5" w:rsidRDefault="00F8618D" w:rsidP="00737D3D">
      <w:pPr>
        <w:rPr>
          <w:noProof/>
          <w:szCs w:val="22"/>
        </w:rPr>
      </w:pPr>
      <w:r w:rsidRPr="008B13A5">
        <w:rPr>
          <w:b/>
          <w:noProof/>
          <w:szCs w:val="22"/>
        </w:rPr>
        <w:t>Approval</w:t>
      </w:r>
      <w:r w:rsidRPr="008B13A5">
        <w:rPr>
          <w:b/>
          <w:bCs/>
          <w:noProof/>
          <w:szCs w:val="22"/>
        </w:rPr>
        <w:t xml:space="preserve"> speed</w:t>
      </w:r>
      <w:r w:rsidRPr="008B13A5">
        <w:rPr>
          <w:noProof/>
          <w:szCs w:val="22"/>
        </w:rPr>
        <w:t xml:space="preserve"> emerges as a prominent concern, with stakeholders noting that European timelines compare unfavourably with other semiconductor-producing regions. These concerns centre particularly on Pillar II instruments, where state aid procedures are seen as lengthy relative to the pace required for timely support, as noted by business associations including DIGITALEUROPE, SEMI Europe, and ESIA. The Important Projects of Common European Interest (IPCEI) mechanism is recognised as important for mobilising large-scale investment, though approval processes are seen as an area for streamlining. </w:t>
      </w:r>
      <w:r w:rsidRPr="008B13A5">
        <w:rPr>
          <w:b/>
          <w:bCs/>
          <w:noProof/>
          <w:szCs w:val="22"/>
        </w:rPr>
        <w:t>Administrative burden</w:t>
      </w:r>
      <w:r w:rsidRPr="008B13A5">
        <w:rPr>
          <w:noProof/>
          <w:szCs w:val="22"/>
        </w:rPr>
        <w:t xml:space="preserve"> is closely related. Companies in particular identify multiple sources including complex application procedures and demanding reporting requirements, with smaller companies noting that these pose particular challenges for SMEs and start-ups. For Pillar I, stakeholders call for simpler access mechanisms to the Chips Fund and pilot lines, while for Pillar III, respondents emphasise the need to balance supply chain visibility against reporting burden considerations. </w:t>
      </w:r>
      <w:r w:rsidRPr="008B13A5">
        <w:rPr>
          <w:b/>
          <w:bCs/>
          <w:noProof/>
          <w:szCs w:val="22"/>
        </w:rPr>
        <w:t>Fragmentation</w:t>
      </w:r>
      <w:r w:rsidRPr="008B13A5">
        <w:rPr>
          <w:noProof/>
          <w:szCs w:val="22"/>
        </w:rPr>
        <w:t xml:space="preserve"> between EU and national procedures is also identified, with respondents describing parallel processes, inconsistent requirements across Member States, and unclear coordination mechanisms.</w:t>
      </w:r>
    </w:p>
    <w:p w14:paraId="55A2BC88" w14:textId="037698C5" w:rsidR="00F8618D" w:rsidRPr="008B13A5" w:rsidRDefault="00F8618D" w:rsidP="009712FE">
      <w:pPr>
        <w:pStyle w:val="Heading2"/>
        <w:rPr>
          <w:noProof/>
          <w:szCs w:val="22"/>
        </w:rPr>
      </w:pPr>
      <w:bookmarkStart w:id="41" w:name="_Toc223620588"/>
      <w:bookmarkStart w:id="42" w:name="_Toc230010373"/>
      <w:r w:rsidRPr="008B13A5">
        <w:rPr>
          <w:noProof/>
        </w:rPr>
        <w:t>Coherence</w:t>
      </w:r>
      <w:bookmarkEnd w:id="41"/>
      <w:bookmarkEnd w:id="42"/>
      <w:r w:rsidR="00F274DD" w:rsidRPr="008B13A5">
        <w:rPr>
          <w:noProof/>
        </w:rPr>
        <w:t xml:space="preserve"> </w:t>
      </w:r>
    </w:p>
    <w:p w14:paraId="6046CCEC" w14:textId="77777777" w:rsidR="00F8618D" w:rsidRPr="008B13A5" w:rsidRDefault="00F8618D" w:rsidP="00F8618D">
      <w:pPr>
        <w:rPr>
          <w:noProof/>
          <w:color w:val="000000"/>
          <w:szCs w:val="22"/>
        </w:rPr>
      </w:pPr>
      <w:r w:rsidRPr="008B13A5">
        <w:rPr>
          <w:noProof/>
          <w:color w:val="000000"/>
          <w:szCs w:val="22"/>
        </w:rPr>
        <w:t>Respondents identify coherence as a multi-dimensional criterion spanning internal pillar integration, external policy alignment, and coordination across governance levels – themes that closely mirror those highlighted in the public consultation.</w:t>
      </w:r>
    </w:p>
    <w:p w14:paraId="0B202631" w14:textId="66F857A2" w:rsidR="00F8618D" w:rsidRPr="008B13A5" w:rsidRDefault="00F8618D" w:rsidP="0099571F">
      <w:pPr>
        <w:rPr>
          <w:noProof/>
          <w:szCs w:val="22"/>
        </w:rPr>
      </w:pPr>
      <w:r w:rsidRPr="008B13A5">
        <w:rPr>
          <w:b/>
          <w:noProof/>
          <w:szCs w:val="22"/>
        </w:rPr>
        <w:t>Internally</w:t>
      </w:r>
      <w:r w:rsidRPr="008B13A5">
        <w:rPr>
          <w:noProof/>
          <w:szCs w:val="22"/>
        </w:rPr>
        <w:t xml:space="preserve">, stakeholders identify scope for stronger alignment between Pillar I innovation activities and Pillar II manufacturing support through dedicated bridging mechanisms to ensure that innovation outputs from pilot lines translate into European manufacturing capabilities. </w:t>
      </w:r>
      <w:r w:rsidRPr="008B13A5">
        <w:rPr>
          <w:b/>
          <w:bCs/>
          <w:noProof/>
          <w:szCs w:val="22"/>
        </w:rPr>
        <w:t>Externally</w:t>
      </w:r>
      <w:r w:rsidRPr="008B13A5">
        <w:rPr>
          <w:noProof/>
          <w:szCs w:val="22"/>
        </w:rPr>
        <w:t xml:space="preserve">, respondents see room for stronger coordination with other EU frameworks such as the AI Act, the Quantum Act, and the Cyber Resilience Act. Stakeholders call for explicit integration between semiconductor policy and broader digital strategies, as well as alignment with defence-industrial policy and economic security frameworks. Coordination across EU, national, and regional governance levels could be strengthened by streamlining funding streams, aligning national approaches, and enhancing central coordination. Reference is made to the European Semiconductor Board as a mechanism to support such alignment. Alignment with </w:t>
      </w:r>
      <w:r w:rsidRPr="008B13A5">
        <w:rPr>
          <w:b/>
          <w:bCs/>
          <w:noProof/>
          <w:szCs w:val="22"/>
        </w:rPr>
        <w:t>Green Deal objectives</w:t>
      </w:r>
      <w:r w:rsidRPr="008B13A5">
        <w:rPr>
          <w:noProof/>
          <w:szCs w:val="22"/>
        </w:rPr>
        <w:t xml:space="preserve"> presents both synergies and considerations. Stakeholders recognise semiconductors as key enablers of the green and digital transitions, viewing the Chips Act as an opportunity to support greater circularity, energy efficiency, and sustainable manufacturing. At the same time, some respondents note that future iterations should address the relationship between environmental and industrial policy objectives.</w:t>
      </w:r>
    </w:p>
    <w:p w14:paraId="6B65D41B" w14:textId="44030C21" w:rsidR="00F8618D" w:rsidRPr="008B13A5" w:rsidRDefault="00F8618D" w:rsidP="009712FE">
      <w:pPr>
        <w:pStyle w:val="Heading2"/>
        <w:rPr>
          <w:noProof/>
          <w:szCs w:val="22"/>
        </w:rPr>
      </w:pPr>
      <w:bookmarkStart w:id="43" w:name="_Toc223620589"/>
      <w:bookmarkStart w:id="44" w:name="_Toc230010374"/>
      <w:r w:rsidRPr="008B13A5">
        <w:rPr>
          <w:noProof/>
        </w:rPr>
        <w:t>EU added value</w:t>
      </w:r>
      <w:bookmarkEnd w:id="43"/>
      <w:bookmarkEnd w:id="44"/>
      <w:r w:rsidR="00F274DD" w:rsidRPr="008B13A5">
        <w:rPr>
          <w:noProof/>
        </w:rPr>
        <w:t xml:space="preserve"> </w:t>
      </w:r>
    </w:p>
    <w:p w14:paraId="3C86F364" w14:textId="2CDA6392" w:rsidR="00F8618D" w:rsidRPr="008B13A5" w:rsidRDefault="00F8618D" w:rsidP="00F8618D">
      <w:pPr>
        <w:rPr>
          <w:noProof/>
          <w:color w:val="000000"/>
          <w:szCs w:val="22"/>
        </w:rPr>
      </w:pPr>
      <w:r w:rsidRPr="008B13A5">
        <w:rPr>
          <w:noProof/>
          <w:color w:val="000000"/>
          <w:szCs w:val="22"/>
        </w:rPr>
        <w:t xml:space="preserve">The key theme across responses is a </w:t>
      </w:r>
      <w:r w:rsidRPr="008B13A5">
        <w:rPr>
          <w:b/>
          <w:bCs/>
          <w:noProof/>
          <w:color w:val="000000"/>
          <w:szCs w:val="22"/>
        </w:rPr>
        <w:t>strong affirmation that EU-level action delivers benefits unattainable through national efforts alone</w:t>
      </w:r>
      <w:r w:rsidRPr="008B13A5">
        <w:rPr>
          <w:noProof/>
          <w:color w:val="000000"/>
          <w:szCs w:val="22"/>
        </w:rPr>
        <w:t>. Stakeholders consistently point to scale and critical mass, reduced fragmentation through coordinated action, and shared cross-border infrastructure as core sources of EU added value.</w:t>
      </w:r>
    </w:p>
    <w:p w14:paraId="2034063E" w14:textId="07820F22" w:rsidR="00F8618D" w:rsidRPr="008B13A5" w:rsidRDefault="00F8618D" w:rsidP="00737D3D">
      <w:pPr>
        <w:rPr>
          <w:noProof/>
          <w:szCs w:val="22"/>
        </w:rPr>
      </w:pPr>
      <w:r w:rsidRPr="008B13A5">
        <w:rPr>
          <w:noProof/>
        </w:rPr>
        <w:t>A central element is Europe</w:t>
      </w:r>
      <w:r w:rsidR="00497125" w:rsidRPr="008B13A5">
        <w:rPr>
          <w:noProof/>
        </w:rPr>
        <w:t>’</w:t>
      </w:r>
      <w:r w:rsidRPr="008B13A5">
        <w:rPr>
          <w:noProof/>
        </w:rPr>
        <w:t xml:space="preserve">s ability to </w:t>
      </w:r>
      <w:r w:rsidRPr="008B13A5">
        <w:rPr>
          <w:b/>
          <w:noProof/>
        </w:rPr>
        <w:t>achieve critical mass in investments</w:t>
      </w:r>
      <w:r w:rsidRPr="008B13A5">
        <w:rPr>
          <w:noProof/>
        </w:rPr>
        <w:t xml:space="preserve"> that no individual Member State could sustain. Stakeholders emphasise that the semiconductor sector</w:t>
      </w:r>
      <w:r w:rsidR="00497125" w:rsidRPr="008B13A5">
        <w:rPr>
          <w:noProof/>
        </w:rPr>
        <w:t>’</w:t>
      </w:r>
      <w:r w:rsidRPr="008B13A5">
        <w:rPr>
          <w:noProof/>
        </w:rPr>
        <w:t xml:space="preserve">s </w:t>
      </w:r>
      <w:r w:rsidRPr="008B13A5">
        <w:rPr>
          <w:noProof/>
          <w:szCs w:val="22"/>
        </w:rPr>
        <w:t xml:space="preserve">capital intensity and global competitive dynamics require pooled European resources. Coordination is viewed as equally important, with fragmented national approaches identified as a risk that EU-level action can help mitigate. Stakeholders, particularly academic and research institutions, highlight </w:t>
      </w:r>
      <w:r w:rsidRPr="008B13A5">
        <w:rPr>
          <w:b/>
          <w:bCs/>
          <w:noProof/>
          <w:szCs w:val="22"/>
        </w:rPr>
        <w:t>shared infrastructure</w:t>
      </w:r>
      <w:r w:rsidRPr="008B13A5">
        <w:rPr>
          <w:noProof/>
          <w:szCs w:val="22"/>
        </w:rPr>
        <w:t xml:space="preserve"> such as pilot lines and research facilities under Pillar I as concrete examples of EU added value. Distributed manufacturing networks under Pillar III are viewed as requiring EU-level coordination to achieve both economic efficiency and crisis resilience. Citizens and NGOs tend to frame EU added value in terms of </w:t>
      </w:r>
      <w:r w:rsidRPr="008B13A5">
        <w:rPr>
          <w:b/>
          <w:bCs/>
          <w:noProof/>
          <w:szCs w:val="22"/>
        </w:rPr>
        <w:t>collective resilience and geopolitical positioning</w:t>
      </w:r>
      <w:r w:rsidRPr="008B13A5">
        <w:rPr>
          <w:noProof/>
          <w:szCs w:val="22"/>
        </w:rPr>
        <w:t xml:space="preserve">, while public authorities emphasise that EU added value emerges from </w:t>
      </w:r>
      <w:r w:rsidRPr="008B13A5">
        <w:rPr>
          <w:b/>
          <w:bCs/>
          <w:noProof/>
          <w:szCs w:val="22"/>
        </w:rPr>
        <w:t>connecting regional ecosystems into interregional networks</w:t>
      </w:r>
      <w:r w:rsidRPr="008B13A5">
        <w:rPr>
          <w:noProof/>
          <w:szCs w:val="22"/>
        </w:rPr>
        <w:t xml:space="preserve"> and leveraging local strengths within a coherent EU framework.</w:t>
      </w:r>
    </w:p>
    <w:p w14:paraId="06E033DF" w14:textId="6B53A286" w:rsidR="00F8618D" w:rsidRPr="008B13A5" w:rsidRDefault="00F8618D" w:rsidP="009712FE">
      <w:pPr>
        <w:pStyle w:val="Heading2"/>
        <w:rPr>
          <w:noProof/>
          <w:szCs w:val="22"/>
        </w:rPr>
      </w:pPr>
      <w:bookmarkStart w:id="45" w:name="_Toc223620590"/>
      <w:bookmarkStart w:id="46" w:name="_Toc230010375"/>
      <w:r w:rsidRPr="008B13A5">
        <w:rPr>
          <w:noProof/>
        </w:rPr>
        <w:t>Relevance</w:t>
      </w:r>
      <w:bookmarkEnd w:id="45"/>
      <w:bookmarkEnd w:id="46"/>
      <w:r w:rsidR="00F274DD" w:rsidRPr="008B13A5">
        <w:rPr>
          <w:noProof/>
        </w:rPr>
        <w:t xml:space="preserve"> </w:t>
      </w:r>
    </w:p>
    <w:p w14:paraId="6232A017" w14:textId="5B248422" w:rsidR="00F8618D" w:rsidRPr="008B13A5" w:rsidRDefault="00F8618D" w:rsidP="00F8618D">
      <w:pPr>
        <w:rPr>
          <w:noProof/>
          <w:color w:val="000000"/>
          <w:szCs w:val="22"/>
        </w:rPr>
      </w:pPr>
      <w:r w:rsidRPr="008B13A5">
        <w:rPr>
          <w:noProof/>
          <w:color w:val="000000"/>
          <w:szCs w:val="22"/>
        </w:rPr>
        <w:t xml:space="preserve">Stakeholders broadly agree that the Act </w:t>
      </w:r>
      <w:r w:rsidRPr="008B13A5">
        <w:rPr>
          <w:b/>
          <w:bCs/>
          <w:noProof/>
          <w:color w:val="000000"/>
          <w:szCs w:val="22"/>
        </w:rPr>
        <w:t>addresses the overarching challenge of semiconductor resilience and competitiveness but could more closely align solutions with sectoral needs</w:t>
      </w:r>
      <w:r w:rsidRPr="008B13A5">
        <w:rPr>
          <w:noProof/>
          <w:color w:val="000000"/>
          <w:szCs w:val="22"/>
        </w:rPr>
        <w:t>. Respondents highlight broader questions about whether the Act should shift from self-sufficiency toward indispensability, aligning policy more closely with demand-driven priorities.</w:t>
      </w:r>
    </w:p>
    <w:p w14:paraId="4B348765" w14:textId="50ADC6B3" w:rsidR="00F8618D" w:rsidRPr="008B13A5" w:rsidRDefault="00F8618D" w:rsidP="00737D3D">
      <w:pPr>
        <w:rPr>
          <w:noProof/>
          <w:szCs w:val="22"/>
        </w:rPr>
      </w:pPr>
      <w:r w:rsidRPr="008B13A5">
        <w:rPr>
          <w:noProof/>
        </w:rPr>
        <w:t xml:space="preserve">Across stakeholder categories, respondents identify an </w:t>
      </w:r>
      <w:r w:rsidRPr="008B13A5">
        <w:rPr>
          <w:b/>
          <w:noProof/>
        </w:rPr>
        <w:t>imbalance between support for leading-edge manufacturing and the needs of mature and mainstream nodes</w:t>
      </w:r>
      <w:r w:rsidRPr="008B13A5">
        <w:rPr>
          <w:noProof/>
        </w:rPr>
        <w:t xml:space="preserve"> where European industrial demand is concentrated. Academic and research institutions particularly emphasise that this imbalance </w:t>
      </w:r>
      <w:r w:rsidR="006C5509" w:rsidRPr="008B13A5">
        <w:rPr>
          <w:noProof/>
        </w:rPr>
        <w:t>“</w:t>
      </w:r>
      <w:r w:rsidRPr="008B13A5">
        <w:rPr>
          <w:noProof/>
        </w:rPr>
        <w:t>risks weakening Europe</w:t>
      </w:r>
      <w:r w:rsidR="00497125" w:rsidRPr="008B13A5">
        <w:rPr>
          <w:noProof/>
        </w:rPr>
        <w:t>’</w:t>
      </w:r>
      <w:r w:rsidRPr="008B13A5">
        <w:rPr>
          <w:noProof/>
        </w:rPr>
        <w:t>s competitive position in the mainstream segments where it already leads</w:t>
      </w:r>
      <w:r w:rsidR="006C5509" w:rsidRPr="008B13A5">
        <w:rPr>
          <w:noProof/>
        </w:rPr>
        <w:t>”</w:t>
      </w:r>
      <w:r w:rsidRPr="008B13A5">
        <w:rPr>
          <w:noProof/>
        </w:rPr>
        <w:t xml:space="preserve"> (European University Institute). Stakeholders also identify </w:t>
      </w:r>
      <w:r w:rsidRPr="008B13A5">
        <w:rPr>
          <w:b/>
          <w:noProof/>
        </w:rPr>
        <w:t>value-chain segments</w:t>
      </w:r>
      <w:r w:rsidRPr="008B13A5">
        <w:rPr>
          <w:noProof/>
        </w:rPr>
        <w:t xml:space="preserve"> that could benefit from greater attention, including advanced packaging and assembly, printed circuit boards, upstream materials and chemicals, and design capabilities. These observations intersect with Pillar II and the definition of FOAK facilities, with business associations calling for broader FOAK eligibility. Design emerges as the most frequently mentioned area, with stakeholders noting that the current manufacturing emphasis could be complemented by strengthened support for Europe</w:t>
      </w:r>
      <w:r w:rsidR="00497125" w:rsidRPr="008B13A5">
        <w:rPr>
          <w:noProof/>
        </w:rPr>
        <w:t>’</w:t>
      </w:r>
      <w:r w:rsidRPr="008B13A5">
        <w:rPr>
          <w:noProof/>
        </w:rPr>
        <w:t xml:space="preserve">s </w:t>
      </w:r>
      <w:r w:rsidRPr="008B13A5">
        <w:rPr>
          <w:noProof/>
          <w:szCs w:val="22"/>
        </w:rPr>
        <w:t xml:space="preserve">design ecosystem. Respondents further highlight the </w:t>
      </w:r>
      <w:r w:rsidRPr="008B13A5">
        <w:rPr>
          <w:b/>
          <w:bCs/>
          <w:noProof/>
          <w:szCs w:val="22"/>
        </w:rPr>
        <w:t>importance of balanced support distribution across stakeholder types</w:t>
      </w:r>
      <w:r w:rsidRPr="008B13A5">
        <w:rPr>
          <w:noProof/>
          <w:szCs w:val="22"/>
        </w:rPr>
        <w:t>, particularly in addressing barriers faced by SMEs, start-ups, and research institutions.</w:t>
      </w:r>
    </w:p>
    <w:p w14:paraId="393AFCE4" w14:textId="3D4BBEB4" w:rsidR="00F8618D" w:rsidRPr="008B13A5" w:rsidRDefault="00F8618D" w:rsidP="009712FE">
      <w:pPr>
        <w:pStyle w:val="Heading2"/>
        <w:rPr>
          <w:bCs/>
          <w:noProof/>
          <w:szCs w:val="22"/>
        </w:rPr>
      </w:pPr>
      <w:bookmarkStart w:id="47" w:name="_Toc223620591"/>
      <w:bookmarkStart w:id="48" w:name="_Toc230010376"/>
      <w:r w:rsidRPr="008B13A5">
        <w:rPr>
          <w:noProof/>
        </w:rPr>
        <w:t>Prospective</w:t>
      </w:r>
      <w:bookmarkEnd w:id="47"/>
      <w:bookmarkEnd w:id="48"/>
      <w:r w:rsidR="00F274DD" w:rsidRPr="008B13A5">
        <w:rPr>
          <w:noProof/>
        </w:rPr>
        <w:t xml:space="preserve"> </w:t>
      </w:r>
    </w:p>
    <w:p w14:paraId="27049072" w14:textId="25A7D47A" w:rsidR="00F8618D" w:rsidRPr="008B13A5" w:rsidRDefault="00F8618D" w:rsidP="00AA356A">
      <w:pPr>
        <w:rPr>
          <w:noProof/>
        </w:rPr>
      </w:pPr>
      <w:r w:rsidRPr="008B13A5">
        <w:rPr>
          <w:noProof/>
        </w:rPr>
        <w:t xml:space="preserve">Respondents provided comprehensive recommendations for a potential Chips Act 2.0, closely linked to the areas for improvement identified under the evaluation criteria and broadly aligned with themes emerging from the public consultation. A cross-cutting message is the need </w:t>
      </w:r>
      <w:r w:rsidRPr="008B13A5">
        <w:rPr>
          <w:b/>
          <w:noProof/>
        </w:rPr>
        <w:t>for sustained, long-term strategic commitment to achieve European semiconductor objectives</w:t>
      </w:r>
      <w:r w:rsidRPr="008B13A5">
        <w:rPr>
          <w:noProof/>
        </w:rPr>
        <w:t>.</w:t>
      </w:r>
    </w:p>
    <w:p w14:paraId="7526222E" w14:textId="290E1FC2" w:rsidR="00F8618D" w:rsidRPr="008B13A5" w:rsidRDefault="00F8618D" w:rsidP="00737D3D">
      <w:pPr>
        <w:rPr>
          <w:noProof/>
          <w:szCs w:val="22"/>
        </w:rPr>
      </w:pPr>
      <w:r w:rsidRPr="008B13A5">
        <w:rPr>
          <w:noProof/>
        </w:rPr>
        <w:t>On</w:t>
      </w:r>
      <w:r w:rsidRPr="008B13A5">
        <w:rPr>
          <w:noProof/>
          <w:szCs w:val="22"/>
        </w:rPr>
        <w:t xml:space="preserve"> </w:t>
      </w:r>
      <w:r w:rsidRPr="008B13A5">
        <w:rPr>
          <w:b/>
          <w:bCs/>
          <w:noProof/>
          <w:szCs w:val="22"/>
        </w:rPr>
        <w:t>funding</w:t>
      </w:r>
      <w:r w:rsidRPr="008B13A5">
        <w:rPr>
          <w:noProof/>
          <w:szCs w:val="22"/>
        </w:rPr>
        <w:t xml:space="preserve">, stakeholders call for a dedicated EU semiconductor budget at substantially increased scale. Closely related is the recommendation to </w:t>
      </w:r>
      <w:r w:rsidRPr="008B13A5">
        <w:rPr>
          <w:b/>
          <w:bCs/>
          <w:noProof/>
          <w:szCs w:val="22"/>
        </w:rPr>
        <w:t>expand value-chain scope</w:t>
      </w:r>
      <w:r w:rsidRPr="008B13A5">
        <w:rPr>
          <w:noProof/>
          <w:szCs w:val="22"/>
        </w:rPr>
        <w:t xml:space="preserve"> beyond front-end manufacturing to include packaging, materials, equipment, and back-end processes, accompanied by a revision of FOAK criteria to reflect this broader definition. </w:t>
      </w:r>
      <w:r w:rsidRPr="008B13A5">
        <w:rPr>
          <w:b/>
          <w:bCs/>
          <w:noProof/>
          <w:szCs w:val="22"/>
        </w:rPr>
        <w:t>Strengthening European design capabilities</w:t>
      </w:r>
      <w:r w:rsidRPr="008B13A5">
        <w:rPr>
          <w:noProof/>
          <w:szCs w:val="22"/>
        </w:rPr>
        <w:t xml:space="preserve"> emerges as a key priority, with recommendations focusing on architecture sovereignty, open design platforms, and improved access to design tools and infrastructure. Regarding </w:t>
      </w:r>
      <w:r w:rsidRPr="008B13A5">
        <w:rPr>
          <w:b/>
          <w:bCs/>
          <w:noProof/>
          <w:szCs w:val="22"/>
        </w:rPr>
        <w:t>implementation</w:t>
      </w:r>
      <w:r w:rsidRPr="008B13A5">
        <w:rPr>
          <w:noProof/>
          <w:szCs w:val="22"/>
        </w:rPr>
        <w:t xml:space="preserve">, stakeholders advocate for enhanced pilot lines more closely aligned with industrial scaling requirements, alongside financing mechanisms better suited to SMEs and start-ups. Comprehensive workforce programmes spanning education, training, and talent attraction are emphasised as essential to address skills needs. Strategic international partnerships with trusted partners feature prominently, as does dedicated support for emerging technologies such as quantum, photonics, and AI chips. On </w:t>
      </w:r>
      <w:r w:rsidRPr="008B13A5">
        <w:rPr>
          <w:b/>
          <w:bCs/>
          <w:noProof/>
          <w:szCs w:val="22"/>
        </w:rPr>
        <w:t>governance</w:t>
      </w:r>
      <w:r w:rsidRPr="008B13A5">
        <w:rPr>
          <w:noProof/>
          <w:szCs w:val="22"/>
        </w:rPr>
        <w:t>, business associations and public authorities call for strengthened industry-government dialogue and a strengthened European Semiconductor Board to improve strategic coordination.</w:t>
      </w:r>
    </w:p>
    <w:p w14:paraId="52FA2476" w14:textId="5C7F3AF7" w:rsidR="00F8618D" w:rsidRPr="008B13A5" w:rsidRDefault="00F8618D" w:rsidP="009712FE">
      <w:pPr>
        <w:pStyle w:val="Heading1"/>
        <w:rPr>
          <w:noProof/>
          <w:szCs w:val="22"/>
        </w:rPr>
      </w:pPr>
      <w:bookmarkStart w:id="49" w:name="_Toc223620592"/>
      <w:bookmarkStart w:id="50" w:name="_Toc230010377"/>
      <w:r w:rsidRPr="008B13A5">
        <w:rPr>
          <w:noProof/>
        </w:rPr>
        <w:t>Summarised results of the</w:t>
      </w:r>
      <w:r w:rsidR="00F274DD" w:rsidRPr="008B13A5">
        <w:rPr>
          <w:noProof/>
        </w:rPr>
        <w:t xml:space="preserve"> </w:t>
      </w:r>
      <w:r w:rsidRPr="008B13A5">
        <w:rPr>
          <w:noProof/>
        </w:rPr>
        <w:t>survey</w:t>
      </w:r>
      <w:bookmarkEnd w:id="49"/>
      <w:bookmarkEnd w:id="50"/>
      <w:r w:rsidR="00F274DD" w:rsidRPr="008B13A5">
        <w:rPr>
          <w:noProof/>
        </w:rPr>
        <w:t xml:space="preserve"> </w:t>
      </w:r>
    </w:p>
    <w:p w14:paraId="6155B67B" w14:textId="258F14E6" w:rsidR="00F8618D" w:rsidRPr="008B13A5" w:rsidRDefault="00F8618D" w:rsidP="00F8618D">
      <w:pPr>
        <w:rPr>
          <w:noProof/>
          <w:color w:val="000000"/>
          <w:szCs w:val="22"/>
        </w:rPr>
      </w:pPr>
      <w:r w:rsidRPr="008B13A5">
        <w:rPr>
          <w:noProof/>
          <w:color w:val="000000"/>
          <w:szCs w:val="22"/>
        </w:rPr>
        <w:t>The survey was administered through Alchemer email campaigns targeting stakeholders identified via desk research and MILD.AI mapping. The initial survey invitation was sent on 24 October 2025, followed by two reminder campaigns: one on November 3</w:t>
      </w:r>
      <w:r w:rsidRPr="008B13A5">
        <w:rPr>
          <w:noProof/>
          <w:color w:val="000000"/>
          <w:szCs w:val="22"/>
          <w:vertAlign w:val="superscript"/>
        </w:rPr>
        <w:t>rd</w:t>
      </w:r>
      <w:r w:rsidRPr="008B13A5">
        <w:rPr>
          <w:noProof/>
          <w:color w:val="000000"/>
          <w:szCs w:val="22"/>
        </w:rPr>
        <w:t>, a week after initial contact, and a final reminder on 21 November, before survey closure on 24 November 2025. Survey dissemination was further supported by the Austrian Institute of Technology (AIT) and project experts to maximise stakeholder reach across the European semiconductor ecosystem.</w:t>
      </w:r>
    </w:p>
    <w:p w14:paraId="304670F0" w14:textId="06D15F76" w:rsidR="00F8618D" w:rsidRPr="008B13A5" w:rsidRDefault="00F8618D" w:rsidP="00F8618D">
      <w:pPr>
        <w:rPr>
          <w:noProof/>
          <w:color w:val="000000"/>
          <w:szCs w:val="22"/>
        </w:rPr>
      </w:pPr>
      <w:r w:rsidRPr="008B13A5">
        <w:rPr>
          <w:noProof/>
          <w:color w:val="000000"/>
          <w:szCs w:val="22"/>
        </w:rPr>
        <w:t xml:space="preserve">The targeted stakeholder survey collected responses from 64 stakeholders. Four tailored questionnaires were designed to capture the specific perspectives of distinct stakeholder groups: national and regional authorities, industry users, supply chain, and research and design organisations. Questions primarily utilised Likert scales (5-point agreement and importance scales) and rating scales, with limited open-ended questions for qualitative feedback. Response options included </w:t>
      </w:r>
      <w:r w:rsidR="00497125" w:rsidRPr="008B13A5">
        <w:rPr>
          <w:noProof/>
          <w:color w:val="000000"/>
          <w:szCs w:val="22"/>
        </w:rPr>
        <w:t>‘</w:t>
      </w:r>
      <w:r w:rsidRPr="008B13A5">
        <w:rPr>
          <w:noProof/>
          <w:color w:val="000000"/>
          <w:szCs w:val="22"/>
        </w:rPr>
        <w:t>Don</w:t>
      </w:r>
      <w:r w:rsidR="00497125" w:rsidRPr="008B13A5">
        <w:rPr>
          <w:noProof/>
          <w:color w:val="000000"/>
          <w:szCs w:val="22"/>
        </w:rPr>
        <w:t>’</w:t>
      </w:r>
      <w:r w:rsidRPr="008B13A5">
        <w:rPr>
          <w:noProof/>
          <w:color w:val="000000"/>
          <w:szCs w:val="22"/>
        </w:rPr>
        <w:t>t</w:t>
      </w:r>
      <w:r w:rsidR="00F274DD" w:rsidRPr="008B13A5">
        <w:rPr>
          <w:noProof/>
          <w:color w:val="000000"/>
          <w:szCs w:val="22"/>
        </w:rPr>
        <w:t xml:space="preserve"> </w:t>
      </w:r>
      <w:r w:rsidRPr="008B13A5">
        <w:rPr>
          <w:noProof/>
          <w:color w:val="000000"/>
          <w:szCs w:val="22"/>
        </w:rPr>
        <w:t>know</w:t>
      </w:r>
      <w:r w:rsidR="00497125" w:rsidRPr="008B13A5">
        <w:rPr>
          <w:noProof/>
          <w:color w:val="000000"/>
          <w:szCs w:val="22"/>
        </w:rPr>
        <w:t>’</w:t>
      </w:r>
      <w:r w:rsidRPr="008B13A5">
        <w:rPr>
          <w:noProof/>
          <w:color w:val="000000"/>
          <w:szCs w:val="22"/>
        </w:rPr>
        <w:t>,</w:t>
      </w:r>
      <w:r w:rsidR="00F274DD" w:rsidRPr="008B13A5">
        <w:rPr>
          <w:noProof/>
          <w:color w:val="000000"/>
          <w:szCs w:val="22"/>
        </w:rPr>
        <w:t xml:space="preserve"> </w:t>
      </w:r>
      <w:r w:rsidR="00497125" w:rsidRPr="008B13A5">
        <w:rPr>
          <w:noProof/>
          <w:color w:val="000000"/>
          <w:szCs w:val="22"/>
        </w:rPr>
        <w:t>‘</w:t>
      </w:r>
      <w:r w:rsidRPr="008B13A5">
        <w:rPr>
          <w:noProof/>
          <w:color w:val="000000"/>
          <w:szCs w:val="22"/>
        </w:rPr>
        <w:t>Too early to tell</w:t>
      </w:r>
      <w:r w:rsidR="00497125" w:rsidRPr="008B13A5">
        <w:rPr>
          <w:noProof/>
          <w:color w:val="000000"/>
          <w:szCs w:val="22"/>
        </w:rPr>
        <w:t>’</w:t>
      </w:r>
      <w:r w:rsidRPr="008B13A5">
        <w:rPr>
          <w:noProof/>
          <w:color w:val="000000"/>
          <w:szCs w:val="22"/>
        </w:rPr>
        <w:t xml:space="preserve">, and </w:t>
      </w:r>
      <w:r w:rsidR="00497125" w:rsidRPr="008B13A5">
        <w:rPr>
          <w:noProof/>
          <w:color w:val="000000"/>
          <w:szCs w:val="22"/>
        </w:rPr>
        <w:t>‘</w:t>
      </w:r>
      <w:r w:rsidRPr="008B13A5">
        <w:rPr>
          <w:noProof/>
          <w:color w:val="000000"/>
          <w:szCs w:val="22"/>
        </w:rPr>
        <w:t>Not</w:t>
      </w:r>
      <w:r w:rsidR="00F274DD" w:rsidRPr="008B13A5">
        <w:rPr>
          <w:noProof/>
          <w:color w:val="000000"/>
          <w:szCs w:val="22"/>
        </w:rPr>
        <w:t xml:space="preserve"> </w:t>
      </w:r>
      <w:r w:rsidRPr="008B13A5">
        <w:rPr>
          <w:noProof/>
          <w:color w:val="000000"/>
          <w:szCs w:val="22"/>
        </w:rPr>
        <w:t>applicable</w:t>
      </w:r>
      <w:r w:rsidR="00497125" w:rsidRPr="008B13A5">
        <w:rPr>
          <w:noProof/>
          <w:color w:val="000000"/>
          <w:szCs w:val="22"/>
        </w:rPr>
        <w:t>’</w:t>
      </w:r>
      <w:r w:rsidRPr="008B13A5">
        <w:rPr>
          <w:noProof/>
          <w:color w:val="000000"/>
          <w:szCs w:val="22"/>
        </w:rPr>
        <w:t xml:space="preserve"> where relevant to ensure data quality and avoid forced responses. </w:t>
      </w:r>
    </w:p>
    <w:p w14:paraId="5A877867" w14:textId="09C1C6F1" w:rsidR="00F8618D" w:rsidRPr="008B13A5" w:rsidRDefault="00F8618D" w:rsidP="00F8618D">
      <w:pPr>
        <w:rPr>
          <w:noProof/>
          <w:color w:val="000000"/>
          <w:szCs w:val="22"/>
        </w:rPr>
      </w:pPr>
      <w:r w:rsidRPr="008B13A5">
        <w:rPr>
          <w:noProof/>
          <w:color w:val="000000"/>
          <w:szCs w:val="22"/>
        </w:rPr>
        <w:t>National and Regional Authorities constituted the largest share of respondents (37.5%, 24/64), followed by Research and Design organisations (26.6%, 17/64) and Supply Chain actors (25.0%, 16/64). Industry Users represented the smallest group (10.9%, 7/64).</w:t>
      </w:r>
    </w:p>
    <w:p w14:paraId="29ECE242" w14:textId="77777777" w:rsidR="00AA356A" w:rsidRPr="008B13A5" w:rsidRDefault="00F8618D" w:rsidP="00AA356A">
      <w:pPr>
        <w:spacing w:after="0"/>
        <w:rPr>
          <w:b/>
          <w:noProof/>
        </w:rPr>
      </w:pPr>
      <w:r w:rsidRPr="008B13A5">
        <w:rPr>
          <w:noProof/>
          <w:szCs w:val="22"/>
          <w:lang w:eastAsia="en-GB"/>
        </w:rPr>
        <w:drawing>
          <wp:inline distT="0" distB="0" distL="0" distR="0" wp14:anchorId="5D97E0E9" wp14:editId="12596D04">
            <wp:extent cx="5939790" cy="1332230"/>
            <wp:effectExtent l="0" t="0" r="0" b="0"/>
            <wp:docPr id="1529150389" name="Picture 7"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hart 1, Chart elemen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39790" cy="1332230"/>
                    </a:xfrm>
                    <a:prstGeom prst="rect">
                      <a:avLst/>
                    </a:prstGeom>
                    <a:noFill/>
                    <a:ln>
                      <a:noFill/>
                    </a:ln>
                  </pic:spPr>
                </pic:pic>
              </a:graphicData>
            </a:graphic>
          </wp:inline>
        </w:drawing>
      </w:r>
    </w:p>
    <w:p w14:paraId="2D7F7712" w14:textId="77777777" w:rsidR="00AA356A" w:rsidRPr="008B13A5" w:rsidRDefault="007321B0" w:rsidP="00AA356A">
      <w:pPr>
        <w:spacing w:after="0"/>
        <w:rPr>
          <w:b/>
          <w:noProof/>
        </w:rPr>
      </w:pPr>
      <w:r w:rsidRPr="008B13A5">
        <w:rPr>
          <w:b/>
          <w:noProof/>
        </w:rPr>
        <w:t>Figure 8. Breakdown of respondent profiles by stakeholder category</w:t>
      </w:r>
    </w:p>
    <w:p w14:paraId="48DDE509" w14:textId="003FDFF5" w:rsidR="007321B0" w:rsidRPr="008B13A5" w:rsidRDefault="007321B0" w:rsidP="00AA356A">
      <w:pPr>
        <w:spacing w:after="0"/>
        <w:rPr>
          <w:noProof/>
          <w:szCs w:val="22"/>
        </w:rPr>
      </w:pPr>
      <w:r w:rsidRPr="008B13A5">
        <w:rPr>
          <w:i/>
          <w:iCs/>
          <w:noProof/>
          <w:sz w:val="20"/>
          <w:szCs w:val="18"/>
        </w:rPr>
        <w:t>Source: Surveys with EU Chips Act stakeholders (research and design organisations N=17, supply chain organisations N=16, industry users N=7, national authorities N=24), conducted by PPMI, October–November 2024).</w:t>
      </w:r>
      <w:r w:rsidRPr="00BD008E">
        <w:rPr>
          <w:noProof/>
          <w:sz w:val="20"/>
          <w:szCs w:val="20"/>
        </w:rPr>
        <w:t xml:space="preserve"> </w:t>
      </w:r>
    </w:p>
    <w:p w14:paraId="2F78D05A" w14:textId="77777777" w:rsidR="00F8618D" w:rsidRPr="008B13A5" w:rsidRDefault="00F8618D" w:rsidP="00F8618D">
      <w:pPr>
        <w:rPr>
          <w:noProof/>
          <w:szCs w:val="22"/>
        </w:rPr>
      </w:pPr>
    </w:p>
    <w:p w14:paraId="75E240CC" w14:textId="5A9C9B86" w:rsidR="00F8618D" w:rsidRPr="008B13A5" w:rsidRDefault="00F8618D" w:rsidP="009712FE">
      <w:pPr>
        <w:pStyle w:val="Heading2"/>
        <w:rPr>
          <w:noProof/>
          <w:szCs w:val="22"/>
        </w:rPr>
      </w:pPr>
      <w:bookmarkStart w:id="51" w:name="_Toc223620593"/>
      <w:bookmarkStart w:id="52" w:name="_Toc230010378"/>
      <w:r w:rsidRPr="008B13A5">
        <w:rPr>
          <w:noProof/>
        </w:rPr>
        <w:t>Effectiveness</w:t>
      </w:r>
      <w:bookmarkEnd w:id="51"/>
      <w:bookmarkEnd w:id="52"/>
      <w:r w:rsidR="00F274DD" w:rsidRPr="008B13A5">
        <w:rPr>
          <w:noProof/>
        </w:rPr>
        <w:t xml:space="preserve"> </w:t>
      </w:r>
    </w:p>
    <w:p w14:paraId="03DCD4B7" w14:textId="21B489B6" w:rsidR="00F8618D" w:rsidRPr="008B13A5" w:rsidRDefault="00F8618D" w:rsidP="00F8618D">
      <w:pPr>
        <w:rPr>
          <w:noProof/>
          <w:szCs w:val="22"/>
        </w:rPr>
      </w:pPr>
      <w:r w:rsidRPr="008B13A5">
        <w:rPr>
          <w:b/>
          <w:bCs/>
          <w:noProof/>
          <w:color w:val="000000"/>
          <w:szCs w:val="22"/>
        </w:rPr>
        <w:t>National authorities consistently reported the highest levels of positive effects</w:t>
      </w:r>
      <w:r w:rsidRPr="008B13A5">
        <w:rPr>
          <w:noProof/>
          <w:color w:val="000000"/>
          <w:szCs w:val="22"/>
        </w:rPr>
        <w:t xml:space="preserve"> (75% across most dimensions), which suggests that policy-level coordination benefits are materialising more rapidly than operational effects. RTOs reported the lowest levels of positive effects (35-41%), with 35% reporting </w:t>
      </w:r>
      <w:r w:rsidR="00497125" w:rsidRPr="008B13A5">
        <w:rPr>
          <w:noProof/>
          <w:color w:val="000000"/>
          <w:szCs w:val="22"/>
        </w:rPr>
        <w:t>‘</w:t>
      </w:r>
      <w:r w:rsidRPr="008B13A5">
        <w:rPr>
          <w:noProof/>
          <w:color w:val="000000"/>
          <w:szCs w:val="22"/>
        </w:rPr>
        <w:t>no</w:t>
      </w:r>
      <w:r w:rsidR="00F274DD" w:rsidRPr="008B13A5">
        <w:rPr>
          <w:noProof/>
          <w:color w:val="000000"/>
          <w:szCs w:val="22"/>
        </w:rPr>
        <w:t xml:space="preserve"> </w:t>
      </w:r>
      <w:r w:rsidRPr="008B13A5">
        <w:rPr>
          <w:noProof/>
          <w:color w:val="000000"/>
          <w:szCs w:val="22"/>
        </w:rPr>
        <w:t>effects</w:t>
      </w:r>
      <w:r w:rsidR="00497125" w:rsidRPr="008B13A5">
        <w:rPr>
          <w:noProof/>
          <w:color w:val="000000"/>
          <w:szCs w:val="22"/>
        </w:rPr>
        <w:t>’</w:t>
      </w:r>
      <w:r w:rsidRPr="008B13A5">
        <w:rPr>
          <w:noProof/>
          <w:color w:val="000000"/>
          <w:szCs w:val="22"/>
        </w:rPr>
        <w:t xml:space="preserve"> on several dimensions. This gap warrants further investigation to understand barriers to research organisation engagement.</w:t>
      </w:r>
    </w:p>
    <w:p w14:paraId="2A7489E3" w14:textId="77777777" w:rsidR="00B462AF" w:rsidRPr="008B13A5" w:rsidRDefault="00F8618D" w:rsidP="00A43F70">
      <w:pPr>
        <w:spacing w:after="0"/>
        <w:rPr>
          <w:b/>
          <w:bCs/>
          <w:noProof/>
          <w:szCs w:val="22"/>
        </w:rPr>
      </w:pPr>
      <w:r w:rsidRPr="008B13A5">
        <w:rPr>
          <w:noProof/>
          <w:szCs w:val="22"/>
          <w:lang w:eastAsia="en-GB"/>
        </w:rPr>
        <w:drawing>
          <wp:inline distT="0" distB="0" distL="0" distR="0" wp14:anchorId="269C3738" wp14:editId="506407B5">
            <wp:extent cx="5939790" cy="1833245"/>
            <wp:effectExtent l="0" t="0" r="0" b="0"/>
            <wp:docPr id="1569178610" name="Picture 6"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hart 1, Chart elemen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9790" cy="1833245"/>
                    </a:xfrm>
                    <a:prstGeom prst="rect">
                      <a:avLst/>
                    </a:prstGeom>
                    <a:noFill/>
                    <a:ln>
                      <a:noFill/>
                    </a:ln>
                  </pic:spPr>
                </pic:pic>
              </a:graphicData>
            </a:graphic>
          </wp:inline>
        </w:drawing>
      </w:r>
    </w:p>
    <w:p w14:paraId="20D1D200" w14:textId="17D277EC" w:rsidR="00A25C47" w:rsidRPr="00BD008E" w:rsidRDefault="00A25C47" w:rsidP="00A43F70">
      <w:pPr>
        <w:spacing w:after="0"/>
        <w:rPr>
          <w:noProof/>
          <w:szCs w:val="22"/>
        </w:rPr>
      </w:pPr>
      <w:r w:rsidRPr="008B13A5">
        <w:rPr>
          <w:b/>
          <w:noProof/>
          <w:szCs w:val="22"/>
        </w:rPr>
        <w:t>Figure 9. Positive effects experienced (% reporting moderate to very significant effects)</w:t>
      </w:r>
    </w:p>
    <w:p w14:paraId="26F3E228" w14:textId="360CB6E9" w:rsidR="00A25C47" w:rsidRPr="008B13A5" w:rsidRDefault="00A25C47" w:rsidP="00A25C47">
      <w:pPr>
        <w:rPr>
          <w:i/>
          <w:noProof/>
          <w:sz w:val="20"/>
          <w:szCs w:val="18"/>
        </w:rPr>
      </w:pPr>
      <w:r w:rsidRPr="008B13A5">
        <w:rPr>
          <w:i/>
          <w:noProof/>
          <w:sz w:val="20"/>
          <w:szCs w:val="18"/>
        </w:rPr>
        <w:t>Source: Surveys with EU Chips Act stakeholders (research and design organisations N=17, supply chain organisations N=16, industry users N=7, national authorities N=24), conducted by PPMI, October–November 2024).</w:t>
      </w:r>
      <w:r w:rsidRPr="00BD008E">
        <w:rPr>
          <w:i/>
          <w:noProof/>
          <w:sz w:val="20"/>
          <w:szCs w:val="18"/>
        </w:rPr>
        <w:t xml:space="preserve"> </w:t>
      </w:r>
    </w:p>
    <w:p w14:paraId="5D8C478A" w14:textId="4249F624" w:rsidR="00F8618D" w:rsidRPr="008B13A5" w:rsidRDefault="00F8618D" w:rsidP="00B462AF">
      <w:pPr>
        <w:rPr>
          <w:noProof/>
          <w:szCs w:val="22"/>
        </w:rPr>
      </w:pPr>
      <w:r w:rsidRPr="008B13A5">
        <w:rPr>
          <w:b/>
          <w:noProof/>
          <w:szCs w:val="22"/>
        </w:rPr>
        <w:t>Progress</w:t>
      </w:r>
      <w:r w:rsidRPr="008B13A5">
        <w:rPr>
          <w:b/>
          <w:bCs/>
          <w:noProof/>
          <w:szCs w:val="22"/>
        </w:rPr>
        <w:t xml:space="preserve"> assessments varied significantly across the three pillars</w:t>
      </w:r>
      <w:r w:rsidRPr="008B13A5">
        <w:rPr>
          <w:noProof/>
          <w:szCs w:val="22"/>
        </w:rPr>
        <w:t>. Pillar 1 (research-industry link) received the strongest positive assessment, with 58% of National Authorities (14/24) agreeing progress has been made. Pillar 2 (investment and capacity) showed more mixed results (42% agreeing, 10/24), while Pillar 3 (supply chain resilience) received the lowest positive assessment (17% agreeing, 4/24) with 25% (6/24) indicating it was too early to tell. These findings suggest that Pillar 3 mechanisms may require more time to demonstrate observable effects on supply chain resilience.</w:t>
      </w:r>
    </w:p>
    <w:p w14:paraId="69A16E05" w14:textId="1421E9BA" w:rsidR="00F8618D" w:rsidRPr="008B13A5" w:rsidRDefault="00F8618D" w:rsidP="009712FE">
      <w:pPr>
        <w:pStyle w:val="Heading2"/>
        <w:rPr>
          <w:noProof/>
          <w:szCs w:val="22"/>
        </w:rPr>
      </w:pPr>
      <w:bookmarkStart w:id="53" w:name="_Toc223620594"/>
      <w:bookmarkStart w:id="54" w:name="_Toc230010379"/>
      <w:r w:rsidRPr="008B13A5">
        <w:rPr>
          <w:noProof/>
        </w:rPr>
        <w:t>Efficiency</w:t>
      </w:r>
      <w:bookmarkEnd w:id="53"/>
      <w:bookmarkEnd w:id="54"/>
      <w:r w:rsidR="00F274DD" w:rsidRPr="008B13A5">
        <w:rPr>
          <w:noProof/>
        </w:rPr>
        <w:t xml:space="preserve"> </w:t>
      </w:r>
    </w:p>
    <w:p w14:paraId="71069D71" w14:textId="462BC0D3" w:rsidR="00F8618D" w:rsidRPr="008B13A5" w:rsidRDefault="00F8618D" w:rsidP="00F8618D">
      <w:pPr>
        <w:rPr>
          <w:noProof/>
          <w:color w:val="000000"/>
          <w:szCs w:val="22"/>
        </w:rPr>
      </w:pPr>
      <w:r w:rsidRPr="008B13A5">
        <w:rPr>
          <w:noProof/>
          <w:color w:val="000000"/>
          <w:szCs w:val="22"/>
        </w:rPr>
        <w:t xml:space="preserve">National authority responses indicate that </w:t>
      </w:r>
      <w:r w:rsidRPr="008B13A5">
        <w:rPr>
          <w:b/>
          <w:bCs/>
          <w:noProof/>
          <w:color w:val="000000"/>
          <w:szCs w:val="22"/>
        </w:rPr>
        <w:t>46% (11/24) have encountered significant implementation challenges</w:t>
      </w:r>
      <w:r w:rsidRPr="008B13A5">
        <w:rPr>
          <w:noProof/>
          <w:color w:val="000000"/>
          <w:szCs w:val="22"/>
        </w:rPr>
        <w:t>, whilst 21% (5/24) reported it was too early to tell and 13% (3/24) indicated no significant challenges. Among those reporting challenges, the most frequently cited were insufficient national co-funding capacity, competing national priorities, and complex EU-national coordination.</w:t>
      </w:r>
    </w:p>
    <w:p w14:paraId="24FE7BD0" w14:textId="79FC51E6" w:rsidR="00F8618D" w:rsidRPr="008B13A5" w:rsidRDefault="00F8618D" w:rsidP="0048173D">
      <w:pPr>
        <w:spacing w:after="0"/>
        <w:rPr>
          <w:noProof/>
          <w:szCs w:val="22"/>
        </w:rPr>
      </w:pPr>
      <w:r w:rsidRPr="008B13A5">
        <w:rPr>
          <w:noProof/>
          <w:szCs w:val="22"/>
          <w:lang w:eastAsia="en-GB"/>
        </w:rPr>
        <w:drawing>
          <wp:inline distT="0" distB="0" distL="0" distR="0" wp14:anchorId="51FF1A63" wp14:editId="4677B8E0">
            <wp:extent cx="5939790" cy="1665605"/>
            <wp:effectExtent l="0" t="0" r="0" b="0"/>
            <wp:docPr id="103478179" name="Picture 5"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hart 1, Chart elemen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9790" cy="1665605"/>
                    </a:xfrm>
                    <a:prstGeom prst="rect">
                      <a:avLst/>
                    </a:prstGeom>
                    <a:noFill/>
                    <a:ln>
                      <a:noFill/>
                    </a:ln>
                  </pic:spPr>
                </pic:pic>
              </a:graphicData>
            </a:graphic>
          </wp:inline>
        </w:drawing>
      </w:r>
    </w:p>
    <w:p w14:paraId="3529986E" w14:textId="6C2A78BA" w:rsidR="0048173D" w:rsidRPr="00BD008E" w:rsidRDefault="00EC0CB3" w:rsidP="0048173D">
      <w:pPr>
        <w:spacing w:after="0"/>
        <w:rPr>
          <w:noProof/>
          <w:szCs w:val="22"/>
        </w:rPr>
      </w:pPr>
      <w:r w:rsidRPr="008B13A5">
        <w:rPr>
          <w:b/>
          <w:noProof/>
          <w:szCs w:val="22"/>
        </w:rPr>
        <w:t>Figure 10. Governance effectiveness assessments (% rating somewhat effective to very effective)</w:t>
      </w:r>
    </w:p>
    <w:p w14:paraId="7B6507E2" w14:textId="4B73D119" w:rsidR="00EC0CB3" w:rsidRPr="008B13A5" w:rsidRDefault="00EC0CB3" w:rsidP="00EC0CB3">
      <w:pPr>
        <w:rPr>
          <w:i/>
          <w:noProof/>
          <w:sz w:val="20"/>
          <w:szCs w:val="18"/>
        </w:rPr>
      </w:pPr>
      <w:r w:rsidRPr="008B13A5">
        <w:rPr>
          <w:i/>
          <w:noProof/>
          <w:sz w:val="20"/>
          <w:szCs w:val="18"/>
        </w:rPr>
        <w:t>Source: Surveys with EU Chips Act stakeholders (research and design organisations N=17, supply chain organisations N=16, industry users N=7, national authorities N=24), conducted by PPMI, October–November 2024).</w:t>
      </w:r>
      <w:r w:rsidRPr="00BD008E">
        <w:rPr>
          <w:i/>
          <w:noProof/>
          <w:sz w:val="20"/>
          <w:szCs w:val="18"/>
        </w:rPr>
        <w:t xml:space="preserve"> </w:t>
      </w:r>
    </w:p>
    <w:p w14:paraId="2F6CC8ED" w14:textId="77777777" w:rsidR="00EC0CB3" w:rsidRPr="008B13A5" w:rsidRDefault="00EC0CB3" w:rsidP="00F8618D">
      <w:pPr>
        <w:rPr>
          <w:noProof/>
          <w:szCs w:val="22"/>
        </w:rPr>
      </w:pPr>
    </w:p>
    <w:p w14:paraId="4BD16C54" w14:textId="77777777" w:rsidR="00F8618D" w:rsidRPr="008B13A5" w:rsidRDefault="00F8618D" w:rsidP="00F8618D">
      <w:pPr>
        <w:rPr>
          <w:noProof/>
          <w:color w:val="000000"/>
          <w:szCs w:val="22"/>
        </w:rPr>
      </w:pPr>
      <w:r w:rsidRPr="008B13A5">
        <w:rPr>
          <w:noProof/>
          <w:color w:val="000000"/>
          <w:szCs w:val="22"/>
        </w:rPr>
        <w:t xml:space="preserve">A </w:t>
      </w:r>
      <w:r w:rsidRPr="008B13A5">
        <w:rPr>
          <w:b/>
          <w:bCs/>
          <w:noProof/>
          <w:color w:val="000000"/>
          <w:szCs w:val="22"/>
        </w:rPr>
        <w:t>notable divergence exists between stakeholder groups</w:t>
      </w:r>
      <w:r w:rsidRPr="008B13A5">
        <w:rPr>
          <w:noProof/>
          <w:color w:val="000000"/>
          <w:szCs w:val="22"/>
        </w:rPr>
        <w:t xml:space="preserve">: National Authorities assessed governance mechanisms more favourably (38-46% effective) compared to RTOs (12-24%). RTOs showed higher rates of </w:t>
      </w:r>
      <w:r w:rsidR="00497125" w:rsidRPr="008B13A5">
        <w:rPr>
          <w:noProof/>
          <w:color w:val="000000"/>
          <w:szCs w:val="22"/>
        </w:rPr>
        <w:t>‘</w:t>
      </w:r>
      <w:r w:rsidRPr="008B13A5">
        <w:rPr>
          <w:noProof/>
          <w:color w:val="000000"/>
          <w:szCs w:val="22"/>
        </w:rPr>
        <w:t>very</w:t>
      </w:r>
      <w:r w:rsidR="00F274DD" w:rsidRPr="008B13A5">
        <w:rPr>
          <w:noProof/>
          <w:color w:val="000000"/>
          <w:szCs w:val="22"/>
        </w:rPr>
        <w:t xml:space="preserve"> </w:t>
      </w:r>
      <w:r w:rsidRPr="008B13A5">
        <w:rPr>
          <w:noProof/>
          <w:color w:val="000000"/>
          <w:szCs w:val="22"/>
        </w:rPr>
        <w:t>ineffective</w:t>
      </w:r>
      <w:r w:rsidR="00497125" w:rsidRPr="008B13A5">
        <w:rPr>
          <w:noProof/>
          <w:color w:val="000000"/>
          <w:szCs w:val="22"/>
        </w:rPr>
        <w:t>’</w:t>
      </w:r>
      <w:r w:rsidRPr="008B13A5">
        <w:rPr>
          <w:noProof/>
          <w:color w:val="000000"/>
          <w:szCs w:val="22"/>
        </w:rPr>
        <w:t xml:space="preserve"> assessments (18-29%), particularly for administrative efficiency and Member State coordination, which suggests that research organisations face more acute administrative frictions when engaging with Chips Act instruments.</w:t>
      </w:r>
    </w:p>
    <w:p w14:paraId="33A3CE88" w14:textId="3BF547D4" w:rsidR="00F8618D" w:rsidRPr="008B13A5" w:rsidRDefault="00F8618D" w:rsidP="00B462AF">
      <w:pPr>
        <w:rPr>
          <w:noProof/>
          <w:szCs w:val="22"/>
        </w:rPr>
      </w:pPr>
      <w:r w:rsidRPr="008B13A5">
        <w:rPr>
          <w:noProof/>
          <w:szCs w:val="22"/>
        </w:rPr>
        <w:t xml:space="preserve">Among RTOs, 47% (8/17) reported facing significant barriers to commercialisation. </w:t>
      </w:r>
      <w:r w:rsidRPr="008B13A5">
        <w:rPr>
          <w:b/>
          <w:bCs/>
          <w:noProof/>
          <w:szCs w:val="22"/>
        </w:rPr>
        <w:t>Insufficient risk capital and lack of industry partnerships were the most frequently cited barriers</w:t>
      </w:r>
      <w:r w:rsidRPr="008B13A5">
        <w:rPr>
          <w:noProof/>
          <w:szCs w:val="22"/>
        </w:rPr>
        <w:t>, consistent with the broader concern about the lab-to-fab gap identified in the relevance section.</w:t>
      </w:r>
    </w:p>
    <w:p w14:paraId="2E370ABA" w14:textId="5AE139E7" w:rsidR="00F8618D" w:rsidRPr="008B13A5" w:rsidRDefault="00F8618D" w:rsidP="009712FE">
      <w:pPr>
        <w:pStyle w:val="Heading2"/>
        <w:rPr>
          <w:noProof/>
          <w:szCs w:val="22"/>
        </w:rPr>
      </w:pPr>
      <w:bookmarkStart w:id="55" w:name="_Toc223620595"/>
      <w:bookmarkStart w:id="56" w:name="_Toc230010380"/>
      <w:r w:rsidRPr="008B13A5">
        <w:rPr>
          <w:noProof/>
        </w:rPr>
        <w:t>Coherence</w:t>
      </w:r>
      <w:bookmarkEnd w:id="55"/>
      <w:bookmarkEnd w:id="56"/>
      <w:r w:rsidR="00F274DD" w:rsidRPr="008B13A5">
        <w:rPr>
          <w:noProof/>
        </w:rPr>
        <w:t xml:space="preserve"> </w:t>
      </w:r>
    </w:p>
    <w:p w14:paraId="10A35AD0" w14:textId="5B512128" w:rsidR="00F8618D" w:rsidRPr="008B13A5" w:rsidRDefault="00F8618D" w:rsidP="00B462AF">
      <w:pPr>
        <w:rPr>
          <w:noProof/>
          <w:szCs w:val="22"/>
        </w:rPr>
      </w:pPr>
      <w:r w:rsidRPr="008B13A5">
        <w:rPr>
          <w:noProof/>
        </w:rPr>
        <w:t xml:space="preserve">Regarding external coherence with national strategies, responses from </w:t>
      </w:r>
      <w:r w:rsidRPr="008B13A5">
        <w:rPr>
          <w:b/>
          <w:noProof/>
        </w:rPr>
        <w:t>national authorities indicated mixed alignment</w:t>
      </w:r>
      <w:r w:rsidRPr="008B13A5">
        <w:rPr>
          <w:noProof/>
        </w:rPr>
        <w:t xml:space="preserve">. Of 24 respondents, 33% reported the Chips Act was </w:t>
      </w:r>
      <w:r w:rsidR="00497125" w:rsidRPr="008B13A5">
        <w:rPr>
          <w:noProof/>
        </w:rPr>
        <w:t>‘</w:t>
      </w:r>
      <w:r w:rsidRPr="008B13A5">
        <w:rPr>
          <w:noProof/>
        </w:rPr>
        <w:t>fully</w:t>
      </w:r>
      <w:r w:rsidR="00F274DD" w:rsidRPr="008B13A5">
        <w:rPr>
          <w:noProof/>
        </w:rPr>
        <w:t xml:space="preserve"> </w:t>
      </w:r>
      <w:r w:rsidRPr="008B13A5">
        <w:rPr>
          <w:noProof/>
        </w:rPr>
        <w:t>aligned</w:t>
      </w:r>
      <w:r w:rsidR="00497125" w:rsidRPr="008B13A5">
        <w:rPr>
          <w:noProof/>
        </w:rPr>
        <w:t>’</w:t>
      </w:r>
      <w:r w:rsidRPr="008B13A5">
        <w:rPr>
          <w:noProof/>
        </w:rPr>
        <w:t xml:space="preserve"> with their national semiconductor strategy, 21% </w:t>
      </w:r>
      <w:r w:rsidR="00497125" w:rsidRPr="008B13A5">
        <w:rPr>
          <w:noProof/>
        </w:rPr>
        <w:t>‘</w:t>
      </w:r>
      <w:r w:rsidRPr="008B13A5">
        <w:rPr>
          <w:noProof/>
        </w:rPr>
        <w:t>somewhat</w:t>
      </w:r>
      <w:r w:rsidR="00F274DD" w:rsidRPr="008B13A5">
        <w:rPr>
          <w:noProof/>
        </w:rPr>
        <w:t xml:space="preserve"> </w:t>
      </w:r>
      <w:r w:rsidRPr="008B13A5">
        <w:rPr>
          <w:noProof/>
        </w:rPr>
        <w:t>aligned</w:t>
      </w:r>
      <w:r w:rsidR="00497125" w:rsidRPr="008B13A5">
        <w:rPr>
          <w:noProof/>
        </w:rPr>
        <w:t>’</w:t>
      </w:r>
      <w:r w:rsidRPr="008B13A5">
        <w:rPr>
          <w:noProof/>
        </w:rPr>
        <w:t>,</w:t>
      </w:r>
      <w:r w:rsidRPr="008B13A5">
        <w:rPr>
          <w:noProof/>
          <w:szCs w:val="22"/>
        </w:rPr>
        <w:t xml:space="preserve"> and 21% indicated no national strategy exists. </w:t>
      </w:r>
      <w:r w:rsidRPr="008B13A5">
        <w:rPr>
          <w:b/>
          <w:bCs/>
          <w:noProof/>
          <w:szCs w:val="22"/>
        </w:rPr>
        <w:t>The importance of addressing the misalignment between research priorities and market needs was recognised across all groups</w:t>
      </w:r>
      <w:r w:rsidRPr="008B13A5">
        <w:rPr>
          <w:noProof/>
          <w:szCs w:val="22"/>
        </w:rPr>
        <w:t>, though with varying intensity. Survey respondents, particularly national authorities, further noted that coordination and investment across the EU, national and regional levels was challenging and more fragmented.</w:t>
      </w:r>
    </w:p>
    <w:p w14:paraId="65DF9DD9" w14:textId="33AECCA1" w:rsidR="00F8618D" w:rsidRPr="008B13A5" w:rsidRDefault="00F8618D" w:rsidP="009712FE">
      <w:pPr>
        <w:pStyle w:val="Heading2"/>
        <w:rPr>
          <w:noProof/>
          <w:szCs w:val="22"/>
        </w:rPr>
      </w:pPr>
      <w:bookmarkStart w:id="57" w:name="_Toc223620596"/>
      <w:bookmarkStart w:id="58" w:name="_Toc230010381"/>
      <w:r w:rsidRPr="008B13A5">
        <w:rPr>
          <w:noProof/>
        </w:rPr>
        <w:t>EU added value</w:t>
      </w:r>
      <w:bookmarkEnd w:id="57"/>
      <w:bookmarkEnd w:id="58"/>
      <w:r w:rsidR="00F274DD" w:rsidRPr="008B13A5">
        <w:rPr>
          <w:noProof/>
        </w:rPr>
        <w:t xml:space="preserve"> </w:t>
      </w:r>
    </w:p>
    <w:p w14:paraId="4EB78830" w14:textId="61C2A6E8" w:rsidR="00F8618D" w:rsidRPr="008B13A5" w:rsidRDefault="00F8618D" w:rsidP="00F8618D">
      <w:pPr>
        <w:rPr>
          <w:noProof/>
          <w:color w:val="000000"/>
          <w:szCs w:val="22"/>
        </w:rPr>
      </w:pPr>
      <w:r w:rsidRPr="008B13A5">
        <w:rPr>
          <w:b/>
          <w:bCs/>
          <w:noProof/>
          <w:color w:val="000000"/>
          <w:szCs w:val="22"/>
        </w:rPr>
        <w:t>Strengthening the EU</w:t>
      </w:r>
      <w:r w:rsidR="00497125" w:rsidRPr="008B13A5">
        <w:rPr>
          <w:b/>
          <w:bCs/>
          <w:noProof/>
          <w:color w:val="000000"/>
          <w:szCs w:val="22"/>
        </w:rPr>
        <w:t>’</w:t>
      </w:r>
      <w:r w:rsidRPr="008B13A5">
        <w:rPr>
          <w:b/>
          <w:bCs/>
          <w:noProof/>
          <w:color w:val="000000"/>
          <w:szCs w:val="22"/>
        </w:rPr>
        <w:t>s global position received the highest agreement (68%, 28/41)</w:t>
      </w:r>
      <w:r w:rsidRPr="008B13A5">
        <w:rPr>
          <w:noProof/>
          <w:color w:val="000000"/>
          <w:szCs w:val="22"/>
        </w:rPr>
        <w:t>, followed by pooling resources for greater scale (66%, 27/41). This suggests that stakeholders recognise the value of collective European action in the globally competitive semiconductor landscape. However, responses were not uniformly positive: 18-29% of RTOs expressed strong disagreement that these benefits were materialising, indicating a cohort of research organisations that have not yet experienced the expected EU-level synergies.</w:t>
      </w:r>
    </w:p>
    <w:p w14:paraId="112DC284" w14:textId="68278787" w:rsidR="00F8618D" w:rsidRPr="008B13A5" w:rsidRDefault="00F8618D" w:rsidP="00FF74E7">
      <w:pPr>
        <w:spacing w:after="0"/>
        <w:jc w:val="left"/>
        <w:rPr>
          <w:noProof/>
          <w:szCs w:val="22"/>
        </w:rPr>
      </w:pPr>
      <w:r w:rsidRPr="008B13A5">
        <w:rPr>
          <w:noProof/>
          <w:szCs w:val="22"/>
          <w:lang w:eastAsia="en-GB"/>
        </w:rPr>
        <w:drawing>
          <wp:inline distT="0" distB="0" distL="0" distR="0" wp14:anchorId="42A426E6" wp14:editId="7B9A43CA">
            <wp:extent cx="5446395" cy="1590040"/>
            <wp:effectExtent l="0" t="0" r="0" b="0"/>
            <wp:docPr id="1963256574" name="Picture 4"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hart 1, Chart elemen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46395" cy="1590040"/>
                    </a:xfrm>
                    <a:prstGeom prst="rect">
                      <a:avLst/>
                    </a:prstGeom>
                    <a:noFill/>
                    <a:ln>
                      <a:noFill/>
                    </a:ln>
                  </pic:spPr>
                </pic:pic>
              </a:graphicData>
            </a:graphic>
          </wp:inline>
        </w:drawing>
      </w:r>
    </w:p>
    <w:p w14:paraId="7A3D119B" w14:textId="77777777" w:rsidR="004C7A6E" w:rsidRPr="008B13A5" w:rsidRDefault="004C7A6E" w:rsidP="00FF74E7">
      <w:pPr>
        <w:spacing w:after="0"/>
        <w:rPr>
          <w:noProof/>
          <w:szCs w:val="22"/>
        </w:rPr>
      </w:pPr>
      <w:r w:rsidRPr="008B13A5">
        <w:rPr>
          <w:b/>
          <w:noProof/>
          <w:szCs w:val="22"/>
        </w:rPr>
        <w:t xml:space="preserve">Figure </w:t>
      </w:r>
      <w:r w:rsidRPr="008B13A5">
        <w:rPr>
          <w:b/>
          <w:bCs/>
          <w:noProof/>
          <w:szCs w:val="22"/>
        </w:rPr>
        <w:t>11</w:t>
      </w:r>
      <w:r w:rsidRPr="008B13A5">
        <w:rPr>
          <w:b/>
          <w:noProof/>
          <w:szCs w:val="22"/>
        </w:rPr>
        <w:t>. EU added value perceptions (% agreeing or strongly agreeing)</w:t>
      </w:r>
      <w:r w:rsidRPr="00BD008E">
        <w:rPr>
          <w:noProof/>
          <w:szCs w:val="22"/>
        </w:rPr>
        <w:t xml:space="preserve"> </w:t>
      </w:r>
    </w:p>
    <w:p w14:paraId="238BEED6" w14:textId="3AAEC6BF" w:rsidR="00F8618D" w:rsidRPr="008B13A5" w:rsidRDefault="00F8618D" w:rsidP="00F8618D">
      <w:pPr>
        <w:rPr>
          <w:i/>
          <w:noProof/>
          <w:sz w:val="20"/>
          <w:szCs w:val="18"/>
        </w:rPr>
      </w:pPr>
      <w:r w:rsidRPr="008B13A5">
        <w:rPr>
          <w:i/>
          <w:noProof/>
          <w:sz w:val="20"/>
          <w:szCs w:val="18"/>
        </w:rPr>
        <w:t>Source: Surveys with EU Chips Act stakeholders (research and design organisations N=17</w:t>
      </w:r>
      <w:r w:rsidR="00F274DD" w:rsidRPr="008B13A5">
        <w:rPr>
          <w:i/>
          <w:noProof/>
          <w:sz w:val="20"/>
          <w:szCs w:val="18"/>
        </w:rPr>
        <w:t xml:space="preserve"> </w:t>
      </w:r>
      <w:r w:rsidRPr="008B13A5">
        <w:rPr>
          <w:i/>
          <w:noProof/>
          <w:sz w:val="20"/>
          <w:szCs w:val="18"/>
        </w:rPr>
        <w:t>and</w:t>
      </w:r>
      <w:r w:rsidR="00F274DD" w:rsidRPr="008B13A5">
        <w:rPr>
          <w:i/>
          <w:noProof/>
          <w:sz w:val="20"/>
          <w:szCs w:val="18"/>
        </w:rPr>
        <w:t xml:space="preserve"> </w:t>
      </w:r>
      <w:r w:rsidRPr="008B13A5">
        <w:rPr>
          <w:i/>
          <w:noProof/>
          <w:sz w:val="20"/>
          <w:szCs w:val="18"/>
        </w:rPr>
        <w:t>national authorities N=24), conducted by PPMI, October–November 2024).</w:t>
      </w:r>
      <w:r w:rsidR="00F274DD" w:rsidRPr="00BD008E">
        <w:rPr>
          <w:i/>
          <w:noProof/>
          <w:sz w:val="20"/>
          <w:szCs w:val="18"/>
        </w:rPr>
        <w:t xml:space="preserve"> </w:t>
      </w:r>
    </w:p>
    <w:p w14:paraId="4A565A03" w14:textId="356D6D21" w:rsidR="00F8618D" w:rsidRPr="008B13A5" w:rsidRDefault="00F8618D" w:rsidP="00B462AF">
      <w:pPr>
        <w:rPr>
          <w:noProof/>
          <w:szCs w:val="22"/>
        </w:rPr>
      </w:pPr>
      <w:r w:rsidRPr="008B13A5">
        <w:rPr>
          <w:noProof/>
        </w:rPr>
        <w:t>National</w:t>
      </w:r>
      <w:r w:rsidRPr="008B13A5">
        <w:rPr>
          <w:noProof/>
          <w:szCs w:val="22"/>
        </w:rPr>
        <w:t xml:space="preserve"> Authorities consistently assessed EU added value more positively than RTOs, </w:t>
      </w:r>
      <w:r w:rsidRPr="008B13A5">
        <w:rPr>
          <w:b/>
          <w:bCs/>
          <w:noProof/>
          <w:szCs w:val="22"/>
        </w:rPr>
        <w:t>particularly for pooling resources (75% vs 53%)</w:t>
      </w:r>
      <w:r w:rsidRPr="008B13A5">
        <w:rPr>
          <w:noProof/>
          <w:szCs w:val="22"/>
        </w:rPr>
        <w:t>. This 22-percentage point gap suggests that the benefits of resource pooling may be more visible at the policy coordination level than at the research operational level. The relatively similar ratings for coordinated crisis response (59% for RTOs vs 58% for National Authorities) indicate that crisis preparedness benefits are perceived more evenly across stakeholder types.</w:t>
      </w:r>
    </w:p>
    <w:p w14:paraId="6DC80FDC" w14:textId="22881D71" w:rsidR="00F8618D" w:rsidRPr="008B13A5" w:rsidRDefault="00F8618D" w:rsidP="009712FE">
      <w:pPr>
        <w:pStyle w:val="Heading2"/>
        <w:rPr>
          <w:noProof/>
          <w:szCs w:val="22"/>
        </w:rPr>
      </w:pPr>
      <w:bookmarkStart w:id="59" w:name="_Toc223620597"/>
      <w:bookmarkStart w:id="60" w:name="_Toc230010382"/>
      <w:r w:rsidRPr="008B13A5">
        <w:rPr>
          <w:noProof/>
        </w:rPr>
        <w:t>Relevance</w:t>
      </w:r>
      <w:bookmarkEnd w:id="59"/>
      <w:bookmarkEnd w:id="60"/>
      <w:r w:rsidR="00F274DD" w:rsidRPr="008B13A5">
        <w:rPr>
          <w:noProof/>
        </w:rPr>
        <w:t xml:space="preserve"> </w:t>
      </w:r>
    </w:p>
    <w:p w14:paraId="2F1564E8" w14:textId="2764B2FC" w:rsidR="00F8618D" w:rsidRPr="008B13A5" w:rsidRDefault="00F8618D" w:rsidP="00F8618D">
      <w:pPr>
        <w:rPr>
          <w:noProof/>
          <w:szCs w:val="22"/>
        </w:rPr>
      </w:pPr>
      <w:r w:rsidRPr="008B13A5">
        <w:rPr>
          <w:b/>
          <w:bCs/>
          <w:noProof/>
          <w:color w:val="000000"/>
          <w:szCs w:val="22"/>
        </w:rPr>
        <w:t>The survey results demonstrate strong and consistent support for continued EU-level action across all stakeholder groups.</w:t>
      </w:r>
      <w:r w:rsidRPr="008B13A5">
        <w:rPr>
          <w:noProof/>
          <w:color w:val="000000"/>
          <w:szCs w:val="22"/>
        </w:rPr>
        <w:t xml:space="preserve"> Agreement rates on the need for EU-level coordination ranged from 75% (monitoring and crisis response) to 86% (investment and manufacturing capacity), indicating broad endorsement of the subsidiarity rationale underpinning the Act. Supply chain stakeholders demonstrated the strongest support for EU-level coordination in R&amp;D (100%, 16/16) and investment (94%, 15/16), reflecting their direct dependence on ecosystem-wide infrastructure.</w:t>
      </w:r>
    </w:p>
    <w:p w14:paraId="69C7F412" w14:textId="15D61BA4" w:rsidR="00F8618D" w:rsidRPr="008B13A5" w:rsidRDefault="00F8618D" w:rsidP="008B4AF8">
      <w:pPr>
        <w:spacing w:after="0"/>
        <w:rPr>
          <w:noProof/>
          <w:szCs w:val="22"/>
        </w:rPr>
      </w:pPr>
      <w:r w:rsidRPr="008B13A5">
        <w:rPr>
          <w:noProof/>
          <w:szCs w:val="22"/>
          <w:lang w:eastAsia="en-GB"/>
        </w:rPr>
        <w:drawing>
          <wp:inline distT="0" distB="0" distL="0" distR="0" wp14:anchorId="2E7524B7" wp14:editId="0D73281A">
            <wp:extent cx="5939790" cy="1454785"/>
            <wp:effectExtent l="0" t="0" r="0" b="0"/>
            <wp:docPr id="1684132104" name="Picture 3"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hart 1, Chart elemen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39790" cy="1454785"/>
                    </a:xfrm>
                    <a:prstGeom prst="rect">
                      <a:avLst/>
                    </a:prstGeom>
                    <a:noFill/>
                    <a:ln>
                      <a:noFill/>
                    </a:ln>
                  </pic:spPr>
                </pic:pic>
              </a:graphicData>
            </a:graphic>
          </wp:inline>
        </w:drawing>
      </w:r>
    </w:p>
    <w:p w14:paraId="01B5F32B" w14:textId="77777777" w:rsidR="008B4AF8" w:rsidRPr="008B13A5" w:rsidRDefault="008B4AF8" w:rsidP="008B4AF8">
      <w:pPr>
        <w:spacing w:after="0"/>
        <w:rPr>
          <w:b/>
          <w:noProof/>
          <w:szCs w:val="22"/>
        </w:rPr>
      </w:pPr>
      <w:r w:rsidRPr="008B13A5">
        <w:rPr>
          <w:b/>
          <w:noProof/>
          <w:szCs w:val="22"/>
        </w:rPr>
        <w:t xml:space="preserve">Figure </w:t>
      </w:r>
      <w:r w:rsidRPr="008B13A5">
        <w:rPr>
          <w:b/>
          <w:bCs/>
          <w:noProof/>
          <w:szCs w:val="22"/>
        </w:rPr>
        <w:t>12</w:t>
      </w:r>
      <w:r w:rsidRPr="008B13A5">
        <w:rPr>
          <w:b/>
          <w:noProof/>
          <w:szCs w:val="22"/>
        </w:rPr>
        <w:t>. Need for EU-level coordination by policy area (% agreeing or strongly agreeing)</w:t>
      </w:r>
    </w:p>
    <w:p w14:paraId="7518A4F1" w14:textId="407B3BA1" w:rsidR="008B4AF8" w:rsidRPr="008B13A5" w:rsidRDefault="008B4AF8" w:rsidP="008B4AF8">
      <w:pPr>
        <w:rPr>
          <w:i/>
          <w:noProof/>
          <w:sz w:val="20"/>
          <w:szCs w:val="18"/>
        </w:rPr>
      </w:pPr>
      <w:r w:rsidRPr="008B13A5">
        <w:rPr>
          <w:i/>
          <w:noProof/>
          <w:sz w:val="20"/>
          <w:szCs w:val="18"/>
        </w:rPr>
        <w:t>Source: Surveys with EU Chips Act stakeholders (research and design organisations N=17, supply chain organisations N=16, industry users N=7, national authorities N=24), conducted by PPMI, October-November 2024.</w:t>
      </w:r>
      <w:r w:rsidRPr="00BD008E">
        <w:rPr>
          <w:i/>
          <w:noProof/>
          <w:sz w:val="20"/>
          <w:szCs w:val="18"/>
        </w:rPr>
        <w:t xml:space="preserve"> </w:t>
      </w:r>
      <w:r w:rsidRPr="00BD008E">
        <w:rPr>
          <w:noProof/>
          <w:sz w:val="20"/>
          <w:szCs w:val="18"/>
        </w:rPr>
        <w:t xml:space="preserve"> </w:t>
      </w:r>
    </w:p>
    <w:p w14:paraId="7CC4D031" w14:textId="30D8AD4B" w:rsidR="00F8618D" w:rsidRPr="008B13A5" w:rsidRDefault="00F8618D" w:rsidP="00F8618D">
      <w:pPr>
        <w:rPr>
          <w:noProof/>
          <w:color w:val="000000"/>
          <w:szCs w:val="22"/>
        </w:rPr>
      </w:pPr>
      <w:r w:rsidRPr="008B13A5">
        <w:rPr>
          <w:noProof/>
          <w:color w:val="000000"/>
          <w:szCs w:val="22"/>
        </w:rPr>
        <w:t>However, support for monitoring coordination was comparatively lower among supply chain (62%) and industry users (57%), possibly reflecting concerns about reporting obligations. National authorities showed highest support for monitoring coordination (88%), consistent with their role in crisis response mechanisms and their greater familiarity with Pillar 3 instruments.</w:t>
      </w:r>
    </w:p>
    <w:p w14:paraId="6BDA31A0" w14:textId="104F21D7" w:rsidR="00F8618D" w:rsidRPr="008B13A5" w:rsidRDefault="00F8618D" w:rsidP="00EA544A">
      <w:pPr>
        <w:spacing w:after="0"/>
        <w:rPr>
          <w:noProof/>
          <w:szCs w:val="22"/>
        </w:rPr>
      </w:pPr>
      <w:r w:rsidRPr="008B13A5">
        <w:rPr>
          <w:noProof/>
          <w:szCs w:val="22"/>
          <w:lang w:eastAsia="en-GB"/>
        </w:rPr>
        <w:drawing>
          <wp:inline distT="0" distB="0" distL="0" distR="0" wp14:anchorId="5F0E4E2E" wp14:editId="6017E8E9">
            <wp:extent cx="5939790" cy="1452880"/>
            <wp:effectExtent l="0" t="0" r="0" b="0"/>
            <wp:docPr id="238730762" name="Picture 2"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hart 1, Chart elemen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39790" cy="1452880"/>
                    </a:xfrm>
                    <a:prstGeom prst="rect">
                      <a:avLst/>
                    </a:prstGeom>
                    <a:noFill/>
                    <a:ln>
                      <a:noFill/>
                    </a:ln>
                  </pic:spPr>
                </pic:pic>
              </a:graphicData>
            </a:graphic>
          </wp:inline>
        </w:drawing>
      </w:r>
    </w:p>
    <w:p w14:paraId="0F63A46D" w14:textId="77777777" w:rsidR="00EA544A" w:rsidRPr="008B13A5" w:rsidRDefault="00EA544A" w:rsidP="00EA544A">
      <w:pPr>
        <w:spacing w:after="0"/>
        <w:rPr>
          <w:b/>
          <w:noProof/>
          <w:szCs w:val="22"/>
        </w:rPr>
      </w:pPr>
      <w:r w:rsidRPr="008B13A5">
        <w:rPr>
          <w:b/>
          <w:noProof/>
          <w:szCs w:val="22"/>
        </w:rPr>
        <w:t xml:space="preserve">Figure </w:t>
      </w:r>
      <w:r w:rsidRPr="008B13A5">
        <w:rPr>
          <w:b/>
          <w:bCs/>
          <w:noProof/>
          <w:szCs w:val="22"/>
        </w:rPr>
        <w:t>13</w:t>
      </w:r>
      <w:r w:rsidRPr="008B13A5">
        <w:rPr>
          <w:b/>
          <w:noProof/>
          <w:szCs w:val="22"/>
        </w:rPr>
        <w:t>. Importance of addressing key challenges (% rating important or very important)</w:t>
      </w:r>
    </w:p>
    <w:p w14:paraId="4424CF5F" w14:textId="458C7036" w:rsidR="00EA544A" w:rsidRPr="008B13A5" w:rsidRDefault="00EA544A" w:rsidP="00EA544A">
      <w:pPr>
        <w:rPr>
          <w:i/>
          <w:noProof/>
          <w:sz w:val="20"/>
          <w:szCs w:val="18"/>
        </w:rPr>
      </w:pPr>
      <w:r w:rsidRPr="008B13A5">
        <w:rPr>
          <w:i/>
          <w:noProof/>
          <w:sz w:val="20"/>
          <w:szCs w:val="18"/>
        </w:rPr>
        <w:t>Source: Surveys with EU Chips Act stakeholders (research and design organisations N=17, supply chain organisations N=16, industry users N=7, national authorities N=24), conducted by PPMI, October-November 2024.</w:t>
      </w:r>
      <w:r w:rsidRPr="00BD008E">
        <w:rPr>
          <w:i/>
          <w:noProof/>
          <w:sz w:val="20"/>
          <w:szCs w:val="18"/>
        </w:rPr>
        <w:t xml:space="preserve"> </w:t>
      </w:r>
    </w:p>
    <w:p w14:paraId="2CAEA649" w14:textId="0B072166" w:rsidR="00F8618D" w:rsidRPr="008B13A5" w:rsidRDefault="00F8618D" w:rsidP="00117597">
      <w:pPr>
        <w:rPr>
          <w:noProof/>
          <w:szCs w:val="22"/>
        </w:rPr>
      </w:pPr>
      <w:r w:rsidRPr="008B13A5">
        <w:rPr>
          <w:noProof/>
        </w:rPr>
        <w:t>Regulatory</w:t>
      </w:r>
      <w:r w:rsidRPr="008B13A5">
        <w:rPr>
          <w:noProof/>
          <w:szCs w:val="22"/>
        </w:rPr>
        <w:t xml:space="preserve"> barriers emerged as the highest-rated challenge overall, with near-unanimous concern from supply chain stakeholders (94%, 15/16). The lab-to-fab gap was unanimously prioritised by industry users (100%, 7/7), whilst RTOs and National Authorities prioritised skills shortages (88% each). These differentiated priorities reflect the varying operational contexts and immediate concerns of each stakeholder group.</w:t>
      </w:r>
    </w:p>
    <w:p w14:paraId="432E0C5F" w14:textId="272B0243" w:rsidR="00F8618D" w:rsidRPr="008B13A5" w:rsidRDefault="00F8618D" w:rsidP="009712FE">
      <w:pPr>
        <w:pStyle w:val="Heading2"/>
        <w:rPr>
          <w:bCs/>
          <w:noProof/>
          <w:szCs w:val="22"/>
        </w:rPr>
      </w:pPr>
      <w:bookmarkStart w:id="61" w:name="_Toc223620598"/>
      <w:bookmarkStart w:id="62" w:name="_Toc230010383"/>
      <w:r w:rsidRPr="008B13A5">
        <w:rPr>
          <w:noProof/>
        </w:rPr>
        <w:t>Prospective</w:t>
      </w:r>
      <w:bookmarkEnd w:id="61"/>
      <w:bookmarkEnd w:id="62"/>
      <w:r w:rsidR="00F274DD" w:rsidRPr="008B13A5">
        <w:rPr>
          <w:noProof/>
        </w:rPr>
        <w:t xml:space="preserve"> </w:t>
      </w:r>
    </w:p>
    <w:p w14:paraId="589D67C9" w14:textId="65A48CE3" w:rsidR="00F8618D" w:rsidRPr="008B13A5" w:rsidRDefault="00F8618D" w:rsidP="00F8618D">
      <w:pPr>
        <w:rPr>
          <w:noProof/>
          <w:color w:val="000000"/>
          <w:szCs w:val="22"/>
        </w:rPr>
      </w:pPr>
      <w:r w:rsidRPr="008B13A5">
        <w:rPr>
          <w:b/>
          <w:bCs/>
          <w:noProof/>
          <w:color w:val="000000"/>
          <w:szCs w:val="22"/>
        </w:rPr>
        <w:t>Simplified and faster state aid emerged as the top priority</w:t>
      </w:r>
      <w:r w:rsidRPr="008B13A5">
        <w:rPr>
          <w:noProof/>
          <w:color w:val="000000"/>
          <w:szCs w:val="22"/>
        </w:rPr>
        <w:t xml:space="preserve"> (58% ranking first), with particularly strong support from National Authorities (83% ranking first), consistent with their direct experience of notification and approval processes. More direct EU-level funding ranked second (51% ranking first), with strongest support from industry users (80%). Large-scale skills development was also highly prioritised (44% ranking first).</w:t>
      </w:r>
    </w:p>
    <w:p w14:paraId="7D3D74F3" w14:textId="50CBA5DE" w:rsidR="00F8618D" w:rsidRPr="008B13A5" w:rsidRDefault="00F8618D" w:rsidP="008A2099">
      <w:pPr>
        <w:spacing w:after="0"/>
        <w:rPr>
          <w:noProof/>
          <w:color w:val="000000"/>
          <w:szCs w:val="22"/>
        </w:rPr>
      </w:pPr>
      <w:r w:rsidRPr="008B13A5">
        <w:rPr>
          <w:noProof/>
          <w:lang w:eastAsia="en-GB"/>
        </w:rPr>
        <w:drawing>
          <wp:inline distT="0" distB="0" distL="0" distR="0" wp14:anchorId="42DA2269" wp14:editId="6AE5ADA1">
            <wp:extent cx="5939790" cy="2383155"/>
            <wp:effectExtent l="0" t="0" r="0" b="0"/>
            <wp:docPr id="603782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782488"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39790" cy="2383155"/>
                    </a:xfrm>
                    <a:prstGeom prst="rect">
                      <a:avLst/>
                    </a:prstGeom>
                    <a:noFill/>
                    <a:ln>
                      <a:noFill/>
                    </a:ln>
                  </pic:spPr>
                </pic:pic>
              </a:graphicData>
            </a:graphic>
          </wp:inline>
        </w:drawing>
      </w:r>
    </w:p>
    <w:p w14:paraId="3D9003C4" w14:textId="77777777" w:rsidR="008A2099" w:rsidRPr="008B13A5" w:rsidRDefault="008A2099" w:rsidP="008A2099">
      <w:pPr>
        <w:spacing w:after="0"/>
        <w:rPr>
          <w:b/>
          <w:bCs/>
          <w:noProof/>
          <w:szCs w:val="22"/>
        </w:rPr>
      </w:pPr>
      <w:r w:rsidRPr="008B13A5">
        <w:rPr>
          <w:b/>
          <w:bCs/>
          <w:noProof/>
          <w:szCs w:val="22"/>
        </w:rPr>
        <w:t>Figure 14. Policy option priorities (% of responses ranking option in top 3)</w:t>
      </w:r>
    </w:p>
    <w:p w14:paraId="7A81F781" w14:textId="246C38ED" w:rsidR="008A2099" w:rsidRPr="008B13A5" w:rsidRDefault="008A2099" w:rsidP="008A2099">
      <w:pPr>
        <w:rPr>
          <w:i/>
          <w:iCs/>
          <w:noProof/>
          <w:color w:val="000000"/>
          <w:sz w:val="20"/>
          <w:szCs w:val="18"/>
        </w:rPr>
      </w:pPr>
      <w:r w:rsidRPr="008B13A5">
        <w:rPr>
          <w:i/>
          <w:iCs/>
          <w:noProof/>
          <w:color w:val="000000"/>
          <w:sz w:val="20"/>
          <w:szCs w:val="18"/>
        </w:rPr>
        <w:t>Source: Surveys with EU Chips Act stakeholders (research and design organisations N=17, supply chain organisations N=16, industry users N=7, national authorities N=24), conducted by PPMI, October–November 2024).</w:t>
      </w:r>
    </w:p>
    <w:p w14:paraId="39BC9AC5" w14:textId="446F30CD" w:rsidR="00F8618D" w:rsidRPr="008B13A5" w:rsidRDefault="00F8618D" w:rsidP="00117597">
      <w:pPr>
        <w:rPr>
          <w:noProof/>
          <w:szCs w:val="22"/>
        </w:rPr>
      </w:pPr>
      <w:r w:rsidRPr="008B13A5">
        <w:rPr>
          <w:noProof/>
        </w:rPr>
        <w:t>Regarding</w:t>
      </w:r>
      <w:r w:rsidRPr="008B13A5">
        <w:rPr>
          <w:noProof/>
          <w:szCs w:val="22"/>
        </w:rPr>
        <w:t xml:space="preserve"> ambition levels for cutting-edge manufacturing, National Authorities showed diverse views: 29% favoured establishing at least one high-volume leading-edge fab, 21% preferred focusing on pilot lines, 13% supported building multiple leading-edge fabs, and 13% advocated focusing on R&amp;D without new commercial fabs.</w:t>
      </w:r>
    </w:p>
    <w:p w14:paraId="138A4139" w14:textId="5762DABA" w:rsidR="00F8618D" w:rsidRPr="008B13A5" w:rsidRDefault="00F8618D" w:rsidP="009712FE">
      <w:pPr>
        <w:pStyle w:val="Heading1"/>
        <w:rPr>
          <w:noProof/>
          <w:szCs w:val="22"/>
        </w:rPr>
      </w:pPr>
      <w:bookmarkStart w:id="63" w:name="_Toc223620599"/>
      <w:bookmarkStart w:id="64" w:name="_Toc230010384"/>
      <w:r w:rsidRPr="008B13A5">
        <w:rPr>
          <w:noProof/>
        </w:rPr>
        <w:t>Summarised results of the</w:t>
      </w:r>
      <w:r w:rsidR="00F274DD" w:rsidRPr="008B13A5">
        <w:rPr>
          <w:noProof/>
        </w:rPr>
        <w:t xml:space="preserve"> </w:t>
      </w:r>
      <w:r w:rsidRPr="008B13A5">
        <w:rPr>
          <w:noProof/>
        </w:rPr>
        <w:t>expert interviews</w:t>
      </w:r>
      <w:bookmarkEnd w:id="63"/>
      <w:bookmarkEnd w:id="64"/>
      <w:r w:rsidR="00F274DD" w:rsidRPr="008B13A5">
        <w:rPr>
          <w:noProof/>
        </w:rPr>
        <w:t xml:space="preserve"> </w:t>
      </w:r>
    </w:p>
    <w:p w14:paraId="39F4F063" w14:textId="507C827E" w:rsidR="00F8618D" w:rsidRPr="008B13A5" w:rsidRDefault="00F8618D" w:rsidP="00F8618D">
      <w:pPr>
        <w:rPr>
          <w:noProof/>
          <w:color w:val="000000"/>
          <w:szCs w:val="22"/>
        </w:rPr>
      </w:pPr>
      <w:r w:rsidRPr="008B13A5">
        <w:rPr>
          <w:noProof/>
          <w:color w:val="000000"/>
          <w:szCs w:val="22"/>
        </w:rPr>
        <w:t>The interviews were conducted using a semi-structured interview format. The interview guide was developed specifically for this evaluation and was directly aligned with the objectives, pillars, and policy instruments of the Chips Act. This ensured that all discussions systematically addressed themes relevant to the Act while allowing respondents the flexibility to elaborate on issues they considered most significant.</w:t>
      </w:r>
    </w:p>
    <w:p w14:paraId="04B6E727" w14:textId="581FCE8E" w:rsidR="00F8618D" w:rsidRPr="008B13A5" w:rsidRDefault="00F8618D" w:rsidP="00F8618D">
      <w:pPr>
        <w:rPr>
          <w:noProof/>
          <w:color w:val="000000"/>
          <w:szCs w:val="22"/>
        </w:rPr>
      </w:pPr>
      <w:r w:rsidRPr="008B13A5">
        <w:rPr>
          <w:noProof/>
          <w:color w:val="000000"/>
          <w:szCs w:val="22"/>
        </w:rPr>
        <w:t xml:space="preserve">Each interview was fully transcribed and subsequently examined through a structured qualitative analysis process. The analysis focused on identifying recurring themes, points of convergence and divergence, and insights relevant to the evaluation questions. Artificial intelligence tools were used to support the organisation and comparison of the interview material, helping to cluster related content and reveal patterns across stakeholder groups. These AI-assisted steps complemented the manual review of transcripts and improved the consistency and transparency of the analytical process. The material was reviewed iteratively to ensure coherence and completeness. </w:t>
      </w:r>
    </w:p>
    <w:p w14:paraId="77CE66D5" w14:textId="4E4F9527" w:rsidR="00F8618D" w:rsidRPr="008B13A5" w:rsidRDefault="00F8618D" w:rsidP="00F8618D">
      <w:pPr>
        <w:rPr>
          <w:noProof/>
          <w:color w:val="000000"/>
          <w:szCs w:val="22"/>
        </w:rPr>
      </w:pPr>
      <w:r w:rsidRPr="008B13A5">
        <w:rPr>
          <w:noProof/>
          <w:color w:val="000000"/>
          <w:szCs w:val="22"/>
        </w:rPr>
        <w:t>Respondents represented a broad, strategically selected spectrum of organisations involved in or affected by the European semiconductor ecosystem. The sample included actors from European institutions, industry associations, manufacturing companies, investors, research and innovation bodies, and supply-chain specialists (</w:t>
      </w:r>
      <w:r w:rsidRPr="008B13A5">
        <w:rPr>
          <w:b/>
          <w:bCs/>
          <w:noProof/>
          <w:szCs w:val="22"/>
        </w:rPr>
        <w:t>Table 2</w:t>
      </w:r>
      <w:r w:rsidRPr="008B13A5">
        <w:rPr>
          <w:noProof/>
          <w:color w:val="000000"/>
          <w:szCs w:val="22"/>
        </w:rPr>
        <w:t>). This diversity ensured the inclusion of both supply-side and demand-side viewpoints, as well as short-term operational and long-term strategic considerations. The resulting dataset reflects a balanced mix of technical, economic, policy, and strategic insights relevant to assessing the relevance and implementation of the Chips Act.</w:t>
      </w:r>
    </w:p>
    <w:p w14:paraId="444BE4E7" w14:textId="72704B30" w:rsidR="00F8618D" w:rsidRPr="008B13A5" w:rsidRDefault="00F8618D" w:rsidP="00F8618D">
      <w:pPr>
        <w:rPr>
          <w:b/>
          <w:noProof/>
          <w:szCs w:val="22"/>
        </w:rPr>
      </w:pPr>
      <w:r w:rsidRPr="008B13A5">
        <w:rPr>
          <w:b/>
          <w:noProof/>
          <w:szCs w:val="22"/>
        </w:rPr>
        <w:t>Table</w:t>
      </w:r>
      <w:r w:rsidR="00F274DD" w:rsidRPr="008B13A5">
        <w:rPr>
          <w:b/>
          <w:noProof/>
          <w:szCs w:val="22"/>
        </w:rPr>
        <w:t xml:space="preserve"> </w:t>
      </w:r>
      <w:r w:rsidRPr="008B13A5">
        <w:rPr>
          <w:b/>
          <w:noProof/>
          <w:szCs w:val="22"/>
        </w:rPr>
        <w:t>2.</w:t>
      </w:r>
      <w:r w:rsidR="00F274DD" w:rsidRPr="008B13A5">
        <w:rPr>
          <w:b/>
          <w:noProof/>
          <w:szCs w:val="22"/>
        </w:rPr>
        <w:t xml:space="preserve"> </w:t>
      </w:r>
      <w:r w:rsidRPr="008B13A5">
        <w:rPr>
          <w:b/>
          <w:noProof/>
          <w:szCs w:val="22"/>
        </w:rPr>
        <w:t>Interview coding</w:t>
      </w:r>
      <w:r w:rsidRPr="008B13A5">
        <w:rPr>
          <w:b/>
          <w:noProof/>
          <w:szCs w:val="22"/>
          <w:vertAlign w:val="superscript"/>
        </w:rPr>
        <w:t>1</w:t>
      </w:r>
      <w:r w:rsidR="00F274DD" w:rsidRPr="00BD008E">
        <w:rPr>
          <w:b/>
          <w:noProof/>
          <w:szCs w:val="22"/>
        </w:rPr>
        <w:t xml:space="preserve"> </w:t>
      </w:r>
    </w:p>
    <w:tbl>
      <w:tblPr>
        <w:tblStyle w:val="TableGrid"/>
        <w:tblW w:w="9781" w:type="dxa"/>
        <w:tblBorders>
          <w:top w:val="outset" w:sz="6" w:space="0" w:color="auto"/>
          <w:left w:val="outset" w:sz="6" w:space="0" w:color="auto"/>
          <w:bottom w:val="outset" w:sz="6" w:space="0" w:color="auto"/>
          <w:right w:val="outset" w:sz="6" w:space="0" w:color="auto"/>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4185"/>
        <w:gridCol w:w="690"/>
        <w:gridCol w:w="4331"/>
        <w:gridCol w:w="575"/>
      </w:tblGrid>
      <w:tr w:rsidR="00F8618D" w:rsidRPr="008B13A5" w14:paraId="53A22523" w14:textId="77777777">
        <w:trPr>
          <w:trHeight w:val="285"/>
        </w:trPr>
        <w:tc>
          <w:tcPr>
            <w:tcW w:w="4185" w:type="dxa"/>
            <w:tcBorders>
              <w:top w:val="single" w:sz="6" w:space="0" w:color="auto"/>
              <w:left w:val="single" w:sz="6" w:space="0" w:color="auto"/>
              <w:bottom w:val="single" w:sz="12" w:space="0" w:color="auto"/>
              <w:right w:val="single" w:sz="6" w:space="0" w:color="auto"/>
            </w:tcBorders>
            <w:shd w:val="clear" w:color="auto" w:fill="FFFFFF"/>
            <w:vAlign w:val="center"/>
          </w:tcPr>
          <w:p w14:paraId="2E993E92" w14:textId="064AB3A4" w:rsidR="00F8618D" w:rsidRPr="008B13A5" w:rsidRDefault="00F8618D" w:rsidP="0034636B">
            <w:pPr>
              <w:spacing w:after="0"/>
              <w:rPr>
                <w:noProof/>
                <w:szCs w:val="22"/>
              </w:rPr>
            </w:pPr>
            <w:r w:rsidRPr="008B13A5">
              <w:rPr>
                <w:b/>
                <w:noProof/>
                <w:szCs w:val="22"/>
              </w:rPr>
              <w:t>Stakeholder group</w:t>
            </w:r>
            <w:r w:rsidR="00F274DD" w:rsidRPr="008B13A5">
              <w:rPr>
                <w:noProof/>
                <w:szCs w:val="22"/>
              </w:rPr>
              <w:t xml:space="preserve"> </w:t>
            </w:r>
            <w:r w:rsidR="00F274DD" w:rsidRPr="00BD008E">
              <w:rPr>
                <w:noProof/>
                <w:szCs w:val="22"/>
              </w:rPr>
              <w:t xml:space="preserve"> </w:t>
            </w:r>
          </w:p>
        </w:tc>
        <w:tc>
          <w:tcPr>
            <w:tcW w:w="690" w:type="dxa"/>
            <w:tcBorders>
              <w:top w:val="single" w:sz="6" w:space="0" w:color="auto"/>
              <w:left w:val="single" w:sz="6" w:space="0" w:color="auto"/>
              <w:bottom w:val="single" w:sz="12" w:space="0" w:color="auto"/>
              <w:right w:val="single" w:sz="6" w:space="0" w:color="auto"/>
            </w:tcBorders>
            <w:shd w:val="clear" w:color="auto" w:fill="FFFFFF"/>
            <w:vAlign w:val="center"/>
          </w:tcPr>
          <w:p w14:paraId="480239E9" w14:textId="2555B0B9" w:rsidR="00F8618D" w:rsidRPr="008B13A5" w:rsidRDefault="00F8618D" w:rsidP="0034636B">
            <w:pPr>
              <w:spacing w:after="0"/>
              <w:rPr>
                <w:noProof/>
                <w:szCs w:val="22"/>
              </w:rPr>
            </w:pPr>
            <w:r w:rsidRPr="008B13A5">
              <w:rPr>
                <w:b/>
                <w:noProof/>
                <w:szCs w:val="22"/>
              </w:rPr>
              <w:t>Code</w:t>
            </w:r>
            <w:r w:rsidR="00F274DD" w:rsidRPr="00BD008E">
              <w:rPr>
                <w:noProof/>
                <w:szCs w:val="22"/>
              </w:rPr>
              <w:t xml:space="preserve"> </w:t>
            </w:r>
          </w:p>
        </w:tc>
        <w:tc>
          <w:tcPr>
            <w:tcW w:w="4331" w:type="dxa"/>
            <w:tcBorders>
              <w:top w:val="single" w:sz="6" w:space="0" w:color="auto"/>
              <w:left w:val="single" w:sz="6" w:space="0" w:color="auto"/>
              <w:bottom w:val="single" w:sz="12" w:space="0" w:color="auto"/>
              <w:right w:val="single" w:sz="6" w:space="0" w:color="auto"/>
            </w:tcBorders>
            <w:shd w:val="clear" w:color="auto" w:fill="FFFFFF"/>
            <w:vAlign w:val="center"/>
          </w:tcPr>
          <w:p w14:paraId="18747571" w14:textId="5FF24AC2" w:rsidR="00F8618D" w:rsidRPr="008B13A5" w:rsidRDefault="00F8618D" w:rsidP="0034636B">
            <w:pPr>
              <w:spacing w:after="0"/>
              <w:rPr>
                <w:b/>
                <w:bCs/>
                <w:noProof/>
                <w:szCs w:val="22"/>
              </w:rPr>
            </w:pPr>
            <w:r w:rsidRPr="008B13A5">
              <w:rPr>
                <w:b/>
                <w:bCs/>
                <w:noProof/>
                <w:szCs w:val="22"/>
              </w:rPr>
              <w:t>Stakeholder group</w:t>
            </w:r>
          </w:p>
        </w:tc>
        <w:tc>
          <w:tcPr>
            <w:tcW w:w="575" w:type="dxa"/>
            <w:tcBorders>
              <w:top w:val="single" w:sz="6" w:space="0" w:color="auto"/>
              <w:left w:val="single" w:sz="6" w:space="0" w:color="auto"/>
              <w:bottom w:val="single" w:sz="12" w:space="0" w:color="auto"/>
              <w:right w:val="single" w:sz="6" w:space="0" w:color="auto"/>
            </w:tcBorders>
            <w:shd w:val="clear" w:color="auto" w:fill="FFFFFF"/>
            <w:vAlign w:val="center"/>
          </w:tcPr>
          <w:p w14:paraId="46CA22B4" w14:textId="77777777" w:rsidR="00F8618D" w:rsidRPr="008B13A5" w:rsidRDefault="00F8618D" w:rsidP="0034636B">
            <w:pPr>
              <w:spacing w:after="0"/>
              <w:rPr>
                <w:b/>
                <w:bCs/>
                <w:noProof/>
                <w:szCs w:val="22"/>
              </w:rPr>
            </w:pPr>
            <w:r w:rsidRPr="008B13A5">
              <w:rPr>
                <w:b/>
                <w:bCs/>
                <w:noProof/>
                <w:szCs w:val="22"/>
              </w:rPr>
              <w:t>Code</w:t>
            </w:r>
          </w:p>
        </w:tc>
      </w:tr>
      <w:tr w:rsidR="00F8618D" w:rsidRPr="008B13A5" w14:paraId="11ACEEBC" w14:textId="77777777">
        <w:trPr>
          <w:trHeight w:val="285"/>
        </w:trPr>
        <w:tc>
          <w:tcPr>
            <w:tcW w:w="4185" w:type="dxa"/>
            <w:tcBorders>
              <w:top w:val="single" w:sz="12" w:space="0" w:color="auto"/>
              <w:left w:val="single" w:sz="6" w:space="0" w:color="auto"/>
              <w:bottom w:val="single" w:sz="6" w:space="0" w:color="auto"/>
              <w:right w:val="single" w:sz="6" w:space="0" w:color="auto"/>
            </w:tcBorders>
            <w:vAlign w:val="center"/>
          </w:tcPr>
          <w:p w14:paraId="0E779013" w14:textId="40C4E620" w:rsidR="00F8618D" w:rsidRPr="008B13A5" w:rsidRDefault="00F8618D" w:rsidP="0034636B">
            <w:pPr>
              <w:spacing w:after="0"/>
              <w:jc w:val="left"/>
              <w:rPr>
                <w:noProof/>
                <w:sz w:val="20"/>
                <w:szCs w:val="18"/>
              </w:rPr>
            </w:pPr>
            <w:r w:rsidRPr="008B13A5">
              <w:rPr>
                <w:noProof/>
                <w:sz w:val="20"/>
                <w:szCs w:val="18"/>
              </w:rPr>
              <w:t>Public Investor</w:t>
            </w:r>
            <w:r w:rsidR="00F274DD" w:rsidRPr="008B13A5">
              <w:rPr>
                <w:noProof/>
                <w:sz w:val="20"/>
                <w:szCs w:val="18"/>
              </w:rPr>
              <w:t xml:space="preserve"> </w:t>
            </w:r>
            <w:r w:rsidR="00F274DD" w:rsidRPr="00BD008E">
              <w:rPr>
                <w:noProof/>
                <w:sz w:val="20"/>
                <w:szCs w:val="18"/>
              </w:rPr>
              <w:t xml:space="preserve"> </w:t>
            </w:r>
          </w:p>
        </w:tc>
        <w:tc>
          <w:tcPr>
            <w:tcW w:w="690" w:type="dxa"/>
            <w:tcBorders>
              <w:top w:val="single" w:sz="12" w:space="0" w:color="auto"/>
              <w:left w:val="single" w:sz="6" w:space="0" w:color="auto"/>
              <w:bottom w:val="single" w:sz="6" w:space="0" w:color="auto"/>
              <w:right w:val="single" w:sz="6" w:space="0" w:color="auto"/>
            </w:tcBorders>
            <w:vAlign w:val="center"/>
          </w:tcPr>
          <w:p w14:paraId="1BDEF302" w14:textId="7E45CE39" w:rsidR="00F8618D" w:rsidRPr="008B13A5" w:rsidRDefault="00F8618D" w:rsidP="0034636B">
            <w:pPr>
              <w:spacing w:after="0"/>
              <w:jc w:val="center"/>
              <w:rPr>
                <w:noProof/>
                <w:sz w:val="20"/>
                <w:szCs w:val="18"/>
              </w:rPr>
            </w:pPr>
            <w:r w:rsidRPr="008B13A5">
              <w:rPr>
                <w:noProof/>
                <w:sz w:val="20"/>
                <w:szCs w:val="18"/>
              </w:rPr>
              <w:t>1</w:t>
            </w:r>
          </w:p>
        </w:tc>
        <w:tc>
          <w:tcPr>
            <w:tcW w:w="4331" w:type="dxa"/>
            <w:tcBorders>
              <w:top w:val="single" w:sz="12" w:space="0" w:color="auto"/>
              <w:left w:val="single" w:sz="6" w:space="0" w:color="auto"/>
              <w:bottom w:val="single" w:sz="6" w:space="0" w:color="auto"/>
              <w:right w:val="single" w:sz="6" w:space="0" w:color="auto"/>
            </w:tcBorders>
            <w:vAlign w:val="center"/>
          </w:tcPr>
          <w:p w14:paraId="531D5FDA" w14:textId="1F04BDA1" w:rsidR="00F8618D" w:rsidRPr="008B13A5" w:rsidRDefault="00F8618D" w:rsidP="0034636B">
            <w:pPr>
              <w:spacing w:after="0"/>
              <w:jc w:val="left"/>
              <w:rPr>
                <w:noProof/>
                <w:sz w:val="20"/>
                <w:szCs w:val="18"/>
              </w:rPr>
            </w:pPr>
            <w:r w:rsidRPr="008B13A5">
              <w:rPr>
                <w:noProof/>
                <w:sz w:val="20"/>
                <w:szCs w:val="18"/>
              </w:rPr>
              <w:t>Industry (EMS &amp; PCB)</w:t>
            </w:r>
            <w:r w:rsidR="00F274DD" w:rsidRPr="008B13A5">
              <w:rPr>
                <w:noProof/>
                <w:sz w:val="20"/>
                <w:szCs w:val="18"/>
              </w:rPr>
              <w:t xml:space="preserve"> </w:t>
            </w:r>
            <w:r w:rsidR="00F274DD" w:rsidRPr="00BD008E">
              <w:rPr>
                <w:noProof/>
                <w:sz w:val="20"/>
                <w:szCs w:val="18"/>
              </w:rPr>
              <w:t xml:space="preserve"> </w:t>
            </w:r>
          </w:p>
        </w:tc>
        <w:tc>
          <w:tcPr>
            <w:tcW w:w="575" w:type="dxa"/>
            <w:tcBorders>
              <w:top w:val="single" w:sz="12" w:space="0" w:color="auto"/>
              <w:left w:val="single" w:sz="6" w:space="0" w:color="auto"/>
              <w:bottom w:val="single" w:sz="6" w:space="0" w:color="auto"/>
              <w:right w:val="single" w:sz="6" w:space="0" w:color="auto"/>
            </w:tcBorders>
            <w:vAlign w:val="center"/>
          </w:tcPr>
          <w:p w14:paraId="28F31D04" w14:textId="77777777" w:rsidR="00F8618D" w:rsidRPr="008B13A5" w:rsidRDefault="00F8618D" w:rsidP="0034636B">
            <w:pPr>
              <w:spacing w:after="0"/>
              <w:jc w:val="center"/>
              <w:rPr>
                <w:noProof/>
                <w:sz w:val="20"/>
                <w:szCs w:val="18"/>
              </w:rPr>
            </w:pPr>
            <w:r w:rsidRPr="008B13A5">
              <w:rPr>
                <w:noProof/>
                <w:sz w:val="20"/>
                <w:szCs w:val="18"/>
              </w:rPr>
              <w:t>8</w:t>
            </w:r>
          </w:p>
        </w:tc>
      </w:tr>
      <w:tr w:rsidR="00F8618D" w:rsidRPr="008B13A5" w14:paraId="19754C86" w14:textId="77777777">
        <w:trPr>
          <w:trHeight w:val="285"/>
        </w:trPr>
        <w:tc>
          <w:tcPr>
            <w:tcW w:w="4185" w:type="dxa"/>
            <w:tcBorders>
              <w:top w:val="single" w:sz="6" w:space="0" w:color="auto"/>
              <w:left w:val="single" w:sz="6" w:space="0" w:color="auto"/>
              <w:bottom w:val="single" w:sz="6" w:space="0" w:color="auto"/>
              <w:right w:val="single" w:sz="6" w:space="0" w:color="auto"/>
            </w:tcBorders>
            <w:vAlign w:val="center"/>
          </w:tcPr>
          <w:p w14:paraId="324F5254" w14:textId="6FE4C669" w:rsidR="00F8618D" w:rsidRPr="008B13A5" w:rsidRDefault="00F8618D" w:rsidP="0034636B">
            <w:pPr>
              <w:spacing w:after="0"/>
              <w:jc w:val="left"/>
              <w:rPr>
                <w:noProof/>
                <w:sz w:val="20"/>
                <w:szCs w:val="18"/>
              </w:rPr>
            </w:pPr>
            <w:r w:rsidRPr="008B13A5">
              <w:rPr>
                <w:noProof/>
                <w:sz w:val="20"/>
                <w:szCs w:val="18"/>
              </w:rPr>
              <w:t>EU Financial Institution</w:t>
            </w:r>
            <w:r w:rsidR="00F274DD" w:rsidRPr="008B13A5">
              <w:rPr>
                <w:noProof/>
                <w:sz w:val="20"/>
                <w:szCs w:val="18"/>
              </w:rPr>
              <w:t xml:space="preserve"> </w:t>
            </w:r>
            <w:r w:rsidR="00F274DD" w:rsidRPr="00BD008E">
              <w:rPr>
                <w:noProof/>
                <w:sz w:val="20"/>
                <w:szCs w:val="18"/>
              </w:rPr>
              <w:t xml:space="preserve"> </w:t>
            </w:r>
          </w:p>
        </w:tc>
        <w:tc>
          <w:tcPr>
            <w:tcW w:w="690" w:type="dxa"/>
            <w:tcBorders>
              <w:top w:val="single" w:sz="6" w:space="0" w:color="auto"/>
              <w:left w:val="single" w:sz="6" w:space="0" w:color="auto"/>
              <w:bottom w:val="single" w:sz="6" w:space="0" w:color="auto"/>
              <w:right w:val="single" w:sz="6" w:space="0" w:color="auto"/>
            </w:tcBorders>
            <w:vAlign w:val="center"/>
          </w:tcPr>
          <w:p w14:paraId="2816248D" w14:textId="57055239" w:rsidR="00F8618D" w:rsidRPr="008B13A5" w:rsidRDefault="00F8618D" w:rsidP="0034636B">
            <w:pPr>
              <w:spacing w:after="0"/>
              <w:jc w:val="center"/>
              <w:rPr>
                <w:noProof/>
                <w:sz w:val="20"/>
                <w:szCs w:val="18"/>
              </w:rPr>
            </w:pPr>
            <w:r w:rsidRPr="008B13A5">
              <w:rPr>
                <w:noProof/>
                <w:sz w:val="20"/>
                <w:szCs w:val="18"/>
              </w:rPr>
              <w:t>2</w:t>
            </w:r>
          </w:p>
        </w:tc>
        <w:tc>
          <w:tcPr>
            <w:tcW w:w="4331" w:type="dxa"/>
            <w:tcBorders>
              <w:top w:val="single" w:sz="6" w:space="0" w:color="auto"/>
              <w:left w:val="single" w:sz="6" w:space="0" w:color="auto"/>
              <w:bottom w:val="single" w:sz="6" w:space="0" w:color="auto"/>
              <w:right w:val="single" w:sz="6" w:space="0" w:color="auto"/>
            </w:tcBorders>
            <w:vAlign w:val="center"/>
          </w:tcPr>
          <w:p w14:paraId="74850C5D" w14:textId="1F800659" w:rsidR="00F8618D" w:rsidRPr="008B13A5" w:rsidRDefault="00F8618D" w:rsidP="0034636B">
            <w:pPr>
              <w:spacing w:after="0"/>
              <w:jc w:val="left"/>
              <w:rPr>
                <w:noProof/>
                <w:sz w:val="20"/>
                <w:szCs w:val="18"/>
              </w:rPr>
            </w:pPr>
            <w:r w:rsidRPr="008B13A5">
              <w:rPr>
                <w:noProof/>
                <w:sz w:val="20"/>
                <w:szCs w:val="18"/>
              </w:rPr>
              <w:t>Industry Association</w:t>
            </w:r>
            <w:r w:rsidR="00F274DD" w:rsidRPr="008B13A5">
              <w:rPr>
                <w:noProof/>
                <w:sz w:val="20"/>
                <w:szCs w:val="18"/>
              </w:rPr>
              <w:t xml:space="preserve"> </w:t>
            </w:r>
            <w:r w:rsidR="00F274DD" w:rsidRPr="00BD008E">
              <w:rPr>
                <w:noProof/>
                <w:sz w:val="20"/>
                <w:szCs w:val="18"/>
              </w:rPr>
              <w:t xml:space="preserve"> </w:t>
            </w:r>
          </w:p>
        </w:tc>
        <w:tc>
          <w:tcPr>
            <w:tcW w:w="575" w:type="dxa"/>
            <w:tcBorders>
              <w:top w:val="single" w:sz="6" w:space="0" w:color="auto"/>
              <w:left w:val="single" w:sz="6" w:space="0" w:color="auto"/>
              <w:bottom w:val="single" w:sz="6" w:space="0" w:color="auto"/>
              <w:right w:val="single" w:sz="6" w:space="0" w:color="auto"/>
            </w:tcBorders>
            <w:vAlign w:val="center"/>
          </w:tcPr>
          <w:p w14:paraId="2F382F24" w14:textId="77777777" w:rsidR="00F8618D" w:rsidRPr="008B13A5" w:rsidRDefault="00F8618D" w:rsidP="0034636B">
            <w:pPr>
              <w:spacing w:after="0"/>
              <w:jc w:val="center"/>
              <w:rPr>
                <w:noProof/>
                <w:sz w:val="20"/>
                <w:szCs w:val="18"/>
              </w:rPr>
            </w:pPr>
            <w:r w:rsidRPr="008B13A5">
              <w:rPr>
                <w:noProof/>
                <w:sz w:val="20"/>
                <w:szCs w:val="18"/>
              </w:rPr>
              <w:t>9</w:t>
            </w:r>
          </w:p>
        </w:tc>
      </w:tr>
      <w:tr w:rsidR="00F8618D" w:rsidRPr="008B13A5" w14:paraId="13188E4D" w14:textId="77777777">
        <w:trPr>
          <w:trHeight w:val="285"/>
        </w:trPr>
        <w:tc>
          <w:tcPr>
            <w:tcW w:w="4185" w:type="dxa"/>
            <w:tcBorders>
              <w:top w:val="single" w:sz="6" w:space="0" w:color="auto"/>
              <w:left w:val="single" w:sz="6" w:space="0" w:color="auto"/>
              <w:bottom w:val="single" w:sz="6" w:space="0" w:color="auto"/>
              <w:right w:val="single" w:sz="6" w:space="0" w:color="auto"/>
            </w:tcBorders>
            <w:vAlign w:val="center"/>
          </w:tcPr>
          <w:p w14:paraId="44057F5B" w14:textId="555C3B03" w:rsidR="00F8618D" w:rsidRPr="008B13A5" w:rsidRDefault="00F8618D" w:rsidP="0034636B">
            <w:pPr>
              <w:spacing w:after="0"/>
              <w:jc w:val="left"/>
              <w:rPr>
                <w:noProof/>
                <w:sz w:val="20"/>
                <w:szCs w:val="18"/>
              </w:rPr>
            </w:pPr>
            <w:r w:rsidRPr="008B13A5">
              <w:rPr>
                <w:noProof/>
                <w:sz w:val="20"/>
                <w:szCs w:val="18"/>
              </w:rPr>
              <w:t>Private Investor</w:t>
            </w:r>
            <w:r w:rsidR="00F274DD" w:rsidRPr="008B13A5">
              <w:rPr>
                <w:noProof/>
                <w:sz w:val="20"/>
                <w:szCs w:val="18"/>
              </w:rPr>
              <w:t xml:space="preserve"> </w:t>
            </w:r>
            <w:r w:rsidR="00F274DD" w:rsidRPr="00BD008E">
              <w:rPr>
                <w:noProof/>
                <w:sz w:val="20"/>
                <w:szCs w:val="18"/>
              </w:rPr>
              <w:t xml:space="preserve"> </w:t>
            </w:r>
          </w:p>
        </w:tc>
        <w:tc>
          <w:tcPr>
            <w:tcW w:w="690" w:type="dxa"/>
            <w:tcBorders>
              <w:top w:val="single" w:sz="6" w:space="0" w:color="auto"/>
              <w:left w:val="single" w:sz="6" w:space="0" w:color="auto"/>
              <w:bottom w:val="single" w:sz="6" w:space="0" w:color="auto"/>
              <w:right w:val="single" w:sz="6" w:space="0" w:color="auto"/>
            </w:tcBorders>
            <w:vAlign w:val="center"/>
          </w:tcPr>
          <w:p w14:paraId="21F39543" w14:textId="023035BE" w:rsidR="00F8618D" w:rsidRPr="008B13A5" w:rsidRDefault="00F8618D" w:rsidP="0034636B">
            <w:pPr>
              <w:spacing w:after="0"/>
              <w:jc w:val="center"/>
              <w:rPr>
                <w:noProof/>
                <w:sz w:val="20"/>
                <w:szCs w:val="18"/>
              </w:rPr>
            </w:pPr>
            <w:r w:rsidRPr="008B13A5">
              <w:rPr>
                <w:noProof/>
                <w:sz w:val="20"/>
                <w:szCs w:val="18"/>
              </w:rPr>
              <w:t>3</w:t>
            </w:r>
          </w:p>
        </w:tc>
        <w:tc>
          <w:tcPr>
            <w:tcW w:w="4331" w:type="dxa"/>
            <w:tcBorders>
              <w:top w:val="single" w:sz="6" w:space="0" w:color="auto"/>
              <w:left w:val="single" w:sz="6" w:space="0" w:color="auto"/>
              <w:bottom w:val="single" w:sz="6" w:space="0" w:color="auto"/>
              <w:right w:val="single" w:sz="6" w:space="0" w:color="auto"/>
            </w:tcBorders>
            <w:vAlign w:val="center"/>
          </w:tcPr>
          <w:p w14:paraId="18B1DE98" w14:textId="0AA426D1" w:rsidR="00F8618D" w:rsidRPr="008B13A5" w:rsidRDefault="00F8618D" w:rsidP="0034636B">
            <w:pPr>
              <w:spacing w:after="0"/>
              <w:jc w:val="left"/>
              <w:rPr>
                <w:noProof/>
                <w:sz w:val="20"/>
                <w:szCs w:val="18"/>
              </w:rPr>
            </w:pPr>
            <w:r w:rsidRPr="008B13A5">
              <w:rPr>
                <w:noProof/>
                <w:sz w:val="20"/>
                <w:szCs w:val="18"/>
              </w:rPr>
              <w:t>EU Agency / End-User (Space)</w:t>
            </w:r>
            <w:r w:rsidR="00F274DD" w:rsidRPr="008B13A5">
              <w:rPr>
                <w:noProof/>
                <w:sz w:val="20"/>
                <w:szCs w:val="18"/>
              </w:rPr>
              <w:t xml:space="preserve"> </w:t>
            </w:r>
          </w:p>
        </w:tc>
        <w:tc>
          <w:tcPr>
            <w:tcW w:w="575" w:type="dxa"/>
            <w:tcBorders>
              <w:top w:val="single" w:sz="6" w:space="0" w:color="auto"/>
              <w:left w:val="single" w:sz="6" w:space="0" w:color="auto"/>
              <w:bottom w:val="single" w:sz="6" w:space="0" w:color="auto"/>
              <w:right w:val="single" w:sz="6" w:space="0" w:color="auto"/>
            </w:tcBorders>
            <w:vAlign w:val="center"/>
          </w:tcPr>
          <w:p w14:paraId="7AB529FB" w14:textId="77777777" w:rsidR="00F8618D" w:rsidRPr="008B13A5" w:rsidRDefault="00F8618D" w:rsidP="0034636B">
            <w:pPr>
              <w:spacing w:after="0"/>
              <w:jc w:val="center"/>
              <w:rPr>
                <w:noProof/>
                <w:sz w:val="20"/>
                <w:szCs w:val="18"/>
              </w:rPr>
            </w:pPr>
            <w:r w:rsidRPr="008B13A5">
              <w:rPr>
                <w:noProof/>
                <w:sz w:val="20"/>
                <w:szCs w:val="18"/>
              </w:rPr>
              <w:t>10</w:t>
            </w:r>
          </w:p>
        </w:tc>
      </w:tr>
      <w:tr w:rsidR="00F8618D" w:rsidRPr="008B13A5" w14:paraId="51DC9B85" w14:textId="77777777">
        <w:trPr>
          <w:trHeight w:val="285"/>
        </w:trPr>
        <w:tc>
          <w:tcPr>
            <w:tcW w:w="4185" w:type="dxa"/>
            <w:tcBorders>
              <w:top w:val="single" w:sz="6" w:space="0" w:color="auto"/>
              <w:left w:val="single" w:sz="6" w:space="0" w:color="auto"/>
              <w:bottom w:val="single" w:sz="6" w:space="0" w:color="auto"/>
              <w:right w:val="single" w:sz="6" w:space="0" w:color="auto"/>
            </w:tcBorders>
            <w:vAlign w:val="center"/>
          </w:tcPr>
          <w:p w14:paraId="3017ED3A" w14:textId="386399F8" w:rsidR="00F8618D" w:rsidRPr="008B13A5" w:rsidRDefault="00F8618D" w:rsidP="0034636B">
            <w:pPr>
              <w:spacing w:after="0"/>
              <w:jc w:val="left"/>
              <w:rPr>
                <w:noProof/>
                <w:sz w:val="20"/>
                <w:szCs w:val="18"/>
              </w:rPr>
            </w:pPr>
            <w:r w:rsidRPr="008B13A5">
              <w:rPr>
                <w:noProof/>
                <w:sz w:val="20"/>
                <w:szCs w:val="18"/>
              </w:rPr>
              <w:t>EU Policymaker (European Commission)</w:t>
            </w:r>
            <w:r w:rsidR="00F274DD" w:rsidRPr="008B13A5">
              <w:rPr>
                <w:noProof/>
                <w:sz w:val="20"/>
                <w:szCs w:val="18"/>
              </w:rPr>
              <w:t xml:space="preserve"> </w:t>
            </w:r>
            <w:r w:rsidR="00F274DD" w:rsidRPr="00BD008E">
              <w:rPr>
                <w:noProof/>
                <w:sz w:val="20"/>
                <w:szCs w:val="18"/>
              </w:rPr>
              <w:t xml:space="preserve"> </w:t>
            </w:r>
          </w:p>
        </w:tc>
        <w:tc>
          <w:tcPr>
            <w:tcW w:w="690" w:type="dxa"/>
            <w:tcBorders>
              <w:top w:val="single" w:sz="6" w:space="0" w:color="auto"/>
              <w:left w:val="single" w:sz="6" w:space="0" w:color="auto"/>
              <w:bottom w:val="single" w:sz="6" w:space="0" w:color="auto"/>
              <w:right w:val="single" w:sz="6" w:space="0" w:color="auto"/>
            </w:tcBorders>
            <w:vAlign w:val="center"/>
          </w:tcPr>
          <w:p w14:paraId="20F487F7" w14:textId="0E8A761F" w:rsidR="00F8618D" w:rsidRPr="008B13A5" w:rsidRDefault="00F8618D" w:rsidP="0034636B">
            <w:pPr>
              <w:spacing w:after="0"/>
              <w:jc w:val="center"/>
              <w:rPr>
                <w:noProof/>
                <w:sz w:val="20"/>
                <w:szCs w:val="18"/>
              </w:rPr>
            </w:pPr>
            <w:r w:rsidRPr="008B13A5">
              <w:rPr>
                <w:noProof/>
                <w:sz w:val="20"/>
                <w:szCs w:val="18"/>
              </w:rPr>
              <w:t>4</w:t>
            </w:r>
          </w:p>
        </w:tc>
        <w:tc>
          <w:tcPr>
            <w:tcW w:w="4331" w:type="dxa"/>
            <w:tcBorders>
              <w:top w:val="single" w:sz="6" w:space="0" w:color="auto"/>
              <w:left w:val="single" w:sz="6" w:space="0" w:color="auto"/>
              <w:bottom w:val="single" w:sz="6" w:space="0" w:color="auto"/>
              <w:right w:val="single" w:sz="6" w:space="0" w:color="auto"/>
            </w:tcBorders>
            <w:vAlign w:val="center"/>
          </w:tcPr>
          <w:p w14:paraId="6010C38E" w14:textId="59C9F639" w:rsidR="00F8618D" w:rsidRPr="008B13A5" w:rsidRDefault="00F8618D" w:rsidP="0034636B">
            <w:pPr>
              <w:spacing w:after="0"/>
              <w:jc w:val="left"/>
              <w:rPr>
                <w:noProof/>
                <w:sz w:val="20"/>
                <w:szCs w:val="18"/>
              </w:rPr>
            </w:pPr>
            <w:r w:rsidRPr="008B13A5">
              <w:rPr>
                <w:noProof/>
                <w:sz w:val="20"/>
                <w:szCs w:val="18"/>
              </w:rPr>
              <w:t>Industry (Semiconductor Manufacturer / IDM)</w:t>
            </w:r>
            <w:r w:rsidR="00F274DD" w:rsidRPr="008B13A5">
              <w:rPr>
                <w:noProof/>
                <w:sz w:val="20"/>
                <w:szCs w:val="18"/>
              </w:rPr>
              <w:t xml:space="preserve"> </w:t>
            </w:r>
            <w:r w:rsidR="00F274DD" w:rsidRPr="00BD008E">
              <w:rPr>
                <w:noProof/>
                <w:sz w:val="20"/>
                <w:szCs w:val="18"/>
              </w:rPr>
              <w:t xml:space="preserve"> </w:t>
            </w:r>
          </w:p>
        </w:tc>
        <w:tc>
          <w:tcPr>
            <w:tcW w:w="575" w:type="dxa"/>
            <w:tcBorders>
              <w:top w:val="single" w:sz="6" w:space="0" w:color="auto"/>
              <w:left w:val="single" w:sz="6" w:space="0" w:color="auto"/>
              <w:bottom w:val="single" w:sz="6" w:space="0" w:color="auto"/>
              <w:right w:val="single" w:sz="6" w:space="0" w:color="auto"/>
            </w:tcBorders>
            <w:vAlign w:val="center"/>
          </w:tcPr>
          <w:p w14:paraId="7E2AFA98" w14:textId="77777777" w:rsidR="00F8618D" w:rsidRPr="008B13A5" w:rsidRDefault="00F8618D" w:rsidP="0034636B">
            <w:pPr>
              <w:spacing w:after="0"/>
              <w:jc w:val="center"/>
              <w:rPr>
                <w:noProof/>
                <w:sz w:val="20"/>
                <w:szCs w:val="18"/>
              </w:rPr>
            </w:pPr>
            <w:r w:rsidRPr="008B13A5">
              <w:rPr>
                <w:noProof/>
                <w:sz w:val="20"/>
                <w:szCs w:val="18"/>
              </w:rPr>
              <w:t>11</w:t>
            </w:r>
          </w:p>
        </w:tc>
      </w:tr>
      <w:tr w:rsidR="00F8618D" w:rsidRPr="008B13A5" w14:paraId="4C7976BD" w14:textId="77777777">
        <w:trPr>
          <w:trHeight w:val="285"/>
        </w:trPr>
        <w:tc>
          <w:tcPr>
            <w:tcW w:w="4185" w:type="dxa"/>
            <w:tcBorders>
              <w:top w:val="single" w:sz="6" w:space="0" w:color="auto"/>
              <w:left w:val="single" w:sz="6" w:space="0" w:color="auto"/>
              <w:bottom w:val="single" w:sz="6" w:space="0" w:color="auto"/>
              <w:right w:val="single" w:sz="6" w:space="0" w:color="auto"/>
            </w:tcBorders>
            <w:vAlign w:val="center"/>
          </w:tcPr>
          <w:p w14:paraId="1747125D" w14:textId="582177CF" w:rsidR="00F8618D" w:rsidRPr="008B13A5" w:rsidRDefault="00F8618D" w:rsidP="0034636B">
            <w:pPr>
              <w:spacing w:after="0"/>
              <w:jc w:val="left"/>
              <w:rPr>
                <w:noProof/>
                <w:sz w:val="20"/>
                <w:szCs w:val="18"/>
              </w:rPr>
            </w:pPr>
            <w:r w:rsidRPr="008B13A5">
              <w:rPr>
                <w:noProof/>
                <w:sz w:val="20"/>
                <w:szCs w:val="18"/>
              </w:rPr>
              <w:t>Industry Association</w:t>
            </w:r>
            <w:r w:rsidR="00F274DD" w:rsidRPr="008B13A5">
              <w:rPr>
                <w:noProof/>
                <w:sz w:val="20"/>
                <w:szCs w:val="18"/>
              </w:rPr>
              <w:t xml:space="preserve"> </w:t>
            </w:r>
            <w:r w:rsidR="00F274DD" w:rsidRPr="00BD008E">
              <w:rPr>
                <w:noProof/>
                <w:sz w:val="20"/>
                <w:szCs w:val="18"/>
              </w:rPr>
              <w:t xml:space="preserve"> </w:t>
            </w:r>
          </w:p>
        </w:tc>
        <w:tc>
          <w:tcPr>
            <w:tcW w:w="690" w:type="dxa"/>
            <w:tcBorders>
              <w:top w:val="single" w:sz="6" w:space="0" w:color="auto"/>
              <w:left w:val="single" w:sz="6" w:space="0" w:color="auto"/>
              <w:bottom w:val="single" w:sz="6" w:space="0" w:color="auto"/>
              <w:right w:val="single" w:sz="6" w:space="0" w:color="auto"/>
            </w:tcBorders>
            <w:vAlign w:val="center"/>
          </w:tcPr>
          <w:p w14:paraId="1C98337C" w14:textId="70E22A4D" w:rsidR="00F8618D" w:rsidRPr="008B13A5" w:rsidRDefault="00F8618D" w:rsidP="0034636B">
            <w:pPr>
              <w:spacing w:after="0"/>
              <w:jc w:val="center"/>
              <w:rPr>
                <w:noProof/>
                <w:sz w:val="20"/>
                <w:szCs w:val="18"/>
              </w:rPr>
            </w:pPr>
            <w:r w:rsidRPr="008B13A5">
              <w:rPr>
                <w:noProof/>
                <w:sz w:val="20"/>
                <w:szCs w:val="18"/>
              </w:rPr>
              <w:t>5</w:t>
            </w:r>
          </w:p>
        </w:tc>
        <w:tc>
          <w:tcPr>
            <w:tcW w:w="4331" w:type="dxa"/>
            <w:tcBorders>
              <w:top w:val="single" w:sz="6" w:space="0" w:color="auto"/>
              <w:left w:val="single" w:sz="6" w:space="0" w:color="auto"/>
              <w:bottom w:val="single" w:sz="6" w:space="0" w:color="auto"/>
              <w:right w:val="single" w:sz="6" w:space="0" w:color="auto"/>
            </w:tcBorders>
            <w:vAlign w:val="center"/>
          </w:tcPr>
          <w:p w14:paraId="15FBCA48" w14:textId="18B78976" w:rsidR="00F8618D" w:rsidRPr="008B13A5" w:rsidRDefault="00F8618D" w:rsidP="0034636B">
            <w:pPr>
              <w:spacing w:after="0"/>
              <w:jc w:val="left"/>
              <w:rPr>
                <w:noProof/>
                <w:sz w:val="20"/>
                <w:szCs w:val="18"/>
              </w:rPr>
            </w:pPr>
            <w:r w:rsidRPr="008B13A5">
              <w:rPr>
                <w:noProof/>
                <w:sz w:val="20"/>
                <w:szCs w:val="18"/>
              </w:rPr>
              <w:t>Policy officer</w:t>
            </w:r>
            <w:r w:rsidR="00F274DD" w:rsidRPr="008B13A5">
              <w:rPr>
                <w:noProof/>
                <w:sz w:val="20"/>
                <w:szCs w:val="18"/>
              </w:rPr>
              <w:t xml:space="preserve"> </w:t>
            </w:r>
            <w:r w:rsidR="00F274DD" w:rsidRPr="00BD008E">
              <w:rPr>
                <w:noProof/>
                <w:sz w:val="20"/>
                <w:szCs w:val="18"/>
              </w:rPr>
              <w:t xml:space="preserve"> </w:t>
            </w:r>
          </w:p>
        </w:tc>
        <w:tc>
          <w:tcPr>
            <w:tcW w:w="575" w:type="dxa"/>
            <w:tcBorders>
              <w:top w:val="single" w:sz="6" w:space="0" w:color="auto"/>
              <w:left w:val="single" w:sz="6" w:space="0" w:color="auto"/>
              <w:bottom w:val="single" w:sz="6" w:space="0" w:color="auto"/>
              <w:right w:val="single" w:sz="6" w:space="0" w:color="auto"/>
            </w:tcBorders>
            <w:vAlign w:val="center"/>
          </w:tcPr>
          <w:p w14:paraId="778BE267" w14:textId="77777777" w:rsidR="00F8618D" w:rsidRPr="008B13A5" w:rsidRDefault="00F8618D" w:rsidP="0034636B">
            <w:pPr>
              <w:spacing w:after="0"/>
              <w:jc w:val="center"/>
              <w:rPr>
                <w:noProof/>
                <w:sz w:val="20"/>
                <w:szCs w:val="18"/>
              </w:rPr>
            </w:pPr>
            <w:r w:rsidRPr="008B13A5">
              <w:rPr>
                <w:noProof/>
                <w:sz w:val="20"/>
                <w:szCs w:val="18"/>
              </w:rPr>
              <w:t>12</w:t>
            </w:r>
          </w:p>
        </w:tc>
      </w:tr>
      <w:tr w:rsidR="00F8618D" w:rsidRPr="008B13A5" w14:paraId="7286EFEE" w14:textId="77777777">
        <w:trPr>
          <w:trHeight w:val="285"/>
        </w:trPr>
        <w:tc>
          <w:tcPr>
            <w:tcW w:w="4185" w:type="dxa"/>
            <w:tcBorders>
              <w:top w:val="single" w:sz="6" w:space="0" w:color="auto"/>
              <w:left w:val="single" w:sz="6" w:space="0" w:color="auto"/>
              <w:bottom w:val="single" w:sz="6" w:space="0" w:color="auto"/>
              <w:right w:val="single" w:sz="6" w:space="0" w:color="auto"/>
            </w:tcBorders>
            <w:vAlign w:val="center"/>
          </w:tcPr>
          <w:p w14:paraId="6ACD0B19" w14:textId="35998295" w:rsidR="00F8618D" w:rsidRPr="008B13A5" w:rsidRDefault="00F8618D" w:rsidP="0034636B">
            <w:pPr>
              <w:spacing w:after="0"/>
              <w:jc w:val="left"/>
              <w:rPr>
                <w:noProof/>
                <w:sz w:val="20"/>
                <w:szCs w:val="18"/>
              </w:rPr>
            </w:pPr>
            <w:r w:rsidRPr="008B13A5">
              <w:rPr>
                <w:noProof/>
                <w:sz w:val="20"/>
                <w:szCs w:val="18"/>
              </w:rPr>
              <w:t>EU Policymaker (European Commission)</w:t>
            </w:r>
            <w:r w:rsidR="00F274DD" w:rsidRPr="008B13A5">
              <w:rPr>
                <w:noProof/>
                <w:sz w:val="20"/>
                <w:szCs w:val="18"/>
              </w:rPr>
              <w:t xml:space="preserve"> </w:t>
            </w:r>
            <w:r w:rsidR="00F274DD" w:rsidRPr="00BD008E">
              <w:rPr>
                <w:noProof/>
                <w:sz w:val="20"/>
                <w:szCs w:val="18"/>
              </w:rPr>
              <w:t xml:space="preserve"> </w:t>
            </w:r>
          </w:p>
        </w:tc>
        <w:tc>
          <w:tcPr>
            <w:tcW w:w="690" w:type="dxa"/>
            <w:tcBorders>
              <w:top w:val="single" w:sz="6" w:space="0" w:color="auto"/>
              <w:left w:val="single" w:sz="6" w:space="0" w:color="auto"/>
              <w:bottom w:val="single" w:sz="6" w:space="0" w:color="auto"/>
              <w:right w:val="single" w:sz="6" w:space="0" w:color="auto"/>
            </w:tcBorders>
            <w:vAlign w:val="center"/>
          </w:tcPr>
          <w:p w14:paraId="572FA123" w14:textId="2F7DAECE" w:rsidR="00F8618D" w:rsidRPr="008B13A5" w:rsidRDefault="00F8618D" w:rsidP="0034636B">
            <w:pPr>
              <w:spacing w:after="0"/>
              <w:jc w:val="center"/>
              <w:rPr>
                <w:noProof/>
                <w:sz w:val="20"/>
                <w:szCs w:val="18"/>
              </w:rPr>
            </w:pPr>
            <w:r w:rsidRPr="008B13A5">
              <w:rPr>
                <w:noProof/>
                <w:sz w:val="20"/>
                <w:szCs w:val="18"/>
              </w:rPr>
              <w:t>6</w:t>
            </w:r>
          </w:p>
        </w:tc>
        <w:tc>
          <w:tcPr>
            <w:tcW w:w="4331" w:type="dxa"/>
            <w:tcBorders>
              <w:top w:val="single" w:sz="6" w:space="0" w:color="auto"/>
              <w:left w:val="single" w:sz="6" w:space="0" w:color="auto"/>
              <w:bottom w:val="single" w:sz="6" w:space="0" w:color="auto"/>
              <w:right w:val="single" w:sz="6" w:space="0" w:color="auto"/>
            </w:tcBorders>
            <w:vAlign w:val="center"/>
          </w:tcPr>
          <w:p w14:paraId="59459AA6" w14:textId="46CF4FD3" w:rsidR="00F8618D" w:rsidRPr="008B13A5" w:rsidRDefault="00F8618D" w:rsidP="0034636B">
            <w:pPr>
              <w:spacing w:after="0"/>
              <w:jc w:val="left"/>
              <w:rPr>
                <w:noProof/>
                <w:sz w:val="20"/>
                <w:szCs w:val="18"/>
              </w:rPr>
            </w:pPr>
            <w:r w:rsidRPr="008B13A5">
              <w:rPr>
                <w:noProof/>
                <w:sz w:val="20"/>
                <w:szCs w:val="18"/>
              </w:rPr>
              <w:t>Trade union</w:t>
            </w:r>
            <w:r w:rsidR="00F274DD" w:rsidRPr="008B13A5">
              <w:rPr>
                <w:noProof/>
                <w:sz w:val="20"/>
                <w:szCs w:val="18"/>
              </w:rPr>
              <w:t xml:space="preserve"> </w:t>
            </w:r>
            <w:r w:rsidR="00F274DD" w:rsidRPr="00BD008E">
              <w:rPr>
                <w:noProof/>
                <w:sz w:val="20"/>
                <w:szCs w:val="18"/>
              </w:rPr>
              <w:t xml:space="preserve"> </w:t>
            </w:r>
          </w:p>
        </w:tc>
        <w:tc>
          <w:tcPr>
            <w:tcW w:w="575" w:type="dxa"/>
            <w:tcBorders>
              <w:top w:val="single" w:sz="6" w:space="0" w:color="auto"/>
              <w:left w:val="single" w:sz="6" w:space="0" w:color="auto"/>
              <w:bottom w:val="single" w:sz="6" w:space="0" w:color="auto"/>
              <w:right w:val="single" w:sz="6" w:space="0" w:color="auto"/>
            </w:tcBorders>
            <w:vAlign w:val="center"/>
          </w:tcPr>
          <w:p w14:paraId="5E4AB176" w14:textId="77777777" w:rsidR="00F8618D" w:rsidRPr="008B13A5" w:rsidRDefault="00F8618D" w:rsidP="0034636B">
            <w:pPr>
              <w:spacing w:after="0"/>
              <w:jc w:val="center"/>
              <w:rPr>
                <w:noProof/>
                <w:sz w:val="20"/>
                <w:szCs w:val="18"/>
              </w:rPr>
            </w:pPr>
            <w:r w:rsidRPr="008B13A5">
              <w:rPr>
                <w:noProof/>
                <w:sz w:val="20"/>
                <w:szCs w:val="18"/>
              </w:rPr>
              <w:t>13</w:t>
            </w:r>
          </w:p>
        </w:tc>
      </w:tr>
      <w:tr w:rsidR="00F8618D" w:rsidRPr="008B13A5" w14:paraId="1AF632D4" w14:textId="77777777">
        <w:trPr>
          <w:trHeight w:val="285"/>
        </w:trPr>
        <w:tc>
          <w:tcPr>
            <w:tcW w:w="4185" w:type="dxa"/>
            <w:tcBorders>
              <w:top w:val="single" w:sz="6" w:space="0" w:color="auto"/>
              <w:left w:val="single" w:sz="6" w:space="0" w:color="auto"/>
              <w:bottom w:val="single" w:sz="6" w:space="0" w:color="auto"/>
              <w:right w:val="single" w:sz="6" w:space="0" w:color="auto"/>
            </w:tcBorders>
            <w:vAlign w:val="center"/>
          </w:tcPr>
          <w:p w14:paraId="3DAF652A" w14:textId="09E8C1CD" w:rsidR="00F8618D" w:rsidRPr="008B13A5" w:rsidRDefault="00F8618D" w:rsidP="0034636B">
            <w:pPr>
              <w:spacing w:after="0"/>
              <w:jc w:val="left"/>
              <w:rPr>
                <w:noProof/>
                <w:sz w:val="20"/>
                <w:szCs w:val="18"/>
              </w:rPr>
            </w:pPr>
            <w:r w:rsidRPr="008B13A5">
              <w:rPr>
                <w:noProof/>
                <w:sz w:val="20"/>
                <w:szCs w:val="18"/>
              </w:rPr>
              <w:t>EU Implementation Body / Public-Private Partnership</w:t>
            </w:r>
            <w:r w:rsidR="00F274DD" w:rsidRPr="008B13A5">
              <w:rPr>
                <w:noProof/>
                <w:sz w:val="20"/>
                <w:szCs w:val="18"/>
              </w:rPr>
              <w:t xml:space="preserve"> </w:t>
            </w:r>
            <w:r w:rsidR="00F274DD" w:rsidRPr="00BD008E">
              <w:rPr>
                <w:noProof/>
                <w:sz w:val="20"/>
                <w:szCs w:val="18"/>
              </w:rPr>
              <w:t xml:space="preserve"> </w:t>
            </w:r>
          </w:p>
        </w:tc>
        <w:tc>
          <w:tcPr>
            <w:tcW w:w="690" w:type="dxa"/>
            <w:tcBorders>
              <w:top w:val="single" w:sz="6" w:space="0" w:color="auto"/>
              <w:left w:val="single" w:sz="6" w:space="0" w:color="auto"/>
              <w:bottom w:val="single" w:sz="6" w:space="0" w:color="auto"/>
              <w:right w:val="single" w:sz="6" w:space="0" w:color="auto"/>
            </w:tcBorders>
            <w:vAlign w:val="center"/>
          </w:tcPr>
          <w:p w14:paraId="0CC8BEB9" w14:textId="03A7DECB" w:rsidR="00F8618D" w:rsidRPr="008B13A5" w:rsidRDefault="00F8618D" w:rsidP="0034636B">
            <w:pPr>
              <w:spacing w:after="0"/>
              <w:jc w:val="center"/>
              <w:rPr>
                <w:noProof/>
                <w:sz w:val="20"/>
                <w:szCs w:val="18"/>
              </w:rPr>
            </w:pPr>
            <w:r w:rsidRPr="008B13A5">
              <w:rPr>
                <w:noProof/>
                <w:sz w:val="20"/>
                <w:szCs w:val="18"/>
              </w:rPr>
              <w:t>7</w:t>
            </w:r>
          </w:p>
        </w:tc>
        <w:tc>
          <w:tcPr>
            <w:tcW w:w="4331" w:type="dxa"/>
            <w:tcBorders>
              <w:top w:val="single" w:sz="6" w:space="0" w:color="auto"/>
              <w:left w:val="single" w:sz="6" w:space="0" w:color="auto"/>
              <w:bottom w:val="single" w:sz="6" w:space="0" w:color="auto"/>
              <w:right w:val="single" w:sz="6" w:space="0" w:color="auto"/>
            </w:tcBorders>
            <w:vAlign w:val="center"/>
          </w:tcPr>
          <w:p w14:paraId="0C49771B" w14:textId="6F2D00AC" w:rsidR="00F8618D" w:rsidRPr="008B13A5" w:rsidRDefault="00F8618D" w:rsidP="0034636B">
            <w:pPr>
              <w:spacing w:after="0"/>
              <w:jc w:val="left"/>
              <w:rPr>
                <w:noProof/>
                <w:sz w:val="20"/>
                <w:szCs w:val="18"/>
              </w:rPr>
            </w:pPr>
            <w:r w:rsidRPr="008B13A5">
              <w:rPr>
                <w:noProof/>
                <w:sz w:val="20"/>
                <w:szCs w:val="18"/>
              </w:rPr>
              <w:t>Industry Association</w:t>
            </w:r>
            <w:r w:rsidR="00F274DD" w:rsidRPr="008B13A5">
              <w:rPr>
                <w:noProof/>
                <w:sz w:val="20"/>
                <w:szCs w:val="18"/>
              </w:rPr>
              <w:t xml:space="preserve"> </w:t>
            </w:r>
            <w:r w:rsidR="00F274DD" w:rsidRPr="00BD008E">
              <w:rPr>
                <w:noProof/>
                <w:sz w:val="20"/>
                <w:szCs w:val="18"/>
              </w:rPr>
              <w:t xml:space="preserve"> </w:t>
            </w:r>
          </w:p>
        </w:tc>
        <w:tc>
          <w:tcPr>
            <w:tcW w:w="575" w:type="dxa"/>
            <w:tcBorders>
              <w:top w:val="single" w:sz="6" w:space="0" w:color="auto"/>
              <w:left w:val="single" w:sz="6" w:space="0" w:color="auto"/>
              <w:bottom w:val="single" w:sz="6" w:space="0" w:color="auto"/>
              <w:right w:val="single" w:sz="6" w:space="0" w:color="auto"/>
            </w:tcBorders>
            <w:vAlign w:val="center"/>
          </w:tcPr>
          <w:p w14:paraId="796B0D9D" w14:textId="77777777" w:rsidR="00F8618D" w:rsidRPr="008B13A5" w:rsidRDefault="00F8618D" w:rsidP="0034636B">
            <w:pPr>
              <w:spacing w:after="0"/>
              <w:jc w:val="center"/>
              <w:rPr>
                <w:noProof/>
                <w:sz w:val="20"/>
                <w:szCs w:val="18"/>
              </w:rPr>
            </w:pPr>
            <w:r w:rsidRPr="008B13A5">
              <w:rPr>
                <w:noProof/>
                <w:sz w:val="20"/>
                <w:szCs w:val="18"/>
              </w:rPr>
              <w:t>14</w:t>
            </w:r>
          </w:p>
        </w:tc>
      </w:tr>
    </w:tbl>
    <w:p w14:paraId="7208ACFB" w14:textId="38CBAF97" w:rsidR="00F8618D" w:rsidRPr="008B13A5" w:rsidRDefault="00F274DD" w:rsidP="00F8618D">
      <w:pPr>
        <w:rPr>
          <w:noProof/>
          <w:szCs w:val="22"/>
        </w:rPr>
      </w:pPr>
      <w:r w:rsidRPr="00BD008E">
        <w:rPr>
          <w:noProof/>
          <w:szCs w:val="22"/>
        </w:rPr>
        <w:t xml:space="preserve"> </w:t>
      </w:r>
    </w:p>
    <w:p w14:paraId="51E0FB57" w14:textId="435D61D0" w:rsidR="00F8618D" w:rsidRPr="008B13A5" w:rsidRDefault="00F8618D" w:rsidP="009712FE">
      <w:pPr>
        <w:pStyle w:val="Heading2"/>
        <w:rPr>
          <w:noProof/>
          <w:szCs w:val="22"/>
        </w:rPr>
      </w:pPr>
      <w:bookmarkStart w:id="65" w:name="_Toc223620600"/>
      <w:bookmarkStart w:id="66" w:name="_Toc230010385"/>
      <w:r w:rsidRPr="008B13A5">
        <w:rPr>
          <w:noProof/>
        </w:rPr>
        <w:t>Effectiveness</w:t>
      </w:r>
      <w:bookmarkEnd w:id="65"/>
      <w:bookmarkEnd w:id="66"/>
      <w:r w:rsidR="00F274DD" w:rsidRPr="00BD008E">
        <w:rPr>
          <w:noProof/>
        </w:rPr>
        <w:t xml:space="preserve"> </w:t>
      </w:r>
    </w:p>
    <w:p w14:paraId="3F1710A6" w14:textId="608CCC65" w:rsidR="00F8618D" w:rsidRPr="008B13A5" w:rsidRDefault="00F8618D" w:rsidP="00F8618D">
      <w:pPr>
        <w:rPr>
          <w:noProof/>
          <w:color w:val="000000"/>
          <w:szCs w:val="22"/>
        </w:rPr>
      </w:pPr>
      <w:r w:rsidRPr="008B13A5">
        <w:rPr>
          <w:b/>
          <w:bCs/>
          <w:noProof/>
          <w:color w:val="000000"/>
          <w:szCs w:val="22"/>
        </w:rPr>
        <w:t>Interviewed stakeholders widely reported that Pillar I instruments had been successful</w:t>
      </w:r>
      <w:r w:rsidRPr="008B13A5">
        <w:rPr>
          <w:noProof/>
          <w:color w:val="000000"/>
          <w:szCs w:val="22"/>
        </w:rPr>
        <w:t>. The EIC’s €300M Chips Fund mandate was described as effective in building a portfolio of deep-tech start-ups and in crowding in private investment by validating risky companies. Stakeholders characterised the Design Platform as a standout success for fabless start-ups, offering easier and cheaper access to design tools. Research-oriented interviewees agreed that Europe remained a global research hub, with IPCEIs and pilot lines supporting innovation along the value chain. First-of-a-kind manufacturing projects and cooperation models such as the TSMC Dresden project (ESMC) were viewed as promising steps towards greater sovereignty and more coordinated European action.</w:t>
      </w:r>
    </w:p>
    <w:p w14:paraId="72E67430" w14:textId="6979ED80" w:rsidR="00F8618D" w:rsidRPr="008B13A5" w:rsidRDefault="00F8618D" w:rsidP="00F8618D">
      <w:pPr>
        <w:rPr>
          <w:noProof/>
          <w:color w:val="000000"/>
          <w:szCs w:val="22"/>
        </w:rPr>
      </w:pPr>
      <w:r w:rsidRPr="008B13A5">
        <w:rPr>
          <w:noProof/>
          <w:color w:val="000000"/>
          <w:szCs w:val="22"/>
        </w:rPr>
        <w:t xml:space="preserve">However, perceived </w:t>
      </w:r>
      <w:r w:rsidRPr="008B13A5">
        <w:rPr>
          <w:b/>
          <w:bCs/>
          <w:noProof/>
          <w:color w:val="000000"/>
          <w:szCs w:val="22"/>
        </w:rPr>
        <w:t>effectiveness dropped sharply at the transition from research to industrialisation and scaling,</w:t>
      </w:r>
      <w:r w:rsidRPr="008B13A5">
        <w:rPr>
          <w:noProof/>
          <w:color w:val="000000"/>
          <w:szCs w:val="22"/>
        </w:rPr>
        <w:t xml:space="preserve"> creating a pronounced “valley of death” between early-stage innovation and commercialisation. Access to and involvement in pilot lines for start-ups and SMEs was described as unclear and costly and was perceived as a missed opportunity, particularly for equipment and hardware start-ups that needed real testing environments. Stakeholders generally judged Pillar II to be less effective due to weak coordination, the dominance of national budgets (leading to concentration in large Member States), and a lack of clear metrics. They argued that the system mainly supported incremental, rather than disruptive, innovation and that project timelines (3–4 years) were too short for breakthrough technologies that might require seven years or more.</w:t>
      </w:r>
    </w:p>
    <w:p w14:paraId="0E044502" w14:textId="19A7219A" w:rsidR="00F8618D" w:rsidRPr="008B13A5" w:rsidRDefault="00F8618D" w:rsidP="00F8618D">
      <w:pPr>
        <w:rPr>
          <w:noProof/>
          <w:color w:val="000000"/>
          <w:szCs w:val="22"/>
        </w:rPr>
      </w:pPr>
      <w:r w:rsidRPr="008B13A5">
        <w:rPr>
          <w:b/>
          <w:bCs/>
          <w:noProof/>
          <w:color w:val="000000"/>
          <w:szCs w:val="22"/>
        </w:rPr>
        <w:t>Interviewees identified the investment and market environment as key structural constraints</w:t>
      </w:r>
      <w:r w:rsidRPr="008B13A5">
        <w:rPr>
          <w:noProof/>
          <w:color w:val="000000"/>
          <w:szCs w:val="22"/>
        </w:rPr>
        <w:t>. They claimed that without significantly larger funding, Europe could not expect meaningful independence in advanced CMOS nodes or a competitive position in AI-related hardware. Limited VC and capital markets, the lack of advanced fabs, and the absence of strong European end-users in key sectors such as consumer electronics and AI hardware were said to push start-ups to relocate or raise funds in the US, where both public and private capital moved faster and at much larger scale. While the Chips Act was considered helpful at the seed and early stages, stakeholders argued that it did not yet solve the “valley of death” for follow-on financing. SME representatives pointed out complex and demanding procedures that made it practically impossible for them to benefit, and some interviewees felt that the Chips Act had not made Europe more attractive for semiconductor start-ups.</w:t>
      </w:r>
    </w:p>
    <w:p w14:paraId="54D82309" w14:textId="397E13DA" w:rsidR="00F8618D" w:rsidRPr="008B13A5" w:rsidRDefault="00F8618D" w:rsidP="00F8618D">
      <w:pPr>
        <w:rPr>
          <w:noProof/>
          <w:color w:val="000000"/>
          <w:szCs w:val="22"/>
        </w:rPr>
      </w:pPr>
      <w:r w:rsidRPr="008B13A5">
        <w:rPr>
          <w:noProof/>
          <w:color w:val="000000"/>
          <w:szCs w:val="22"/>
        </w:rPr>
        <w:t xml:space="preserve">Views on supply-chain resilience and governance effects were described as mixed. Interviewees acknowledged that, on paper, the Act had improved sovereignty and triggered new projects, but they also emphasised that Europe still relied heavily on Asian, especially Taiwanese, suppliers and that current investment volumes were viewed as “cosmetic” compared to Asia’s. </w:t>
      </w:r>
    </w:p>
    <w:p w14:paraId="02C4EAC9" w14:textId="5A35F306" w:rsidR="00F8618D" w:rsidRPr="008B13A5" w:rsidRDefault="00F8618D" w:rsidP="00F8618D">
      <w:pPr>
        <w:rPr>
          <w:noProof/>
          <w:color w:val="000000"/>
          <w:szCs w:val="22"/>
        </w:rPr>
      </w:pPr>
      <w:r w:rsidRPr="008B13A5">
        <w:rPr>
          <w:noProof/>
          <w:color w:val="000000"/>
          <w:szCs w:val="22"/>
        </w:rPr>
        <w:t xml:space="preserve">Stakeholders involved in Pillar III reported that data collection had shown voluntary mechanisms could work technically, but effectiveness had been undermined because the information gathered was not meaningfully used, which they said damaged trust and future cooperation. </w:t>
      </w:r>
    </w:p>
    <w:p w14:paraId="576FE4AE" w14:textId="0847F0B8" w:rsidR="00F8618D" w:rsidRPr="008B13A5" w:rsidRDefault="00F8618D" w:rsidP="00117597">
      <w:pPr>
        <w:rPr>
          <w:noProof/>
          <w:szCs w:val="22"/>
        </w:rPr>
      </w:pPr>
      <w:r w:rsidRPr="008B13A5">
        <w:rPr>
          <w:noProof/>
        </w:rPr>
        <w:t>Finally,</w:t>
      </w:r>
      <w:r w:rsidRPr="008B13A5">
        <w:rPr>
          <w:noProof/>
          <w:szCs w:val="22"/>
        </w:rPr>
        <w:t xml:space="preserve"> some stakeholders argued that supply-side support alone was insufficient. In their view, </w:t>
      </w:r>
      <w:r w:rsidRPr="008B13A5">
        <w:rPr>
          <w:b/>
          <w:bCs/>
          <w:noProof/>
          <w:szCs w:val="22"/>
        </w:rPr>
        <w:t>effectiveness required stronger demand-side measures</w:t>
      </w:r>
      <w:r w:rsidRPr="008B13A5">
        <w:rPr>
          <w:noProof/>
          <w:szCs w:val="22"/>
        </w:rPr>
        <w:t xml:space="preserve"> (e.g., “buy European” clauses in public procurement for initiatives such as the Pilot Lines, AI Factories, and EuroHPC) to counter the tendency for purchases to come predominantly from US or Japanese suppliers.</w:t>
      </w:r>
    </w:p>
    <w:p w14:paraId="7AA4C1E0" w14:textId="3DF3E712" w:rsidR="00F8618D" w:rsidRPr="008B13A5" w:rsidRDefault="00F8618D" w:rsidP="009712FE">
      <w:pPr>
        <w:pStyle w:val="Heading2"/>
        <w:rPr>
          <w:noProof/>
          <w:szCs w:val="22"/>
        </w:rPr>
      </w:pPr>
      <w:bookmarkStart w:id="67" w:name="_Toc223620601"/>
      <w:bookmarkStart w:id="68" w:name="_Toc230010386"/>
      <w:r w:rsidRPr="008B13A5">
        <w:rPr>
          <w:noProof/>
        </w:rPr>
        <w:t>Efficiency</w:t>
      </w:r>
      <w:bookmarkEnd w:id="67"/>
      <w:bookmarkEnd w:id="68"/>
      <w:r w:rsidR="00F274DD" w:rsidRPr="008B13A5">
        <w:rPr>
          <w:noProof/>
        </w:rPr>
        <w:t xml:space="preserve"> </w:t>
      </w:r>
    </w:p>
    <w:p w14:paraId="1DAE96FA" w14:textId="4DCA08B3" w:rsidR="00F8618D" w:rsidRPr="008B13A5" w:rsidRDefault="00F8618D" w:rsidP="00F8618D">
      <w:pPr>
        <w:rPr>
          <w:noProof/>
          <w:color w:val="000000"/>
          <w:szCs w:val="22"/>
        </w:rPr>
      </w:pPr>
      <w:r w:rsidRPr="008B13A5">
        <w:rPr>
          <w:b/>
          <w:bCs/>
          <w:noProof/>
          <w:color w:val="000000"/>
          <w:szCs w:val="22"/>
        </w:rPr>
        <w:t>Stakeholders reported that the Chips Act was seen as strategically important but at times operationally challenging</w:t>
      </w:r>
      <w:r w:rsidRPr="008B13A5">
        <w:rPr>
          <w:noProof/>
          <w:color w:val="000000"/>
          <w:szCs w:val="22"/>
        </w:rPr>
        <w:t>. They generally argued that some instruments were not well aligned with the capital intensity and timelines of semiconductors, and that governance across funding streams and administrative levels could be difficult to navigate. Several companies reported duplicated procedures for the same project, which increased costs and slowed decisions, while smaller players often relied on consultants to manage similar application requirements.</w:t>
      </w:r>
    </w:p>
    <w:p w14:paraId="4DE2BE2D" w14:textId="0980BE10" w:rsidR="00F8618D" w:rsidRPr="008B13A5" w:rsidRDefault="00F8618D" w:rsidP="00F8618D">
      <w:pPr>
        <w:rPr>
          <w:noProof/>
          <w:color w:val="000000"/>
          <w:szCs w:val="22"/>
        </w:rPr>
      </w:pPr>
      <w:r w:rsidRPr="008B13A5">
        <w:rPr>
          <w:noProof/>
          <w:color w:val="000000"/>
          <w:szCs w:val="22"/>
        </w:rPr>
        <w:t xml:space="preserve">Interviewees pointed to the design and sequencing of funding instruments as a key issue. Existing innovation and scale-up tools were described as insufficiently tailored to the cost structure of chip development. </w:t>
      </w:r>
      <w:r w:rsidRPr="008B13A5">
        <w:rPr>
          <w:b/>
          <w:bCs/>
          <w:noProof/>
          <w:color w:val="000000"/>
          <w:szCs w:val="22"/>
        </w:rPr>
        <w:t>Grants were often too small for major steps such as a tape-out, while the next-tier instruments required higher technological maturity than many firms had reached</w:t>
      </w:r>
      <w:r w:rsidRPr="008B13A5">
        <w:rPr>
          <w:noProof/>
          <w:color w:val="000000"/>
          <w:szCs w:val="22"/>
        </w:rPr>
        <w:t>. This contributed to a “valley of death” between programmes and, in scale-up support, to difficulties meeting requirements for significant prior investment commitments. Stakeholders argued that more flexible ticket sizes, smoother transitions across technology readiness levels and clearer rules for co-investment with trusted non-EU partners would improve alignment with sector needs.</w:t>
      </w:r>
    </w:p>
    <w:p w14:paraId="0EA69785" w14:textId="437E3137" w:rsidR="00F8618D" w:rsidRPr="008B13A5" w:rsidRDefault="00F8618D" w:rsidP="00F8618D">
      <w:pPr>
        <w:rPr>
          <w:noProof/>
          <w:color w:val="000000"/>
          <w:szCs w:val="22"/>
        </w:rPr>
      </w:pPr>
      <w:r w:rsidRPr="008B13A5">
        <w:rPr>
          <w:b/>
          <w:bCs/>
          <w:noProof/>
          <w:color w:val="000000"/>
          <w:szCs w:val="22"/>
        </w:rPr>
        <w:t>Procedures were frequently described as slower and more burdensome</w:t>
      </w:r>
      <w:r w:rsidRPr="008B13A5">
        <w:rPr>
          <w:noProof/>
          <w:color w:val="000000"/>
          <w:szCs w:val="22"/>
        </w:rPr>
        <w:t xml:space="preserve"> than in competing regions. Validation and approval for first-of-a-kind investments could take many months, and the gap between political announcements and the first calls was occasionally long. Interviewees also noted repeated documentation requests, digital platforms that did not always function as intended and limited administrative capacity. Stakeholders also highlighted limited transparency on application status, criteria and decision-making, which made planning difficult. They noted the absence of an EU-level overview of firms and investment activity, reducing visibility for effective policy steering. These experiences indicated, in their view, room for simplification, clearer timelines and more consistent once-only submission practices.</w:t>
      </w:r>
    </w:p>
    <w:p w14:paraId="280F949F" w14:textId="635E0C4D" w:rsidR="00F8618D" w:rsidRPr="008B13A5" w:rsidRDefault="00F8618D" w:rsidP="00117597">
      <w:pPr>
        <w:rPr>
          <w:noProof/>
          <w:szCs w:val="22"/>
        </w:rPr>
      </w:pPr>
      <w:r w:rsidRPr="008B13A5">
        <w:rPr>
          <w:noProof/>
        </w:rPr>
        <w:t>Finally,</w:t>
      </w:r>
      <w:r w:rsidRPr="008B13A5">
        <w:rPr>
          <w:noProof/>
          <w:szCs w:val="22"/>
        </w:rPr>
        <w:t xml:space="preserve"> several stakeholders commented that the Act had been assembled under time pressure with limited early industry input, resulting in instruments layered onto administrative systems not fully adapted to semiconductor needs. Decisions to fund many parallel technology areas, such as in quantum, were viewed as spreading resources thinly. Interviewees also noted that for the most financially robust global semiconductor firms, bottlenecks related less to subsidies than to broader framework conditions such as predictable permitting, skilled labour availability and competitive operating costs.</w:t>
      </w:r>
    </w:p>
    <w:p w14:paraId="78C5604A" w14:textId="799B5E29" w:rsidR="00F8618D" w:rsidRPr="008B13A5" w:rsidRDefault="00F8618D" w:rsidP="009712FE">
      <w:pPr>
        <w:pStyle w:val="Heading2"/>
        <w:rPr>
          <w:noProof/>
          <w:szCs w:val="22"/>
        </w:rPr>
      </w:pPr>
      <w:bookmarkStart w:id="69" w:name="_Toc223620602"/>
      <w:bookmarkStart w:id="70" w:name="_Toc230010387"/>
      <w:r w:rsidRPr="008B13A5">
        <w:rPr>
          <w:noProof/>
        </w:rPr>
        <w:t>Coherence</w:t>
      </w:r>
      <w:bookmarkEnd w:id="69"/>
      <w:bookmarkEnd w:id="70"/>
      <w:r w:rsidR="00F274DD" w:rsidRPr="008B13A5">
        <w:rPr>
          <w:noProof/>
        </w:rPr>
        <w:t xml:space="preserve"> </w:t>
      </w:r>
    </w:p>
    <w:p w14:paraId="470BF07E" w14:textId="24AD65AB" w:rsidR="00F8618D" w:rsidRPr="008B13A5" w:rsidRDefault="00F8618D" w:rsidP="00F8618D">
      <w:pPr>
        <w:rPr>
          <w:noProof/>
          <w:color w:val="000000"/>
          <w:szCs w:val="22"/>
        </w:rPr>
      </w:pPr>
      <w:r w:rsidRPr="008B13A5">
        <w:rPr>
          <w:noProof/>
          <w:color w:val="000000"/>
          <w:szCs w:val="22"/>
        </w:rPr>
        <w:t xml:space="preserve">Stakeholders generally indicated that coherence had been a recurring challenge in the implementation of the Chips Act, both within the EU policy system and across Member States. They noted that internal coherence between innovation funding instruments and top-down policy design had sometimes been limited. Bottom-up work with start-ups was seen as insufficiently connected to the design or adjustment of large-scale instruments. Interviewees reported that operational services collected valuable insights from start-ups, but these were not always fed back into policymaking. </w:t>
      </w:r>
    </w:p>
    <w:p w14:paraId="3015E41F" w14:textId="325F1E5A" w:rsidR="00F8618D" w:rsidRPr="008B13A5" w:rsidRDefault="00F8618D" w:rsidP="00F8618D">
      <w:pPr>
        <w:rPr>
          <w:noProof/>
          <w:color w:val="000000"/>
          <w:szCs w:val="22"/>
        </w:rPr>
      </w:pPr>
      <w:r w:rsidRPr="008B13A5">
        <w:rPr>
          <w:noProof/>
          <w:color w:val="000000"/>
          <w:szCs w:val="22"/>
        </w:rPr>
        <w:t xml:space="preserve">Stakeholders also observed that coherence across instruments and programmes had been uneven. Although synergies in principle existed between frontier research, proof-of-concept funding, transition mechanisms, and later-stage innovation support, interviewees suggested that these links tended to depend on individual initiative rather than structured coordination. </w:t>
      </w:r>
      <w:r w:rsidRPr="008B13A5">
        <w:rPr>
          <w:b/>
          <w:bCs/>
          <w:noProof/>
          <w:color w:val="000000"/>
          <w:szCs w:val="22"/>
        </w:rPr>
        <w:t>The intended pathway from research to pilot lines and then to production was not widely perceived as an integrated continuum</w:t>
      </w:r>
      <w:r w:rsidRPr="008B13A5">
        <w:rPr>
          <w:noProof/>
          <w:color w:val="000000"/>
          <w:szCs w:val="22"/>
        </w:rPr>
        <w:t>. The first pillar was viewed as largely research-driven, with limited mechanisms to support the translation of results into industrial innovation or manufacturing scale-up.</w:t>
      </w:r>
    </w:p>
    <w:p w14:paraId="52DD44A4" w14:textId="108E33D4" w:rsidR="00F8618D" w:rsidRPr="008B13A5" w:rsidRDefault="00F8618D" w:rsidP="00F8618D">
      <w:pPr>
        <w:rPr>
          <w:noProof/>
          <w:color w:val="000000"/>
          <w:szCs w:val="22"/>
        </w:rPr>
      </w:pPr>
      <w:r w:rsidRPr="008B13A5">
        <w:rPr>
          <w:noProof/>
          <w:color w:val="000000"/>
          <w:szCs w:val="22"/>
        </w:rPr>
        <w:t xml:space="preserve">Interviewees further noted that coordination across Member States had sometimes been fragmented. </w:t>
      </w:r>
      <w:r w:rsidRPr="008B13A5">
        <w:rPr>
          <w:b/>
          <w:bCs/>
          <w:noProof/>
          <w:color w:val="000000"/>
          <w:szCs w:val="22"/>
        </w:rPr>
        <w:t>National and regional semiconductor initiatives were often developed independently</w:t>
      </w:r>
      <w:r w:rsidRPr="008B13A5">
        <w:rPr>
          <w:noProof/>
          <w:color w:val="000000"/>
          <w:szCs w:val="22"/>
        </w:rPr>
        <w:t>, without a clear framework to bring them together into a more strategic European approach. Governance structures intended to facilitate coordination were described as offering limited visibility into other countries’ activities, which stakeholders felt could hinder mutual learning and risk duplication. According to several interviewees, parts of the value chain, such as electronic manufacturing services and PCB industries, were receiving comparatively less attention.</w:t>
      </w:r>
    </w:p>
    <w:p w14:paraId="0D9F1715" w14:textId="2495A482" w:rsidR="00F8618D" w:rsidRPr="008B13A5" w:rsidRDefault="00F8618D" w:rsidP="00F8618D">
      <w:pPr>
        <w:rPr>
          <w:noProof/>
          <w:color w:val="000000"/>
          <w:szCs w:val="22"/>
        </w:rPr>
      </w:pPr>
      <w:r w:rsidRPr="008B13A5">
        <w:rPr>
          <w:noProof/>
          <w:color w:val="000000"/>
          <w:szCs w:val="22"/>
        </w:rPr>
        <w:t xml:space="preserve">Stakeholders also pointed to areas where </w:t>
      </w:r>
      <w:r w:rsidRPr="008B13A5">
        <w:rPr>
          <w:b/>
          <w:bCs/>
          <w:noProof/>
          <w:color w:val="000000"/>
          <w:szCs w:val="22"/>
        </w:rPr>
        <w:t xml:space="preserve">legal and policy scope had been unclear </w:t>
      </w:r>
      <w:r w:rsidRPr="008B13A5">
        <w:rPr>
          <w:noProof/>
          <w:color w:val="000000"/>
          <w:szCs w:val="22"/>
        </w:rPr>
        <w:t>or not fully aligned with other regulatory instruments. Definitions such as what constituted first-of-a-kind were considered difficult to interpret, and some critical segments (e.g., materials suppliers, testing, metrology equipment) were not always clearly addressed. Interviewees also noted potential tensions with other frameworks, including foreign subsidy rules. Environmental and energy-efficiency considerations, prominent in State aid rules, were not seen as strongly integrated into the Chips Act.</w:t>
      </w:r>
    </w:p>
    <w:p w14:paraId="2B452964" w14:textId="71FBF610" w:rsidR="00F8618D" w:rsidRPr="008B13A5" w:rsidRDefault="00F8618D" w:rsidP="00117597">
      <w:pPr>
        <w:rPr>
          <w:noProof/>
          <w:szCs w:val="22"/>
        </w:rPr>
      </w:pPr>
      <w:r w:rsidRPr="008B13A5">
        <w:rPr>
          <w:noProof/>
        </w:rPr>
        <w:t>Finally,</w:t>
      </w:r>
      <w:r w:rsidRPr="008B13A5">
        <w:rPr>
          <w:noProof/>
          <w:szCs w:val="22"/>
        </w:rPr>
        <w:t xml:space="preserve"> stakeholders described </w:t>
      </w:r>
      <w:r w:rsidRPr="008B13A5">
        <w:rPr>
          <w:b/>
          <w:bCs/>
          <w:noProof/>
          <w:szCs w:val="22"/>
        </w:rPr>
        <w:t>data collection and monitoring as an area where coherence could be strengthened</w:t>
      </w:r>
      <w:r w:rsidRPr="008B13A5">
        <w:rPr>
          <w:noProof/>
          <w:szCs w:val="22"/>
        </w:rPr>
        <w:t>. Multiple Commission services, Member States, and private actors carried out parallel semiconductor-related data exercises, sometimes overlapping and targeting the same firms. Interviewees reported a lack of a shared framework or one-stop-shop, which they felt increased administrative burden and reduced transparency. They also saw limited evidence that collected data was systematically pooled or used to support coordinated policy development, noting that effective monitoring, particularly under the third pillar, would require both legal provisions and sufficient institutional capacity.</w:t>
      </w:r>
    </w:p>
    <w:p w14:paraId="1751B3FA" w14:textId="35E54DD4" w:rsidR="00F8618D" w:rsidRPr="008B13A5" w:rsidRDefault="00F8618D" w:rsidP="009712FE">
      <w:pPr>
        <w:pStyle w:val="Heading2"/>
        <w:rPr>
          <w:noProof/>
          <w:szCs w:val="22"/>
        </w:rPr>
      </w:pPr>
      <w:bookmarkStart w:id="71" w:name="_Toc223620603"/>
      <w:bookmarkStart w:id="72" w:name="_Toc230010388"/>
      <w:r w:rsidRPr="008B13A5">
        <w:rPr>
          <w:noProof/>
        </w:rPr>
        <w:t>EU added value</w:t>
      </w:r>
      <w:bookmarkEnd w:id="71"/>
      <w:bookmarkEnd w:id="72"/>
      <w:r w:rsidR="00F274DD" w:rsidRPr="008B13A5">
        <w:rPr>
          <w:noProof/>
        </w:rPr>
        <w:t xml:space="preserve"> </w:t>
      </w:r>
    </w:p>
    <w:p w14:paraId="34723EB6" w14:textId="69610221" w:rsidR="00F8618D" w:rsidRPr="008B13A5" w:rsidRDefault="00F8618D" w:rsidP="00F8618D">
      <w:pPr>
        <w:rPr>
          <w:noProof/>
          <w:color w:val="000000"/>
          <w:szCs w:val="22"/>
        </w:rPr>
      </w:pPr>
      <w:r w:rsidRPr="008B13A5">
        <w:rPr>
          <w:b/>
          <w:bCs/>
          <w:noProof/>
          <w:color w:val="000000"/>
          <w:szCs w:val="22"/>
        </w:rPr>
        <w:t>Stakeholders generally indicated that European funding instruments had played a crucial role for deep-tech start-ups in semiconductors and related fields</w:t>
      </w:r>
      <w:r w:rsidRPr="008B13A5">
        <w:rPr>
          <w:noProof/>
          <w:color w:val="000000"/>
          <w:szCs w:val="22"/>
        </w:rPr>
        <w:t>. Many interviewees believed that companies supported through Union programmes would have struggled to survive on national or private funding alone, especially at very early and capital-intensive stages. European-level public investment, combined with national support, was described as “genuinely additional”, enabling rounds and growth that many Member States could not have achieved independently.</w:t>
      </w:r>
    </w:p>
    <w:p w14:paraId="1DDC8B22" w14:textId="70E7DDBE" w:rsidR="00F8618D" w:rsidRPr="008B13A5" w:rsidRDefault="00F8618D" w:rsidP="00F8618D">
      <w:pPr>
        <w:rPr>
          <w:noProof/>
          <w:color w:val="000000"/>
          <w:szCs w:val="22"/>
        </w:rPr>
      </w:pPr>
      <w:r w:rsidRPr="008B13A5">
        <w:rPr>
          <w:noProof/>
          <w:color w:val="000000"/>
          <w:szCs w:val="22"/>
        </w:rPr>
        <w:t xml:space="preserve">Interviewees noted important signalling and ecosystem effects too. The Chips Act was seen as demonstrating institutional commitment, helping build investor trust and a more visible European semiconductor community. Events and portfolio efforts were viewed as contributing to </w:t>
      </w:r>
      <w:r w:rsidRPr="008B13A5">
        <w:rPr>
          <w:b/>
          <w:bCs/>
          <w:noProof/>
          <w:color w:val="000000"/>
          <w:szCs w:val="22"/>
        </w:rPr>
        <w:t>“a recognisable European semiconductor ecosystem”</w:t>
      </w:r>
      <w:r w:rsidRPr="008B13A5">
        <w:rPr>
          <w:noProof/>
          <w:color w:val="000000"/>
          <w:szCs w:val="22"/>
        </w:rPr>
        <w:t xml:space="preserve"> rather than a set of disconnected national efforts.</w:t>
      </w:r>
    </w:p>
    <w:p w14:paraId="30D267FA" w14:textId="0E231B51" w:rsidR="00F8618D" w:rsidRPr="008B13A5" w:rsidRDefault="00F8618D" w:rsidP="00F8618D">
      <w:pPr>
        <w:rPr>
          <w:noProof/>
          <w:color w:val="000000"/>
          <w:szCs w:val="22"/>
        </w:rPr>
      </w:pPr>
      <w:r w:rsidRPr="008B13A5">
        <w:rPr>
          <w:b/>
          <w:bCs/>
          <w:noProof/>
          <w:color w:val="000000"/>
          <w:szCs w:val="22"/>
        </w:rPr>
        <w:t>On regulation and coordination, stakeholders argued that the EU offered value that Member States could not replicate alone.</w:t>
      </w:r>
      <w:r w:rsidRPr="008B13A5">
        <w:rPr>
          <w:noProof/>
          <w:color w:val="000000"/>
          <w:szCs w:val="22"/>
        </w:rPr>
        <w:t xml:space="preserve"> The state aid framework linked to the Chips Act and IPCEI experience was perceived as creating “a common playing field”, giving Europe clearer rules for competing in global subsidy environments, even though most investment came from national budgets.</w:t>
      </w:r>
    </w:p>
    <w:p w14:paraId="12EBA662" w14:textId="48DD5856" w:rsidR="00F8618D" w:rsidRPr="008B13A5" w:rsidRDefault="00F8618D" w:rsidP="00F8618D">
      <w:pPr>
        <w:rPr>
          <w:noProof/>
          <w:color w:val="000000"/>
          <w:szCs w:val="22"/>
        </w:rPr>
      </w:pPr>
      <w:r w:rsidRPr="008B13A5">
        <w:rPr>
          <w:noProof/>
          <w:color w:val="000000"/>
          <w:szCs w:val="22"/>
        </w:rPr>
        <w:t>The joint undertaking structure was viewed as another source of added value through its matching-fund model. Interviewees saw this “money-doubling mechanism” that encouraged national mobilisation. At the same time, they noted that the Act continued to rely heavily on national fiscal capacity, limiting the extent to which EU-level funding could reduce disparities between larger and smaller Member States. Stakeholders also highlighted added value in market intelligence. They reported that only an EU-level effort could generate comprehensive cross-border data on semiconductor use and revenues, which companies valued as a neutral reference point. Yet, they stressed that this advantage depended on such information being visibly used in policy design; otherwise, the case for centralised monitoring weakened.</w:t>
      </w:r>
    </w:p>
    <w:p w14:paraId="755AB8CB" w14:textId="2E1A0D7C" w:rsidR="00F8618D" w:rsidRPr="008B13A5" w:rsidRDefault="00F8618D" w:rsidP="00117597">
      <w:pPr>
        <w:rPr>
          <w:noProof/>
          <w:szCs w:val="22"/>
        </w:rPr>
      </w:pPr>
      <w:r w:rsidRPr="008B13A5">
        <w:rPr>
          <w:noProof/>
        </w:rPr>
        <w:t>Interviewees</w:t>
      </w:r>
      <w:r w:rsidRPr="008B13A5">
        <w:rPr>
          <w:noProof/>
          <w:szCs w:val="22"/>
        </w:rPr>
        <w:t xml:space="preserve"> also mentioned several limits. Slow funding roll-out, shaped by the Multiannual Financial Framework and procedural complexity, was perceived as reducing the Act’s competitiveness relative to faster support schemes elsewhere. Stakeholders additionally noted that full semiconductor autonomy was unrealistic. </w:t>
      </w:r>
      <w:r w:rsidRPr="008B13A5">
        <w:rPr>
          <w:b/>
          <w:bCs/>
          <w:noProof/>
          <w:szCs w:val="22"/>
        </w:rPr>
        <w:t>They saw the EU’s most feasible contribution as reinforcing existing industrial strengths, attracting inward investment, and supporting competitive European firms within global supply chains</w:t>
      </w:r>
      <w:r w:rsidRPr="008B13A5">
        <w:rPr>
          <w:noProof/>
          <w:szCs w:val="22"/>
        </w:rPr>
        <w:t xml:space="preserve"> rather than pursuing full localisation.</w:t>
      </w:r>
    </w:p>
    <w:p w14:paraId="3470309E" w14:textId="0676C418" w:rsidR="00F8618D" w:rsidRPr="008B13A5" w:rsidRDefault="00F8618D" w:rsidP="009712FE">
      <w:pPr>
        <w:pStyle w:val="Heading2"/>
        <w:rPr>
          <w:noProof/>
          <w:szCs w:val="22"/>
        </w:rPr>
      </w:pPr>
      <w:bookmarkStart w:id="73" w:name="_Toc223620604"/>
      <w:bookmarkStart w:id="74" w:name="_Toc230010389"/>
      <w:r w:rsidRPr="008B13A5">
        <w:rPr>
          <w:noProof/>
        </w:rPr>
        <w:t>Relevance</w:t>
      </w:r>
      <w:bookmarkEnd w:id="73"/>
      <w:bookmarkEnd w:id="74"/>
      <w:r w:rsidR="00F274DD" w:rsidRPr="008B13A5">
        <w:rPr>
          <w:noProof/>
        </w:rPr>
        <w:t xml:space="preserve"> </w:t>
      </w:r>
    </w:p>
    <w:p w14:paraId="4F05F464" w14:textId="79E72732" w:rsidR="00F8618D" w:rsidRPr="008B13A5" w:rsidRDefault="00F8618D" w:rsidP="00F8618D">
      <w:pPr>
        <w:rPr>
          <w:noProof/>
          <w:color w:val="000000"/>
          <w:szCs w:val="22"/>
        </w:rPr>
      </w:pPr>
      <w:r w:rsidRPr="008B13A5">
        <w:rPr>
          <w:noProof/>
          <w:color w:val="000000"/>
          <w:szCs w:val="22"/>
        </w:rPr>
        <w:t>Stakeholders indicated that the European Chips Act addressed several important needs within Europe’s semiconductor ecosystem, though assessments of its overall relevance varied. Many noted that its initial focus did not fully reflect Europe’s structural strengths, long-term vulnerabilities, or the realities of global markets. While the Act provided a framework for investment and technological development</w:t>
      </w:r>
      <w:r w:rsidRPr="008B13A5">
        <w:rPr>
          <w:b/>
          <w:bCs/>
          <w:noProof/>
          <w:color w:val="000000"/>
          <w:szCs w:val="22"/>
        </w:rPr>
        <w:t>, interviewees stressed the need to refine priorities, strengthen demand-side integration, and better align with industrial capabilities and geopolitical constraints</w:t>
      </w:r>
      <w:r w:rsidRPr="008B13A5">
        <w:rPr>
          <w:noProof/>
          <w:color w:val="000000"/>
          <w:szCs w:val="22"/>
        </w:rPr>
        <w:t>.</w:t>
      </w:r>
    </w:p>
    <w:p w14:paraId="327D75BF" w14:textId="612DFB3A" w:rsidR="00F8618D" w:rsidRPr="008B13A5" w:rsidRDefault="00F8618D" w:rsidP="00F8618D">
      <w:pPr>
        <w:rPr>
          <w:noProof/>
          <w:color w:val="000000"/>
          <w:szCs w:val="22"/>
        </w:rPr>
      </w:pPr>
      <w:r w:rsidRPr="008B13A5">
        <w:rPr>
          <w:noProof/>
          <w:color w:val="000000"/>
          <w:szCs w:val="22"/>
        </w:rPr>
        <w:t xml:space="preserve">Several stakeholders observed that early instruments overlooked </w:t>
      </w:r>
      <w:r w:rsidRPr="008B13A5">
        <w:rPr>
          <w:b/>
          <w:bCs/>
          <w:noProof/>
          <w:color w:val="000000"/>
          <w:szCs w:val="22"/>
        </w:rPr>
        <w:t>emerging needs, particularly the strategic roles of fabless design companies.</w:t>
      </w:r>
      <w:r w:rsidRPr="008B13A5">
        <w:rPr>
          <w:noProof/>
          <w:color w:val="000000"/>
          <w:szCs w:val="22"/>
        </w:rPr>
        <w:t xml:space="preserve"> End-user industries and parts of the supply chain, such as electronic manufacturing services, printed circuit boards, packaging, testing, metrology tools, and raw materials, were not adequately considered, creating uncertainty for investors and leaving European strengths underexploited.</w:t>
      </w:r>
    </w:p>
    <w:p w14:paraId="121AFCED" w14:textId="015B5B5C" w:rsidR="00F8618D" w:rsidRPr="008B13A5" w:rsidRDefault="00F8618D" w:rsidP="00F8618D">
      <w:pPr>
        <w:rPr>
          <w:noProof/>
          <w:color w:val="000000"/>
          <w:szCs w:val="22"/>
        </w:rPr>
      </w:pPr>
      <w:r w:rsidRPr="008B13A5">
        <w:rPr>
          <w:noProof/>
          <w:color w:val="000000"/>
          <w:szCs w:val="22"/>
        </w:rPr>
        <w:t xml:space="preserve">A recurring theme was </w:t>
      </w:r>
      <w:r w:rsidRPr="008B13A5">
        <w:rPr>
          <w:b/>
          <w:bCs/>
          <w:noProof/>
          <w:color w:val="000000"/>
          <w:szCs w:val="22"/>
        </w:rPr>
        <w:t>the need to focus on areas of competitive advantage</w:t>
      </w:r>
      <w:r w:rsidRPr="008B13A5">
        <w:rPr>
          <w:noProof/>
          <w:color w:val="000000"/>
          <w:szCs w:val="22"/>
        </w:rPr>
        <w:t>, including lithography and other production equipment, photonics, power electronics, sensors, and imaging technologies. Interviewees suggested that political emphasis on the most advanced manufacturing nodes was unlikely to be realistic without significantly larger budgets. They recommended building on existing ecosystems and concentrating on niches where Europe can lead. Long-term relevance was also linked to AI hardware and related technologies, where innovations risked remaining underutilised without strategies ensuring domestic deployment. Ignoring these areas could leave Europe economically marginalised.</w:t>
      </w:r>
    </w:p>
    <w:p w14:paraId="3065D016" w14:textId="63C3CB64" w:rsidR="00F8618D" w:rsidRPr="008B13A5" w:rsidRDefault="00F8618D" w:rsidP="00117597">
      <w:pPr>
        <w:rPr>
          <w:noProof/>
          <w:szCs w:val="22"/>
        </w:rPr>
      </w:pPr>
      <w:r w:rsidRPr="008B13A5">
        <w:rPr>
          <w:noProof/>
        </w:rPr>
        <w:t>Stakeholders</w:t>
      </w:r>
      <w:r w:rsidRPr="008B13A5">
        <w:rPr>
          <w:noProof/>
          <w:szCs w:val="22"/>
        </w:rPr>
        <w:t xml:space="preserve"> highlighted that monitoring and intelligence functions required clearer design. Effective data collection needed to be tied to specific policy purposes, with aggregated intelligence shared back to contributors to inform assessments and foster long-term cooperation. Interviewees emphasised the importance of integrating industrial policy across the full electronics value chain. Declines in European printed circuit board manufacturing, for instance, were seen as threatening commercial sectors as well as space and defence autonomy, underscoring the need for sustained support to maintain critical suppliers.</w:t>
      </w:r>
    </w:p>
    <w:p w14:paraId="4CECBA7A" w14:textId="77777777" w:rsidR="00F8618D" w:rsidRPr="008B13A5" w:rsidRDefault="00F8618D" w:rsidP="009712FE">
      <w:pPr>
        <w:pStyle w:val="Heading2"/>
        <w:rPr>
          <w:bCs/>
          <w:noProof/>
          <w:szCs w:val="22"/>
        </w:rPr>
      </w:pPr>
      <w:bookmarkStart w:id="75" w:name="_Toc223620605"/>
      <w:bookmarkStart w:id="76" w:name="_Toc230010390"/>
      <w:r w:rsidRPr="008B13A5">
        <w:rPr>
          <w:noProof/>
        </w:rPr>
        <w:t>Prospective</w:t>
      </w:r>
      <w:bookmarkEnd w:id="75"/>
      <w:bookmarkEnd w:id="76"/>
    </w:p>
    <w:p w14:paraId="30BAB609" w14:textId="2C31ED52" w:rsidR="00F8618D" w:rsidRPr="008B13A5" w:rsidRDefault="00F8618D" w:rsidP="00F8618D">
      <w:pPr>
        <w:rPr>
          <w:noProof/>
          <w:color w:val="000000"/>
          <w:szCs w:val="22"/>
        </w:rPr>
      </w:pPr>
      <w:r w:rsidRPr="008B13A5">
        <w:rPr>
          <w:noProof/>
          <w:color w:val="000000"/>
          <w:szCs w:val="22"/>
        </w:rPr>
        <w:t xml:space="preserve">Interviewees suggested that the future of </w:t>
      </w:r>
      <w:r w:rsidRPr="008B13A5">
        <w:rPr>
          <w:b/>
          <w:noProof/>
          <w:color w:val="000000"/>
          <w:szCs w:val="22"/>
        </w:rPr>
        <w:t>the Chips Act would require a strategic refocus</w:t>
      </w:r>
      <w:r w:rsidRPr="008B13A5">
        <w:rPr>
          <w:noProof/>
          <w:color w:val="000000"/>
          <w:szCs w:val="22"/>
        </w:rPr>
        <w:t>. Some argued that Europe should concentrate on its real strengths, such as equipment, photonics, sensors, power electronics, and specific AI-related hardware, while providing better support for fabless design and the full electronics value chain. Monitoring and data collection were expected to evolve into a more purposeful intelligence function, with information clearly linked to policy choices, shared with contributors, and used to guide priorities and risk assessments.</w:t>
      </w:r>
    </w:p>
    <w:p w14:paraId="05E63756" w14:textId="69C4BD44" w:rsidR="00F8618D" w:rsidRPr="008B13A5" w:rsidRDefault="00F8618D" w:rsidP="00F8618D">
      <w:pPr>
        <w:rPr>
          <w:noProof/>
          <w:color w:val="000000"/>
          <w:szCs w:val="22"/>
        </w:rPr>
      </w:pPr>
      <w:r w:rsidRPr="008B13A5">
        <w:rPr>
          <w:b/>
          <w:noProof/>
          <w:color w:val="000000"/>
          <w:szCs w:val="22"/>
        </w:rPr>
        <w:t>Looking ahead, stakeholders called for more flexible and faster funding tools to bridge the “valley of death” from research to industrial scale-up</w:t>
      </w:r>
      <w:r w:rsidRPr="008B13A5">
        <w:rPr>
          <w:noProof/>
          <w:color w:val="000000"/>
          <w:szCs w:val="22"/>
        </w:rPr>
        <w:t>, alongside simpler procedures and clearer access for start-ups and SMEs. They also highlighted the need for smoother pathways across technology readiness levels, and clearer rules for co-investment with trusted non-EU partners. At the same time, they anticipated a stronger EU role in coordinating national initiatives, aligning the Chips Act with other regulatory frameworks, and complementing supply-side subsidies with demand-side measures such as strategic public procurement.</w:t>
      </w:r>
    </w:p>
    <w:p w14:paraId="6BE59D54" w14:textId="676078A9" w:rsidR="00F8618D" w:rsidRPr="008B13A5" w:rsidRDefault="00F8618D" w:rsidP="00F8618D">
      <w:pPr>
        <w:rPr>
          <w:noProof/>
          <w:color w:val="000000"/>
          <w:szCs w:val="22"/>
        </w:rPr>
      </w:pPr>
      <w:r w:rsidRPr="008B13A5">
        <w:rPr>
          <w:noProof/>
          <w:color w:val="000000"/>
          <w:szCs w:val="22"/>
        </w:rPr>
        <w:t>A distinctive perspective emphasised that before pursuing ambitious expansion, Europe should secure existing facilities, as remaining backend capacity faces significant pressure. Recommendations included integrating social conditions (job creation quality, health and safety standards, collective bargaining requirements) and environmental criteria (PFAS substitution, renewable energy incentives) to position Europe as a leader in sustainable semiconductor manufacturing.</w:t>
      </w:r>
    </w:p>
    <w:p w14:paraId="62D19D78" w14:textId="2B76E43E" w:rsidR="00F8618D" w:rsidRPr="008B13A5" w:rsidRDefault="00F8618D" w:rsidP="00117597">
      <w:pPr>
        <w:rPr>
          <w:noProof/>
          <w:szCs w:val="22"/>
        </w:rPr>
      </w:pPr>
      <w:r w:rsidRPr="008B13A5">
        <w:rPr>
          <w:noProof/>
        </w:rPr>
        <w:t>Stakeholders</w:t>
      </w:r>
      <w:r w:rsidRPr="008B13A5">
        <w:rPr>
          <w:noProof/>
          <w:szCs w:val="22"/>
        </w:rPr>
        <w:t xml:space="preserve"> emphasised that </w:t>
      </w:r>
      <w:r w:rsidRPr="008B13A5">
        <w:rPr>
          <w:b/>
          <w:noProof/>
          <w:szCs w:val="22"/>
        </w:rPr>
        <w:t>Europe should not aim for full semiconductor autonomy but a realistic position</w:t>
      </w:r>
      <w:r w:rsidRPr="008B13A5">
        <w:rPr>
          <w:noProof/>
          <w:szCs w:val="22"/>
        </w:rPr>
        <w:t>: reinforcing existing strengths, attracting foreign investment, supporting competitive European application companies, and increasing agile EU-level funding to remain relevant in AI chips and advanced computing.</w:t>
      </w:r>
    </w:p>
    <w:p w14:paraId="1E92EB79" w14:textId="23E35814" w:rsidR="00F8618D" w:rsidRPr="008B13A5" w:rsidRDefault="00F8618D" w:rsidP="009712FE">
      <w:pPr>
        <w:pStyle w:val="Heading1"/>
        <w:rPr>
          <w:noProof/>
          <w:szCs w:val="22"/>
        </w:rPr>
      </w:pPr>
      <w:bookmarkStart w:id="77" w:name="_Toc223620606"/>
      <w:bookmarkStart w:id="78" w:name="_Toc230010391"/>
      <w:r w:rsidRPr="008B13A5">
        <w:rPr>
          <w:noProof/>
        </w:rPr>
        <w:t>Summarised results of the</w:t>
      </w:r>
      <w:r w:rsidR="00F274DD" w:rsidRPr="008B13A5">
        <w:rPr>
          <w:noProof/>
        </w:rPr>
        <w:t xml:space="preserve"> </w:t>
      </w:r>
      <w:r w:rsidRPr="008B13A5">
        <w:rPr>
          <w:noProof/>
        </w:rPr>
        <w:t>workshops</w:t>
      </w:r>
      <w:bookmarkEnd w:id="77"/>
      <w:bookmarkEnd w:id="78"/>
      <w:r w:rsidR="00F274DD" w:rsidRPr="008B13A5">
        <w:rPr>
          <w:noProof/>
        </w:rPr>
        <w:t xml:space="preserve">  </w:t>
      </w:r>
    </w:p>
    <w:p w14:paraId="0560437F" w14:textId="7441449E" w:rsidR="00F8618D" w:rsidRPr="008B13A5" w:rsidRDefault="00F8618D" w:rsidP="00F8618D">
      <w:pPr>
        <w:rPr>
          <w:noProof/>
          <w:szCs w:val="22"/>
        </w:rPr>
      </w:pPr>
      <w:r w:rsidRPr="00BD008E">
        <w:rPr>
          <w:noProof/>
          <w:szCs w:val="22"/>
        </w:rPr>
        <w:t>Sixteen thematic evaluation workshops (</w:t>
      </w:r>
      <w:r w:rsidRPr="00BD008E">
        <w:rPr>
          <w:b/>
          <w:noProof/>
          <w:szCs w:val="22"/>
        </w:rPr>
        <w:t>Table 3</w:t>
      </w:r>
      <w:r w:rsidRPr="00BD008E">
        <w:rPr>
          <w:noProof/>
          <w:szCs w:val="22"/>
        </w:rPr>
        <w:t xml:space="preserve">) were conducted between September and December 2025 with the participation of diverse stakeholders across the European semiconductor ecosystem. Structured summary reports were developed for each of the workshops, including sections 1) Summary of Stakeholders’ Perspectives; 2) Key messages per evaluation criteria; and 3) Prospective Reflections for Chips Act 2.0. These summaries have been analysed and compared across the workshops.  </w:t>
      </w:r>
    </w:p>
    <w:p w14:paraId="590A1E00" w14:textId="6082F0E0" w:rsidR="00F8618D" w:rsidRPr="008B13A5" w:rsidRDefault="00F8618D" w:rsidP="00F8618D">
      <w:pPr>
        <w:rPr>
          <w:b/>
          <w:noProof/>
          <w:szCs w:val="22"/>
        </w:rPr>
      </w:pPr>
      <w:r w:rsidRPr="008B13A5">
        <w:rPr>
          <w:b/>
          <w:noProof/>
          <w:szCs w:val="22"/>
        </w:rPr>
        <w:t>Table</w:t>
      </w:r>
      <w:r w:rsidR="00F274DD" w:rsidRPr="008B13A5">
        <w:rPr>
          <w:b/>
          <w:noProof/>
          <w:szCs w:val="22"/>
        </w:rPr>
        <w:t xml:space="preserve"> </w:t>
      </w:r>
      <w:r w:rsidRPr="008B13A5">
        <w:rPr>
          <w:b/>
          <w:noProof/>
          <w:szCs w:val="22"/>
        </w:rPr>
        <w:t>3.</w:t>
      </w:r>
      <w:r w:rsidR="00F274DD" w:rsidRPr="008B13A5">
        <w:rPr>
          <w:b/>
          <w:noProof/>
          <w:szCs w:val="22"/>
        </w:rPr>
        <w:t xml:space="preserve"> </w:t>
      </w:r>
      <w:r w:rsidRPr="008B13A5">
        <w:rPr>
          <w:b/>
          <w:noProof/>
          <w:szCs w:val="22"/>
        </w:rPr>
        <w:t>Workshop coding</w:t>
      </w:r>
      <w:r w:rsidR="00F274DD" w:rsidRPr="00BD008E">
        <w:rPr>
          <w:b/>
          <w:noProof/>
          <w:szCs w:val="22"/>
        </w:rPr>
        <w:t xml:space="preserve"> </w:t>
      </w:r>
    </w:p>
    <w:tbl>
      <w:tblPr>
        <w:tblStyle w:val="TableGrid"/>
        <w:tblW w:w="9675" w:type="dxa"/>
        <w:tblBorders>
          <w:top w:val="outset" w:sz="6" w:space="0" w:color="auto"/>
          <w:left w:val="outset" w:sz="6" w:space="0" w:color="auto"/>
          <w:bottom w:val="outset" w:sz="6" w:space="0" w:color="auto"/>
          <w:right w:val="outset" w:sz="6" w:space="0" w:color="auto"/>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3810"/>
        <w:gridCol w:w="840"/>
        <w:gridCol w:w="4185"/>
        <w:gridCol w:w="840"/>
      </w:tblGrid>
      <w:tr w:rsidR="00F8618D" w:rsidRPr="008B13A5" w14:paraId="200EA006" w14:textId="77777777">
        <w:trPr>
          <w:trHeight w:val="15"/>
        </w:trPr>
        <w:tc>
          <w:tcPr>
            <w:tcW w:w="3810" w:type="dxa"/>
            <w:tcBorders>
              <w:top w:val="single" w:sz="6" w:space="0" w:color="auto"/>
              <w:left w:val="single" w:sz="6" w:space="0" w:color="auto"/>
              <w:bottom w:val="single" w:sz="12" w:space="0" w:color="auto"/>
              <w:right w:val="single" w:sz="6" w:space="0" w:color="auto"/>
            </w:tcBorders>
            <w:vAlign w:val="center"/>
          </w:tcPr>
          <w:p w14:paraId="742DCF0C" w14:textId="633C62D8" w:rsidR="00F8618D" w:rsidRPr="008B13A5" w:rsidRDefault="00F8618D">
            <w:pPr>
              <w:spacing w:after="0"/>
              <w:rPr>
                <w:noProof/>
                <w:color w:val="000000"/>
                <w:szCs w:val="22"/>
              </w:rPr>
            </w:pPr>
            <w:r w:rsidRPr="008B13A5">
              <w:rPr>
                <w:b/>
                <w:noProof/>
                <w:color w:val="000000"/>
                <w:szCs w:val="22"/>
              </w:rPr>
              <w:t>Workshop title</w:t>
            </w:r>
          </w:p>
        </w:tc>
        <w:tc>
          <w:tcPr>
            <w:tcW w:w="840" w:type="dxa"/>
            <w:tcBorders>
              <w:top w:val="single" w:sz="6" w:space="0" w:color="auto"/>
              <w:left w:val="single" w:sz="6" w:space="0" w:color="000000"/>
              <w:bottom w:val="single" w:sz="12" w:space="0" w:color="auto"/>
              <w:right w:val="single" w:sz="6" w:space="0" w:color="auto"/>
            </w:tcBorders>
            <w:vAlign w:val="center"/>
          </w:tcPr>
          <w:p w14:paraId="1C6CF287" w14:textId="77777777" w:rsidR="00F8618D" w:rsidRPr="008B13A5" w:rsidRDefault="00F8618D">
            <w:pPr>
              <w:spacing w:after="0"/>
              <w:jc w:val="center"/>
              <w:rPr>
                <w:noProof/>
                <w:color w:val="000000"/>
                <w:szCs w:val="22"/>
              </w:rPr>
            </w:pPr>
            <w:r w:rsidRPr="008B13A5">
              <w:rPr>
                <w:b/>
                <w:noProof/>
                <w:color w:val="000000"/>
                <w:szCs w:val="22"/>
              </w:rPr>
              <w:t>Code</w:t>
            </w:r>
          </w:p>
        </w:tc>
        <w:tc>
          <w:tcPr>
            <w:tcW w:w="4185" w:type="dxa"/>
            <w:tcBorders>
              <w:top w:val="single" w:sz="6" w:space="0" w:color="auto"/>
              <w:left w:val="single" w:sz="6" w:space="0" w:color="auto"/>
              <w:bottom w:val="single" w:sz="12" w:space="0" w:color="auto"/>
              <w:right w:val="single" w:sz="6" w:space="0" w:color="auto"/>
            </w:tcBorders>
            <w:vAlign w:val="center"/>
          </w:tcPr>
          <w:p w14:paraId="1AA0DF91" w14:textId="52BA9745" w:rsidR="00F8618D" w:rsidRPr="008B13A5" w:rsidRDefault="00F8618D">
            <w:pPr>
              <w:spacing w:after="0"/>
              <w:rPr>
                <w:noProof/>
                <w:color w:val="000000"/>
                <w:szCs w:val="22"/>
              </w:rPr>
            </w:pPr>
            <w:r w:rsidRPr="008B13A5">
              <w:rPr>
                <w:b/>
                <w:noProof/>
                <w:color w:val="000000"/>
                <w:szCs w:val="22"/>
              </w:rPr>
              <w:t>Workshop title</w:t>
            </w:r>
          </w:p>
        </w:tc>
        <w:tc>
          <w:tcPr>
            <w:tcW w:w="840" w:type="dxa"/>
            <w:tcBorders>
              <w:top w:val="single" w:sz="6" w:space="0" w:color="auto"/>
              <w:left w:val="single" w:sz="6" w:space="0" w:color="auto"/>
              <w:bottom w:val="single" w:sz="12" w:space="0" w:color="auto"/>
              <w:right w:val="single" w:sz="6" w:space="0" w:color="auto"/>
            </w:tcBorders>
            <w:vAlign w:val="center"/>
          </w:tcPr>
          <w:p w14:paraId="28AD6BD5" w14:textId="77777777" w:rsidR="00F8618D" w:rsidRPr="008B13A5" w:rsidRDefault="00F8618D">
            <w:pPr>
              <w:spacing w:after="0"/>
              <w:jc w:val="center"/>
              <w:rPr>
                <w:noProof/>
                <w:color w:val="000000"/>
                <w:szCs w:val="22"/>
              </w:rPr>
            </w:pPr>
            <w:r w:rsidRPr="008B13A5">
              <w:rPr>
                <w:b/>
                <w:noProof/>
                <w:color w:val="000000"/>
                <w:szCs w:val="22"/>
              </w:rPr>
              <w:t>Code</w:t>
            </w:r>
          </w:p>
        </w:tc>
      </w:tr>
      <w:tr w:rsidR="00F8618D" w:rsidRPr="008B13A5" w14:paraId="397AE3FB" w14:textId="77777777">
        <w:trPr>
          <w:trHeight w:val="15"/>
        </w:trPr>
        <w:tc>
          <w:tcPr>
            <w:tcW w:w="3810" w:type="dxa"/>
            <w:tcBorders>
              <w:top w:val="single" w:sz="12" w:space="0" w:color="auto"/>
              <w:left w:val="single" w:sz="6" w:space="0" w:color="auto"/>
              <w:bottom w:val="single" w:sz="6" w:space="0" w:color="auto"/>
              <w:right w:val="single" w:sz="6" w:space="0" w:color="auto"/>
            </w:tcBorders>
            <w:vAlign w:val="center"/>
          </w:tcPr>
          <w:p w14:paraId="6C1DD141" w14:textId="77777777" w:rsidR="00F8618D" w:rsidRPr="008B13A5" w:rsidRDefault="00F8618D">
            <w:pPr>
              <w:spacing w:after="0"/>
              <w:rPr>
                <w:noProof/>
                <w:color w:val="000000"/>
                <w:sz w:val="20"/>
                <w:szCs w:val="18"/>
              </w:rPr>
            </w:pPr>
            <w:r w:rsidRPr="008B13A5">
              <w:rPr>
                <w:noProof/>
                <w:color w:val="000000"/>
                <w:sz w:val="20"/>
                <w:szCs w:val="18"/>
              </w:rPr>
              <w:t>Health</w:t>
            </w:r>
          </w:p>
        </w:tc>
        <w:tc>
          <w:tcPr>
            <w:tcW w:w="840" w:type="dxa"/>
            <w:tcBorders>
              <w:top w:val="single" w:sz="12" w:space="0" w:color="auto"/>
              <w:left w:val="single" w:sz="6" w:space="0" w:color="000000"/>
              <w:bottom w:val="single" w:sz="6" w:space="0" w:color="000000"/>
              <w:right w:val="single" w:sz="6" w:space="0" w:color="auto"/>
            </w:tcBorders>
            <w:vAlign w:val="center"/>
          </w:tcPr>
          <w:p w14:paraId="4EF1AAF7" w14:textId="77777777" w:rsidR="00F8618D" w:rsidRPr="008B13A5" w:rsidRDefault="00F8618D">
            <w:pPr>
              <w:spacing w:after="0"/>
              <w:jc w:val="center"/>
              <w:rPr>
                <w:noProof/>
                <w:color w:val="000000"/>
                <w:sz w:val="20"/>
                <w:szCs w:val="18"/>
              </w:rPr>
            </w:pPr>
            <w:r w:rsidRPr="008B13A5">
              <w:rPr>
                <w:noProof/>
                <w:color w:val="000000"/>
                <w:sz w:val="20"/>
                <w:szCs w:val="18"/>
              </w:rPr>
              <w:t>1</w:t>
            </w:r>
          </w:p>
        </w:tc>
        <w:tc>
          <w:tcPr>
            <w:tcW w:w="4185" w:type="dxa"/>
            <w:tcBorders>
              <w:top w:val="single" w:sz="12" w:space="0" w:color="auto"/>
              <w:left w:val="single" w:sz="6" w:space="0" w:color="auto"/>
              <w:bottom w:val="single" w:sz="6" w:space="0" w:color="auto"/>
              <w:right w:val="single" w:sz="6" w:space="0" w:color="auto"/>
            </w:tcBorders>
            <w:vAlign w:val="center"/>
          </w:tcPr>
          <w:p w14:paraId="2838A56A" w14:textId="77777777" w:rsidR="00F8618D" w:rsidRPr="008B13A5" w:rsidRDefault="00F8618D" w:rsidP="004D6887">
            <w:pPr>
              <w:spacing w:after="0"/>
              <w:jc w:val="left"/>
              <w:rPr>
                <w:noProof/>
                <w:color w:val="000000"/>
                <w:sz w:val="20"/>
                <w:szCs w:val="18"/>
              </w:rPr>
            </w:pPr>
            <w:r w:rsidRPr="008B13A5">
              <w:rPr>
                <w:noProof/>
                <w:color w:val="000000"/>
                <w:sz w:val="20"/>
                <w:szCs w:val="18"/>
              </w:rPr>
              <w:t>Automotives</w:t>
            </w:r>
          </w:p>
        </w:tc>
        <w:tc>
          <w:tcPr>
            <w:tcW w:w="840" w:type="dxa"/>
            <w:tcBorders>
              <w:top w:val="single" w:sz="12" w:space="0" w:color="auto"/>
              <w:left w:val="single" w:sz="6" w:space="0" w:color="auto"/>
              <w:bottom w:val="single" w:sz="6" w:space="0" w:color="auto"/>
              <w:right w:val="single" w:sz="6" w:space="0" w:color="auto"/>
            </w:tcBorders>
            <w:vAlign w:val="center"/>
          </w:tcPr>
          <w:p w14:paraId="202EABA0" w14:textId="77777777" w:rsidR="00F8618D" w:rsidRPr="008B13A5" w:rsidRDefault="00F8618D">
            <w:pPr>
              <w:spacing w:after="0"/>
              <w:jc w:val="center"/>
              <w:rPr>
                <w:noProof/>
                <w:color w:val="000000"/>
                <w:sz w:val="20"/>
                <w:szCs w:val="18"/>
              </w:rPr>
            </w:pPr>
            <w:r w:rsidRPr="008B13A5">
              <w:rPr>
                <w:noProof/>
                <w:color w:val="000000"/>
                <w:sz w:val="20"/>
                <w:szCs w:val="18"/>
              </w:rPr>
              <w:t>10</w:t>
            </w:r>
          </w:p>
        </w:tc>
      </w:tr>
      <w:tr w:rsidR="00F8618D" w:rsidRPr="008B13A5" w14:paraId="299A0263" w14:textId="77777777">
        <w:trPr>
          <w:trHeight w:val="15"/>
        </w:trPr>
        <w:tc>
          <w:tcPr>
            <w:tcW w:w="3810" w:type="dxa"/>
            <w:tcBorders>
              <w:top w:val="single" w:sz="6" w:space="0" w:color="auto"/>
              <w:left w:val="single" w:sz="6" w:space="0" w:color="auto"/>
              <w:bottom w:val="single" w:sz="6" w:space="0" w:color="auto"/>
              <w:right w:val="single" w:sz="6" w:space="0" w:color="auto"/>
            </w:tcBorders>
            <w:vAlign w:val="center"/>
          </w:tcPr>
          <w:p w14:paraId="3A88D945" w14:textId="77777777" w:rsidR="00F8618D" w:rsidRPr="008B13A5" w:rsidRDefault="00F8618D">
            <w:pPr>
              <w:spacing w:after="0"/>
              <w:rPr>
                <w:noProof/>
                <w:color w:val="000000"/>
                <w:sz w:val="20"/>
                <w:szCs w:val="18"/>
              </w:rPr>
            </w:pPr>
            <w:r w:rsidRPr="008B13A5">
              <w:rPr>
                <w:noProof/>
                <w:color w:val="000000"/>
                <w:sz w:val="20"/>
                <w:szCs w:val="18"/>
              </w:rPr>
              <w:t>Telecoms</w:t>
            </w:r>
          </w:p>
        </w:tc>
        <w:tc>
          <w:tcPr>
            <w:tcW w:w="840" w:type="dxa"/>
            <w:tcBorders>
              <w:top w:val="single" w:sz="6" w:space="0" w:color="000000"/>
              <w:left w:val="single" w:sz="6" w:space="0" w:color="000000"/>
              <w:bottom w:val="single" w:sz="6" w:space="0" w:color="000000"/>
              <w:right w:val="single" w:sz="6" w:space="0" w:color="auto"/>
            </w:tcBorders>
            <w:vAlign w:val="center"/>
          </w:tcPr>
          <w:p w14:paraId="2F03F1AD" w14:textId="77777777" w:rsidR="00F8618D" w:rsidRPr="008B13A5" w:rsidRDefault="00F8618D">
            <w:pPr>
              <w:spacing w:after="0"/>
              <w:jc w:val="center"/>
              <w:rPr>
                <w:noProof/>
                <w:color w:val="000000"/>
                <w:sz w:val="20"/>
                <w:szCs w:val="18"/>
              </w:rPr>
            </w:pPr>
            <w:r w:rsidRPr="008B13A5">
              <w:rPr>
                <w:noProof/>
                <w:color w:val="000000"/>
                <w:sz w:val="20"/>
                <w:szCs w:val="18"/>
              </w:rPr>
              <w:t>2</w:t>
            </w:r>
          </w:p>
        </w:tc>
        <w:tc>
          <w:tcPr>
            <w:tcW w:w="4185" w:type="dxa"/>
            <w:tcBorders>
              <w:top w:val="single" w:sz="6" w:space="0" w:color="auto"/>
              <w:left w:val="single" w:sz="6" w:space="0" w:color="auto"/>
              <w:bottom w:val="single" w:sz="6" w:space="0" w:color="auto"/>
              <w:right w:val="single" w:sz="6" w:space="0" w:color="auto"/>
            </w:tcBorders>
            <w:vAlign w:val="center"/>
          </w:tcPr>
          <w:p w14:paraId="455B49DF" w14:textId="79581C62" w:rsidR="00F8618D" w:rsidRPr="008B13A5" w:rsidRDefault="00F8618D" w:rsidP="004D6887">
            <w:pPr>
              <w:spacing w:after="0"/>
              <w:jc w:val="left"/>
              <w:rPr>
                <w:noProof/>
                <w:color w:val="000000"/>
                <w:sz w:val="20"/>
                <w:szCs w:val="18"/>
              </w:rPr>
            </w:pPr>
            <w:r w:rsidRPr="008B13A5">
              <w:rPr>
                <w:noProof/>
                <w:color w:val="000000"/>
                <w:sz w:val="20"/>
                <w:szCs w:val="18"/>
              </w:rPr>
              <w:t>PCB &amp; EMS</w:t>
            </w:r>
          </w:p>
        </w:tc>
        <w:tc>
          <w:tcPr>
            <w:tcW w:w="840" w:type="dxa"/>
            <w:tcBorders>
              <w:top w:val="single" w:sz="6" w:space="0" w:color="auto"/>
              <w:left w:val="single" w:sz="6" w:space="0" w:color="auto"/>
              <w:bottom w:val="single" w:sz="6" w:space="0" w:color="auto"/>
              <w:right w:val="single" w:sz="6" w:space="0" w:color="auto"/>
            </w:tcBorders>
            <w:vAlign w:val="center"/>
          </w:tcPr>
          <w:p w14:paraId="5A2DC98D" w14:textId="77777777" w:rsidR="00F8618D" w:rsidRPr="008B13A5" w:rsidRDefault="00F8618D">
            <w:pPr>
              <w:spacing w:after="0"/>
              <w:jc w:val="center"/>
              <w:rPr>
                <w:noProof/>
                <w:color w:val="000000"/>
                <w:sz w:val="20"/>
                <w:szCs w:val="18"/>
              </w:rPr>
            </w:pPr>
            <w:r w:rsidRPr="008B13A5">
              <w:rPr>
                <w:noProof/>
                <w:color w:val="000000"/>
                <w:sz w:val="20"/>
                <w:szCs w:val="18"/>
              </w:rPr>
              <w:t>11</w:t>
            </w:r>
          </w:p>
        </w:tc>
      </w:tr>
      <w:tr w:rsidR="00F8618D" w:rsidRPr="008B13A5" w14:paraId="583BDDEA" w14:textId="77777777">
        <w:trPr>
          <w:trHeight w:val="15"/>
        </w:trPr>
        <w:tc>
          <w:tcPr>
            <w:tcW w:w="3810" w:type="dxa"/>
            <w:tcBorders>
              <w:top w:val="single" w:sz="6" w:space="0" w:color="auto"/>
              <w:left w:val="single" w:sz="6" w:space="0" w:color="auto"/>
              <w:bottom w:val="single" w:sz="6" w:space="0" w:color="auto"/>
              <w:right w:val="single" w:sz="6" w:space="0" w:color="auto"/>
            </w:tcBorders>
            <w:vAlign w:val="center"/>
          </w:tcPr>
          <w:p w14:paraId="145A537A" w14:textId="1EFDC64C" w:rsidR="00F8618D" w:rsidRPr="008B13A5" w:rsidRDefault="00F8618D">
            <w:pPr>
              <w:spacing w:after="0"/>
              <w:rPr>
                <w:noProof/>
                <w:color w:val="000000"/>
                <w:sz w:val="20"/>
                <w:szCs w:val="18"/>
              </w:rPr>
            </w:pPr>
            <w:r w:rsidRPr="008B13A5">
              <w:rPr>
                <w:noProof/>
                <w:color w:val="000000"/>
                <w:sz w:val="20"/>
                <w:szCs w:val="18"/>
              </w:rPr>
              <w:t>RTOs &amp; Academia</w:t>
            </w:r>
          </w:p>
        </w:tc>
        <w:tc>
          <w:tcPr>
            <w:tcW w:w="840" w:type="dxa"/>
            <w:tcBorders>
              <w:top w:val="single" w:sz="6" w:space="0" w:color="000000"/>
              <w:left w:val="single" w:sz="6" w:space="0" w:color="000000"/>
              <w:bottom w:val="single" w:sz="6" w:space="0" w:color="000000"/>
              <w:right w:val="single" w:sz="6" w:space="0" w:color="auto"/>
            </w:tcBorders>
            <w:vAlign w:val="center"/>
          </w:tcPr>
          <w:p w14:paraId="68413C0B" w14:textId="77777777" w:rsidR="00F8618D" w:rsidRPr="008B13A5" w:rsidRDefault="00F8618D">
            <w:pPr>
              <w:spacing w:after="0"/>
              <w:jc w:val="center"/>
              <w:rPr>
                <w:noProof/>
                <w:color w:val="000000"/>
                <w:sz w:val="20"/>
                <w:szCs w:val="18"/>
              </w:rPr>
            </w:pPr>
            <w:r w:rsidRPr="008B13A5">
              <w:rPr>
                <w:noProof/>
                <w:color w:val="000000"/>
                <w:sz w:val="20"/>
                <w:szCs w:val="18"/>
              </w:rPr>
              <w:t>3</w:t>
            </w:r>
          </w:p>
        </w:tc>
        <w:tc>
          <w:tcPr>
            <w:tcW w:w="4185" w:type="dxa"/>
            <w:tcBorders>
              <w:top w:val="single" w:sz="6" w:space="0" w:color="auto"/>
              <w:left w:val="single" w:sz="6" w:space="0" w:color="auto"/>
              <w:bottom w:val="single" w:sz="6" w:space="0" w:color="auto"/>
              <w:right w:val="single" w:sz="6" w:space="0" w:color="auto"/>
            </w:tcBorders>
            <w:vAlign w:val="center"/>
          </w:tcPr>
          <w:p w14:paraId="29A97233" w14:textId="02ECAE88" w:rsidR="00F8618D" w:rsidRPr="008B13A5" w:rsidRDefault="00F8618D" w:rsidP="004D6887">
            <w:pPr>
              <w:spacing w:after="0"/>
              <w:jc w:val="left"/>
              <w:rPr>
                <w:noProof/>
                <w:color w:val="000000"/>
                <w:sz w:val="20"/>
                <w:szCs w:val="18"/>
              </w:rPr>
            </w:pPr>
            <w:r w:rsidRPr="008B13A5">
              <w:rPr>
                <w:noProof/>
                <w:color w:val="000000"/>
                <w:sz w:val="20"/>
                <w:szCs w:val="18"/>
              </w:rPr>
              <w:t>SMEs &amp; Start-ups</w:t>
            </w:r>
          </w:p>
        </w:tc>
        <w:tc>
          <w:tcPr>
            <w:tcW w:w="840" w:type="dxa"/>
            <w:tcBorders>
              <w:top w:val="single" w:sz="6" w:space="0" w:color="auto"/>
              <w:left w:val="single" w:sz="6" w:space="0" w:color="auto"/>
              <w:bottom w:val="single" w:sz="6" w:space="0" w:color="auto"/>
              <w:right w:val="single" w:sz="6" w:space="0" w:color="auto"/>
            </w:tcBorders>
            <w:vAlign w:val="center"/>
          </w:tcPr>
          <w:p w14:paraId="648EE033" w14:textId="77777777" w:rsidR="00F8618D" w:rsidRPr="008B13A5" w:rsidRDefault="00F8618D">
            <w:pPr>
              <w:spacing w:after="0"/>
              <w:jc w:val="center"/>
              <w:rPr>
                <w:noProof/>
                <w:color w:val="000000"/>
                <w:sz w:val="20"/>
                <w:szCs w:val="18"/>
              </w:rPr>
            </w:pPr>
            <w:r w:rsidRPr="008B13A5">
              <w:rPr>
                <w:noProof/>
                <w:color w:val="000000"/>
                <w:sz w:val="20"/>
                <w:szCs w:val="18"/>
              </w:rPr>
              <w:t>12</w:t>
            </w:r>
          </w:p>
        </w:tc>
      </w:tr>
      <w:tr w:rsidR="00F8618D" w:rsidRPr="008B13A5" w14:paraId="539A0868" w14:textId="77777777">
        <w:trPr>
          <w:trHeight w:val="15"/>
        </w:trPr>
        <w:tc>
          <w:tcPr>
            <w:tcW w:w="3810" w:type="dxa"/>
            <w:tcBorders>
              <w:top w:val="single" w:sz="6" w:space="0" w:color="auto"/>
              <w:left w:val="single" w:sz="6" w:space="0" w:color="auto"/>
              <w:bottom w:val="single" w:sz="6" w:space="0" w:color="auto"/>
              <w:right w:val="single" w:sz="6" w:space="0" w:color="auto"/>
            </w:tcBorders>
            <w:vAlign w:val="center"/>
          </w:tcPr>
          <w:p w14:paraId="0BBD4E9A" w14:textId="4977A94F" w:rsidR="00F8618D" w:rsidRPr="008B13A5" w:rsidRDefault="00F8618D">
            <w:pPr>
              <w:spacing w:after="0"/>
              <w:rPr>
                <w:noProof/>
                <w:color w:val="000000"/>
                <w:sz w:val="20"/>
                <w:szCs w:val="18"/>
              </w:rPr>
            </w:pPr>
            <w:r w:rsidRPr="008B13A5">
              <w:rPr>
                <w:noProof/>
                <w:color w:val="000000"/>
                <w:sz w:val="20"/>
                <w:szCs w:val="18"/>
              </w:rPr>
              <w:t>ESRA &amp; Regional clusters</w:t>
            </w:r>
          </w:p>
        </w:tc>
        <w:tc>
          <w:tcPr>
            <w:tcW w:w="840" w:type="dxa"/>
            <w:tcBorders>
              <w:top w:val="single" w:sz="6" w:space="0" w:color="000000"/>
              <w:left w:val="single" w:sz="6" w:space="0" w:color="000000"/>
              <w:bottom w:val="single" w:sz="6" w:space="0" w:color="000000"/>
              <w:right w:val="single" w:sz="6" w:space="0" w:color="auto"/>
            </w:tcBorders>
            <w:vAlign w:val="center"/>
          </w:tcPr>
          <w:p w14:paraId="787D0F55" w14:textId="77777777" w:rsidR="00F8618D" w:rsidRPr="008B13A5" w:rsidRDefault="00F8618D">
            <w:pPr>
              <w:spacing w:after="0"/>
              <w:jc w:val="center"/>
              <w:rPr>
                <w:noProof/>
                <w:color w:val="000000"/>
                <w:sz w:val="20"/>
                <w:szCs w:val="18"/>
              </w:rPr>
            </w:pPr>
            <w:r w:rsidRPr="008B13A5">
              <w:rPr>
                <w:noProof/>
                <w:color w:val="000000"/>
                <w:sz w:val="20"/>
                <w:szCs w:val="18"/>
              </w:rPr>
              <w:t>4</w:t>
            </w:r>
          </w:p>
        </w:tc>
        <w:tc>
          <w:tcPr>
            <w:tcW w:w="4185" w:type="dxa"/>
            <w:tcBorders>
              <w:top w:val="single" w:sz="6" w:space="0" w:color="auto"/>
              <w:left w:val="single" w:sz="6" w:space="0" w:color="auto"/>
              <w:bottom w:val="single" w:sz="6" w:space="0" w:color="auto"/>
              <w:right w:val="single" w:sz="6" w:space="0" w:color="auto"/>
            </w:tcBorders>
            <w:vAlign w:val="center"/>
          </w:tcPr>
          <w:p w14:paraId="70C22238" w14:textId="14066DBA" w:rsidR="00F8618D" w:rsidRPr="008B13A5" w:rsidRDefault="00F8618D" w:rsidP="004D6887">
            <w:pPr>
              <w:spacing w:after="0"/>
              <w:jc w:val="left"/>
              <w:rPr>
                <w:noProof/>
                <w:color w:val="000000"/>
                <w:sz w:val="20"/>
                <w:szCs w:val="18"/>
              </w:rPr>
            </w:pPr>
            <w:r w:rsidRPr="008B13A5">
              <w:rPr>
                <w:noProof/>
                <w:color w:val="000000"/>
                <w:sz w:val="20"/>
                <w:szCs w:val="18"/>
              </w:rPr>
              <w:t>Industrial Alliance on Processors and Semiconductor Technologies Plenary</w:t>
            </w:r>
          </w:p>
        </w:tc>
        <w:tc>
          <w:tcPr>
            <w:tcW w:w="840" w:type="dxa"/>
            <w:tcBorders>
              <w:top w:val="single" w:sz="6" w:space="0" w:color="auto"/>
              <w:left w:val="single" w:sz="6" w:space="0" w:color="auto"/>
              <w:bottom w:val="single" w:sz="6" w:space="0" w:color="auto"/>
              <w:right w:val="single" w:sz="6" w:space="0" w:color="auto"/>
            </w:tcBorders>
            <w:vAlign w:val="center"/>
          </w:tcPr>
          <w:p w14:paraId="62A79F60" w14:textId="77777777" w:rsidR="00F8618D" w:rsidRPr="008B13A5" w:rsidRDefault="00F8618D">
            <w:pPr>
              <w:spacing w:after="0"/>
              <w:jc w:val="center"/>
              <w:rPr>
                <w:noProof/>
                <w:color w:val="000000"/>
                <w:sz w:val="20"/>
                <w:szCs w:val="18"/>
              </w:rPr>
            </w:pPr>
            <w:r w:rsidRPr="008B13A5">
              <w:rPr>
                <w:noProof/>
                <w:color w:val="000000"/>
                <w:sz w:val="20"/>
                <w:szCs w:val="18"/>
              </w:rPr>
              <w:t>13</w:t>
            </w:r>
          </w:p>
        </w:tc>
      </w:tr>
      <w:tr w:rsidR="00F8618D" w:rsidRPr="008B13A5" w14:paraId="6E706691" w14:textId="77777777">
        <w:trPr>
          <w:trHeight w:val="15"/>
        </w:trPr>
        <w:tc>
          <w:tcPr>
            <w:tcW w:w="3810" w:type="dxa"/>
            <w:tcBorders>
              <w:top w:val="single" w:sz="6" w:space="0" w:color="auto"/>
              <w:left w:val="single" w:sz="6" w:space="0" w:color="auto"/>
              <w:bottom w:val="single" w:sz="6" w:space="0" w:color="auto"/>
              <w:right w:val="single" w:sz="6" w:space="0" w:color="auto"/>
            </w:tcBorders>
            <w:vAlign w:val="center"/>
          </w:tcPr>
          <w:p w14:paraId="57415226" w14:textId="5CFF831A" w:rsidR="00F8618D" w:rsidRPr="008B13A5" w:rsidRDefault="00F8618D">
            <w:pPr>
              <w:spacing w:after="0"/>
              <w:rPr>
                <w:noProof/>
                <w:color w:val="000000"/>
                <w:sz w:val="20"/>
                <w:szCs w:val="18"/>
              </w:rPr>
            </w:pPr>
            <w:r w:rsidRPr="008B13A5">
              <w:rPr>
                <w:noProof/>
                <w:color w:val="000000"/>
                <w:sz w:val="20"/>
                <w:szCs w:val="18"/>
              </w:rPr>
              <w:t>Technology, Innovation and Skills</w:t>
            </w:r>
          </w:p>
        </w:tc>
        <w:tc>
          <w:tcPr>
            <w:tcW w:w="840" w:type="dxa"/>
            <w:tcBorders>
              <w:top w:val="single" w:sz="6" w:space="0" w:color="000000"/>
              <w:left w:val="single" w:sz="6" w:space="0" w:color="000000"/>
              <w:bottom w:val="single" w:sz="6" w:space="0" w:color="000000"/>
              <w:right w:val="single" w:sz="6" w:space="0" w:color="auto"/>
            </w:tcBorders>
            <w:vAlign w:val="center"/>
          </w:tcPr>
          <w:p w14:paraId="7FF969DF" w14:textId="77777777" w:rsidR="00F8618D" w:rsidRPr="008B13A5" w:rsidRDefault="00F8618D">
            <w:pPr>
              <w:spacing w:after="0"/>
              <w:jc w:val="center"/>
              <w:rPr>
                <w:noProof/>
                <w:color w:val="000000"/>
                <w:sz w:val="20"/>
                <w:szCs w:val="18"/>
              </w:rPr>
            </w:pPr>
            <w:r w:rsidRPr="008B13A5">
              <w:rPr>
                <w:noProof/>
                <w:color w:val="000000"/>
                <w:sz w:val="20"/>
                <w:szCs w:val="18"/>
              </w:rPr>
              <w:t>5</w:t>
            </w:r>
          </w:p>
        </w:tc>
        <w:tc>
          <w:tcPr>
            <w:tcW w:w="4185" w:type="dxa"/>
            <w:tcBorders>
              <w:top w:val="single" w:sz="6" w:space="0" w:color="auto"/>
              <w:left w:val="single" w:sz="6" w:space="0" w:color="auto"/>
              <w:bottom w:val="single" w:sz="6" w:space="0" w:color="auto"/>
              <w:right w:val="single" w:sz="6" w:space="0" w:color="auto"/>
            </w:tcBorders>
            <w:vAlign w:val="center"/>
          </w:tcPr>
          <w:p w14:paraId="1E5F89B3" w14:textId="5434C529" w:rsidR="00F8618D" w:rsidRPr="008B13A5" w:rsidRDefault="00F8618D" w:rsidP="004D6887">
            <w:pPr>
              <w:spacing w:after="0"/>
              <w:jc w:val="left"/>
              <w:rPr>
                <w:noProof/>
                <w:color w:val="000000"/>
                <w:sz w:val="20"/>
                <w:szCs w:val="18"/>
              </w:rPr>
            </w:pPr>
            <w:r w:rsidRPr="008B13A5">
              <w:rPr>
                <w:noProof/>
                <w:color w:val="000000"/>
                <w:sz w:val="20"/>
                <w:szCs w:val="18"/>
              </w:rPr>
              <w:t>PAB Workshop</w:t>
            </w:r>
          </w:p>
        </w:tc>
        <w:tc>
          <w:tcPr>
            <w:tcW w:w="840" w:type="dxa"/>
            <w:tcBorders>
              <w:top w:val="single" w:sz="6" w:space="0" w:color="auto"/>
              <w:left w:val="single" w:sz="6" w:space="0" w:color="auto"/>
              <w:bottom w:val="single" w:sz="6" w:space="0" w:color="auto"/>
              <w:right w:val="single" w:sz="6" w:space="0" w:color="auto"/>
            </w:tcBorders>
            <w:vAlign w:val="center"/>
          </w:tcPr>
          <w:p w14:paraId="52324AE7" w14:textId="77777777" w:rsidR="00F8618D" w:rsidRPr="008B13A5" w:rsidRDefault="00F8618D">
            <w:pPr>
              <w:spacing w:after="0"/>
              <w:jc w:val="center"/>
              <w:rPr>
                <w:noProof/>
                <w:color w:val="000000"/>
                <w:sz w:val="20"/>
                <w:szCs w:val="18"/>
              </w:rPr>
            </w:pPr>
            <w:r w:rsidRPr="008B13A5">
              <w:rPr>
                <w:noProof/>
                <w:color w:val="000000"/>
                <w:sz w:val="20"/>
                <w:szCs w:val="18"/>
              </w:rPr>
              <w:t>14</w:t>
            </w:r>
          </w:p>
        </w:tc>
      </w:tr>
      <w:tr w:rsidR="00F8618D" w:rsidRPr="008B13A5" w14:paraId="40C086D0" w14:textId="77777777">
        <w:trPr>
          <w:trHeight w:val="15"/>
        </w:trPr>
        <w:tc>
          <w:tcPr>
            <w:tcW w:w="3810" w:type="dxa"/>
            <w:tcBorders>
              <w:top w:val="single" w:sz="6" w:space="0" w:color="auto"/>
              <w:left w:val="single" w:sz="6" w:space="0" w:color="auto"/>
              <w:bottom w:val="single" w:sz="6" w:space="0" w:color="auto"/>
              <w:right w:val="single" w:sz="6" w:space="0" w:color="auto"/>
            </w:tcBorders>
            <w:vAlign w:val="center"/>
          </w:tcPr>
          <w:p w14:paraId="691BC308" w14:textId="1ED51209" w:rsidR="00F8618D" w:rsidRPr="008B13A5" w:rsidRDefault="00F8618D">
            <w:pPr>
              <w:spacing w:after="0"/>
              <w:rPr>
                <w:noProof/>
                <w:color w:val="000000"/>
                <w:sz w:val="20"/>
                <w:szCs w:val="18"/>
              </w:rPr>
            </w:pPr>
            <w:r w:rsidRPr="008B13A5">
              <w:rPr>
                <w:noProof/>
                <w:color w:val="000000"/>
                <w:sz w:val="20"/>
                <w:szCs w:val="18"/>
              </w:rPr>
              <w:t>Defence &amp; Space</w:t>
            </w:r>
          </w:p>
        </w:tc>
        <w:tc>
          <w:tcPr>
            <w:tcW w:w="840" w:type="dxa"/>
            <w:tcBorders>
              <w:top w:val="single" w:sz="6" w:space="0" w:color="000000"/>
              <w:left w:val="single" w:sz="6" w:space="0" w:color="000000"/>
              <w:bottom w:val="single" w:sz="6" w:space="0" w:color="000000"/>
              <w:right w:val="single" w:sz="6" w:space="0" w:color="auto"/>
            </w:tcBorders>
            <w:vAlign w:val="center"/>
          </w:tcPr>
          <w:p w14:paraId="6915FB92" w14:textId="77777777" w:rsidR="00F8618D" w:rsidRPr="008B13A5" w:rsidRDefault="00F8618D">
            <w:pPr>
              <w:spacing w:after="0"/>
              <w:jc w:val="center"/>
              <w:rPr>
                <w:noProof/>
                <w:color w:val="000000"/>
                <w:sz w:val="20"/>
                <w:szCs w:val="18"/>
              </w:rPr>
            </w:pPr>
            <w:r w:rsidRPr="008B13A5">
              <w:rPr>
                <w:noProof/>
                <w:color w:val="000000"/>
                <w:sz w:val="20"/>
                <w:szCs w:val="18"/>
              </w:rPr>
              <w:t>6</w:t>
            </w:r>
          </w:p>
        </w:tc>
        <w:tc>
          <w:tcPr>
            <w:tcW w:w="4185" w:type="dxa"/>
            <w:tcBorders>
              <w:top w:val="single" w:sz="6" w:space="0" w:color="auto"/>
              <w:left w:val="single" w:sz="6" w:space="0" w:color="auto"/>
              <w:bottom w:val="single" w:sz="6" w:space="0" w:color="auto"/>
              <w:right w:val="single" w:sz="6" w:space="0" w:color="auto"/>
            </w:tcBorders>
            <w:vAlign w:val="center"/>
          </w:tcPr>
          <w:p w14:paraId="0B60FEF0" w14:textId="78DCF552" w:rsidR="00F8618D" w:rsidRPr="008B13A5" w:rsidRDefault="00F8618D" w:rsidP="004D6887">
            <w:pPr>
              <w:spacing w:after="0"/>
              <w:jc w:val="left"/>
              <w:rPr>
                <w:noProof/>
                <w:color w:val="000000"/>
                <w:sz w:val="20"/>
                <w:szCs w:val="18"/>
              </w:rPr>
            </w:pPr>
            <w:r w:rsidRPr="008B13A5">
              <w:rPr>
                <w:noProof/>
                <w:color w:val="000000"/>
                <w:sz w:val="20"/>
                <w:szCs w:val="18"/>
              </w:rPr>
              <w:t>PMB Workshop</w:t>
            </w:r>
          </w:p>
        </w:tc>
        <w:tc>
          <w:tcPr>
            <w:tcW w:w="840" w:type="dxa"/>
            <w:tcBorders>
              <w:top w:val="single" w:sz="6" w:space="0" w:color="auto"/>
              <w:left w:val="single" w:sz="6" w:space="0" w:color="auto"/>
              <w:bottom w:val="single" w:sz="6" w:space="0" w:color="auto"/>
              <w:right w:val="single" w:sz="6" w:space="0" w:color="auto"/>
            </w:tcBorders>
            <w:vAlign w:val="center"/>
          </w:tcPr>
          <w:p w14:paraId="2320EA12" w14:textId="77777777" w:rsidR="00F8618D" w:rsidRPr="008B13A5" w:rsidRDefault="00F8618D">
            <w:pPr>
              <w:spacing w:after="0"/>
              <w:jc w:val="center"/>
              <w:rPr>
                <w:noProof/>
                <w:color w:val="000000"/>
                <w:sz w:val="20"/>
                <w:szCs w:val="18"/>
              </w:rPr>
            </w:pPr>
            <w:r w:rsidRPr="008B13A5">
              <w:rPr>
                <w:noProof/>
                <w:color w:val="000000"/>
                <w:sz w:val="20"/>
                <w:szCs w:val="18"/>
              </w:rPr>
              <w:t>15</w:t>
            </w:r>
          </w:p>
        </w:tc>
      </w:tr>
      <w:tr w:rsidR="00F8618D" w:rsidRPr="008B13A5" w14:paraId="0EC77B21" w14:textId="77777777">
        <w:trPr>
          <w:trHeight w:val="15"/>
        </w:trPr>
        <w:tc>
          <w:tcPr>
            <w:tcW w:w="3810" w:type="dxa"/>
            <w:tcBorders>
              <w:top w:val="single" w:sz="6" w:space="0" w:color="auto"/>
              <w:left w:val="single" w:sz="6" w:space="0" w:color="auto"/>
              <w:bottom w:val="single" w:sz="6" w:space="0" w:color="auto"/>
              <w:right w:val="single" w:sz="6" w:space="0" w:color="auto"/>
            </w:tcBorders>
            <w:vAlign w:val="center"/>
          </w:tcPr>
          <w:p w14:paraId="35009DF9" w14:textId="035C9DA1" w:rsidR="00F8618D" w:rsidRPr="008B13A5" w:rsidRDefault="00F8618D">
            <w:pPr>
              <w:spacing w:after="0"/>
              <w:rPr>
                <w:noProof/>
                <w:color w:val="000000"/>
                <w:sz w:val="20"/>
                <w:szCs w:val="18"/>
              </w:rPr>
            </w:pPr>
            <w:r w:rsidRPr="008B13A5">
              <w:rPr>
                <w:noProof/>
                <w:color w:val="000000"/>
                <w:sz w:val="20"/>
                <w:szCs w:val="18"/>
              </w:rPr>
              <w:t>Supply chains</w:t>
            </w:r>
          </w:p>
        </w:tc>
        <w:tc>
          <w:tcPr>
            <w:tcW w:w="840" w:type="dxa"/>
            <w:tcBorders>
              <w:top w:val="single" w:sz="6" w:space="0" w:color="000000"/>
              <w:left w:val="single" w:sz="6" w:space="0" w:color="000000"/>
              <w:bottom w:val="single" w:sz="6" w:space="0" w:color="000000"/>
              <w:right w:val="single" w:sz="6" w:space="0" w:color="auto"/>
            </w:tcBorders>
            <w:vAlign w:val="center"/>
          </w:tcPr>
          <w:p w14:paraId="73B92D13" w14:textId="77777777" w:rsidR="00F8618D" w:rsidRPr="008B13A5" w:rsidRDefault="00F8618D">
            <w:pPr>
              <w:spacing w:after="0"/>
              <w:jc w:val="center"/>
              <w:rPr>
                <w:noProof/>
                <w:color w:val="000000"/>
                <w:sz w:val="20"/>
                <w:szCs w:val="18"/>
              </w:rPr>
            </w:pPr>
            <w:r w:rsidRPr="008B13A5">
              <w:rPr>
                <w:noProof/>
                <w:color w:val="000000"/>
                <w:sz w:val="20"/>
                <w:szCs w:val="18"/>
              </w:rPr>
              <w:t>7</w:t>
            </w:r>
          </w:p>
        </w:tc>
        <w:tc>
          <w:tcPr>
            <w:tcW w:w="4185" w:type="dxa"/>
            <w:tcBorders>
              <w:top w:val="single" w:sz="6" w:space="0" w:color="auto"/>
              <w:left w:val="single" w:sz="6" w:space="0" w:color="auto"/>
              <w:bottom w:val="single" w:sz="6" w:space="0" w:color="auto"/>
              <w:right w:val="single" w:sz="6" w:space="0" w:color="auto"/>
            </w:tcBorders>
            <w:vAlign w:val="center"/>
          </w:tcPr>
          <w:p w14:paraId="22032704" w14:textId="4B5C825E" w:rsidR="00F8618D" w:rsidRPr="008B13A5" w:rsidRDefault="00F8618D" w:rsidP="004D6887">
            <w:pPr>
              <w:spacing w:after="0"/>
              <w:jc w:val="left"/>
              <w:rPr>
                <w:noProof/>
                <w:color w:val="000000"/>
                <w:sz w:val="20"/>
                <w:szCs w:val="18"/>
              </w:rPr>
            </w:pPr>
            <w:r w:rsidRPr="008B13A5">
              <w:rPr>
                <w:noProof/>
                <w:color w:val="000000"/>
                <w:sz w:val="20"/>
                <w:szCs w:val="18"/>
              </w:rPr>
              <w:t>Semiconductor equipment and its components</w:t>
            </w:r>
          </w:p>
        </w:tc>
        <w:tc>
          <w:tcPr>
            <w:tcW w:w="840" w:type="dxa"/>
            <w:tcBorders>
              <w:top w:val="single" w:sz="6" w:space="0" w:color="auto"/>
              <w:left w:val="single" w:sz="6" w:space="0" w:color="auto"/>
              <w:bottom w:val="single" w:sz="6" w:space="0" w:color="auto"/>
              <w:right w:val="single" w:sz="6" w:space="0" w:color="auto"/>
            </w:tcBorders>
            <w:vAlign w:val="center"/>
          </w:tcPr>
          <w:p w14:paraId="6DFC9AB1" w14:textId="77777777" w:rsidR="00F8618D" w:rsidRPr="008B13A5" w:rsidRDefault="00F8618D">
            <w:pPr>
              <w:spacing w:after="0"/>
              <w:jc w:val="center"/>
              <w:rPr>
                <w:noProof/>
                <w:color w:val="000000"/>
                <w:sz w:val="20"/>
                <w:szCs w:val="18"/>
              </w:rPr>
            </w:pPr>
            <w:r w:rsidRPr="008B13A5">
              <w:rPr>
                <w:noProof/>
                <w:color w:val="000000"/>
                <w:sz w:val="20"/>
                <w:szCs w:val="18"/>
              </w:rPr>
              <w:t>16</w:t>
            </w:r>
          </w:p>
        </w:tc>
      </w:tr>
      <w:tr w:rsidR="00F8618D" w:rsidRPr="008B13A5" w14:paraId="247014E5" w14:textId="77777777">
        <w:trPr>
          <w:trHeight w:val="300"/>
        </w:trPr>
        <w:tc>
          <w:tcPr>
            <w:tcW w:w="3810" w:type="dxa"/>
            <w:tcBorders>
              <w:top w:val="single" w:sz="6" w:space="0" w:color="auto"/>
              <w:left w:val="single" w:sz="6" w:space="0" w:color="auto"/>
              <w:bottom w:val="single" w:sz="6" w:space="0" w:color="auto"/>
              <w:right w:val="single" w:sz="6" w:space="0" w:color="auto"/>
            </w:tcBorders>
            <w:vAlign w:val="center"/>
          </w:tcPr>
          <w:p w14:paraId="15CB5A29" w14:textId="519AE236" w:rsidR="00F8618D" w:rsidRPr="008B13A5" w:rsidRDefault="00F8618D">
            <w:pPr>
              <w:spacing w:after="0"/>
              <w:rPr>
                <w:noProof/>
                <w:color w:val="000000"/>
                <w:sz w:val="20"/>
                <w:szCs w:val="18"/>
              </w:rPr>
            </w:pPr>
            <w:r w:rsidRPr="008B13A5">
              <w:rPr>
                <w:noProof/>
                <w:color w:val="000000"/>
                <w:sz w:val="20"/>
                <w:szCs w:val="18"/>
              </w:rPr>
              <w:t>Advanced Chips Design for Data Centres</w:t>
            </w:r>
          </w:p>
        </w:tc>
        <w:tc>
          <w:tcPr>
            <w:tcW w:w="840" w:type="dxa"/>
            <w:tcBorders>
              <w:top w:val="single" w:sz="6" w:space="0" w:color="000000"/>
              <w:left w:val="single" w:sz="6" w:space="0" w:color="000000"/>
              <w:bottom w:val="single" w:sz="6" w:space="0" w:color="000000"/>
              <w:right w:val="single" w:sz="6" w:space="0" w:color="auto"/>
            </w:tcBorders>
            <w:vAlign w:val="center"/>
          </w:tcPr>
          <w:p w14:paraId="354EA113" w14:textId="77777777" w:rsidR="00F8618D" w:rsidRPr="008B13A5" w:rsidRDefault="00F8618D">
            <w:pPr>
              <w:spacing w:after="0"/>
              <w:jc w:val="center"/>
              <w:rPr>
                <w:noProof/>
                <w:color w:val="000000"/>
                <w:sz w:val="20"/>
                <w:szCs w:val="18"/>
              </w:rPr>
            </w:pPr>
            <w:r w:rsidRPr="008B13A5">
              <w:rPr>
                <w:noProof/>
                <w:color w:val="000000"/>
                <w:sz w:val="20"/>
                <w:szCs w:val="18"/>
              </w:rPr>
              <w:t>8</w:t>
            </w:r>
          </w:p>
        </w:tc>
        <w:tc>
          <w:tcPr>
            <w:tcW w:w="4185" w:type="dxa"/>
            <w:tcBorders>
              <w:top w:val="single" w:sz="6" w:space="0" w:color="auto"/>
              <w:left w:val="single" w:sz="6" w:space="0" w:color="auto"/>
              <w:bottom w:val="single" w:sz="6" w:space="0" w:color="auto"/>
              <w:right w:val="single" w:sz="6" w:space="0" w:color="auto"/>
            </w:tcBorders>
            <w:vAlign w:val="center"/>
          </w:tcPr>
          <w:p w14:paraId="24862900" w14:textId="17897175" w:rsidR="00F8618D" w:rsidRPr="008B13A5" w:rsidRDefault="00F8618D" w:rsidP="004D6887">
            <w:pPr>
              <w:spacing w:after="0"/>
              <w:jc w:val="left"/>
              <w:rPr>
                <w:noProof/>
                <w:color w:val="000000"/>
                <w:sz w:val="20"/>
                <w:szCs w:val="18"/>
              </w:rPr>
            </w:pPr>
            <w:r w:rsidRPr="008B13A5">
              <w:rPr>
                <w:noProof/>
                <w:color w:val="000000"/>
                <w:sz w:val="20"/>
                <w:szCs w:val="18"/>
              </w:rPr>
              <w:t>Stakeholder’s validation workshop</w:t>
            </w:r>
          </w:p>
        </w:tc>
        <w:tc>
          <w:tcPr>
            <w:tcW w:w="840" w:type="dxa"/>
            <w:tcBorders>
              <w:top w:val="single" w:sz="6" w:space="0" w:color="auto"/>
              <w:left w:val="single" w:sz="6" w:space="0" w:color="auto"/>
              <w:bottom w:val="single" w:sz="6" w:space="0" w:color="auto"/>
              <w:right w:val="single" w:sz="6" w:space="0" w:color="auto"/>
            </w:tcBorders>
            <w:vAlign w:val="center"/>
          </w:tcPr>
          <w:p w14:paraId="49DFA956" w14:textId="77777777" w:rsidR="00F8618D" w:rsidRPr="008B13A5" w:rsidRDefault="00F8618D">
            <w:pPr>
              <w:spacing w:after="0"/>
              <w:jc w:val="center"/>
              <w:rPr>
                <w:noProof/>
                <w:color w:val="000000"/>
                <w:sz w:val="20"/>
                <w:szCs w:val="18"/>
              </w:rPr>
            </w:pPr>
            <w:r w:rsidRPr="008B13A5">
              <w:rPr>
                <w:noProof/>
                <w:color w:val="000000"/>
                <w:sz w:val="20"/>
                <w:szCs w:val="18"/>
              </w:rPr>
              <w:t>17</w:t>
            </w:r>
          </w:p>
        </w:tc>
      </w:tr>
      <w:tr w:rsidR="00F8618D" w:rsidRPr="008B13A5" w14:paraId="197158CE" w14:textId="77777777">
        <w:trPr>
          <w:trHeight w:val="15"/>
        </w:trPr>
        <w:tc>
          <w:tcPr>
            <w:tcW w:w="3810" w:type="dxa"/>
            <w:tcBorders>
              <w:top w:val="single" w:sz="6" w:space="0" w:color="auto"/>
              <w:left w:val="single" w:sz="6" w:space="0" w:color="auto"/>
              <w:bottom w:val="single" w:sz="6" w:space="0" w:color="auto"/>
              <w:right w:val="single" w:sz="6" w:space="0" w:color="auto"/>
            </w:tcBorders>
            <w:vAlign w:val="center"/>
          </w:tcPr>
          <w:p w14:paraId="7ADE680F" w14:textId="77777777" w:rsidR="00F8618D" w:rsidRPr="008B13A5" w:rsidRDefault="00F8618D">
            <w:pPr>
              <w:spacing w:after="0"/>
              <w:rPr>
                <w:noProof/>
                <w:color w:val="000000"/>
                <w:sz w:val="20"/>
                <w:szCs w:val="18"/>
              </w:rPr>
            </w:pPr>
            <w:r w:rsidRPr="008B13A5">
              <w:rPr>
                <w:noProof/>
                <w:color w:val="000000"/>
                <w:sz w:val="20"/>
                <w:szCs w:val="18"/>
              </w:rPr>
              <w:t>Materials</w:t>
            </w:r>
          </w:p>
        </w:tc>
        <w:tc>
          <w:tcPr>
            <w:tcW w:w="840" w:type="dxa"/>
            <w:tcBorders>
              <w:top w:val="single" w:sz="6" w:space="0" w:color="000000"/>
              <w:left w:val="single" w:sz="6" w:space="0" w:color="000000"/>
              <w:bottom w:val="single" w:sz="6" w:space="0" w:color="000000"/>
              <w:right w:val="single" w:sz="6" w:space="0" w:color="auto"/>
            </w:tcBorders>
            <w:vAlign w:val="center"/>
          </w:tcPr>
          <w:p w14:paraId="414B039B" w14:textId="77777777" w:rsidR="00F8618D" w:rsidRPr="008B13A5" w:rsidRDefault="00F8618D">
            <w:pPr>
              <w:spacing w:after="0"/>
              <w:jc w:val="center"/>
              <w:rPr>
                <w:noProof/>
                <w:color w:val="000000"/>
                <w:sz w:val="20"/>
                <w:szCs w:val="18"/>
              </w:rPr>
            </w:pPr>
            <w:r w:rsidRPr="008B13A5">
              <w:rPr>
                <w:noProof/>
                <w:color w:val="000000"/>
                <w:sz w:val="20"/>
                <w:szCs w:val="18"/>
              </w:rPr>
              <w:t>9</w:t>
            </w:r>
          </w:p>
        </w:tc>
        <w:tc>
          <w:tcPr>
            <w:tcW w:w="4185" w:type="dxa"/>
            <w:tcBorders>
              <w:top w:val="single" w:sz="6" w:space="0" w:color="auto"/>
              <w:left w:val="single" w:sz="6" w:space="0" w:color="auto"/>
              <w:bottom w:val="single" w:sz="6" w:space="0" w:color="auto"/>
              <w:right w:val="single" w:sz="6" w:space="0" w:color="auto"/>
            </w:tcBorders>
            <w:vAlign w:val="center"/>
          </w:tcPr>
          <w:p w14:paraId="75D62A65" w14:textId="77777777" w:rsidR="00F8618D" w:rsidRPr="008B13A5" w:rsidRDefault="00F8618D">
            <w:pPr>
              <w:spacing w:after="0"/>
              <w:rPr>
                <w:noProof/>
                <w:color w:val="000000"/>
                <w:sz w:val="20"/>
                <w:szCs w:val="18"/>
              </w:rPr>
            </w:pPr>
          </w:p>
        </w:tc>
        <w:tc>
          <w:tcPr>
            <w:tcW w:w="840" w:type="dxa"/>
            <w:tcBorders>
              <w:top w:val="single" w:sz="6" w:space="0" w:color="auto"/>
              <w:left w:val="single" w:sz="6" w:space="0" w:color="auto"/>
              <w:bottom w:val="single" w:sz="6" w:space="0" w:color="auto"/>
              <w:right w:val="single" w:sz="6" w:space="0" w:color="auto"/>
            </w:tcBorders>
            <w:vAlign w:val="center"/>
          </w:tcPr>
          <w:p w14:paraId="342563C5" w14:textId="77777777" w:rsidR="00F8618D" w:rsidRPr="008B13A5" w:rsidRDefault="00F8618D">
            <w:pPr>
              <w:spacing w:after="0"/>
              <w:jc w:val="center"/>
              <w:rPr>
                <w:noProof/>
                <w:color w:val="000000"/>
                <w:sz w:val="20"/>
                <w:szCs w:val="18"/>
              </w:rPr>
            </w:pPr>
          </w:p>
        </w:tc>
      </w:tr>
    </w:tbl>
    <w:p w14:paraId="2C68A151" w14:textId="77777777" w:rsidR="00F8618D" w:rsidRPr="00BD008E" w:rsidRDefault="00F8618D" w:rsidP="00C47054">
      <w:pPr>
        <w:rPr>
          <w:noProof/>
        </w:rPr>
      </w:pPr>
    </w:p>
    <w:p w14:paraId="45016908" w14:textId="0E152CB2" w:rsidR="00F8618D" w:rsidRPr="008B13A5" w:rsidRDefault="00F8618D" w:rsidP="00F06CE5">
      <w:pPr>
        <w:spacing w:after="0"/>
        <w:rPr>
          <w:noProof/>
        </w:rPr>
      </w:pPr>
      <w:r w:rsidRPr="008B13A5">
        <w:rPr>
          <w:noProof/>
        </w:rPr>
        <w:t xml:space="preserve">This diverse participation ensured comprehensive coverage of the semiconductor value chain and other stakeholders. They included: </w:t>
      </w:r>
    </w:p>
    <w:p w14:paraId="26EC843C" w14:textId="77777777" w:rsidR="00F8618D" w:rsidRPr="008B13A5" w:rsidRDefault="00F8618D" w:rsidP="00547E81">
      <w:pPr>
        <w:pStyle w:val="ListBullet"/>
        <w:ind w:left="284" w:hanging="284"/>
        <w:contextualSpacing/>
        <w:rPr>
          <w:noProof/>
        </w:rPr>
      </w:pPr>
      <w:r w:rsidRPr="008B13A5">
        <w:rPr>
          <w:b/>
          <w:bCs/>
          <w:noProof/>
        </w:rPr>
        <w:t>Industry representatives:</w:t>
      </w:r>
      <w:r w:rsidRPr="008B13A5">
        <w:rPr>
          <w:noProof/>
        </w:rPr>
        <w:t xml:space="preserve"> Major telecoms and industrial equipment manufacturers (Ericsson, Nokia, Philips, Siemens), manufacturer of semiconductors and equipment (ASM, ASML, ST Microelectronics, Cologne Chip), fabless companies, design service providers and other firms (e.g., cloud providers).</w:t>
      </w:r>
    </w:p>
    <w:p w14:paraId="4C2DE27B" w14:textId="77777777" w:rsidR="00547E81" w:rsidRPr="008B13A5" w:rsidRDefault="00F8618D" w:rsidP="00547E81">
      <w:pPr>
        <w:pStyle w:val="ListBullet"/>
        <w:ind w:left="284" w:hanging="284"/>
        <w:contextualSpacing/>
        <w:rPr>
          <w:noProof/>
        </w:rPr>
      </w:pPr>
      <w:r w:rsidRPr="008B13A5">
        <w:rPr>
          <w:b/>
          <w:bCs/>
          <w:noProof/>
        </w:rPr>
        <w:t>Regional</w:t>
      </w:r>
      <w:r w:rsidR="00F274DD" w:rsidRPr="008B13A5">
        <w:rPr>
          <w:b/>
          <w:bCs/>
          <w:noProof/>
        </w:rPr>
        <w:t xml:space="preserve"> </w:t>
      </w:r>
      <w:r w:rsidRPr="008B13A5">
        <w:rPr>
          <w:b/>
          <w:bCs/>
          <w:noProof/>
        </w:rPr>
        <w:t>and</w:t>
      </w:r>
      <w:r w:rsidR="00F274DD" w:rsidRPr="008B13A5">
        <w:rPr>
          <w:b/>
          <w:bCs/>
          <w:noProof/>
        </w:rPr>
        <w:t xml:space="preserve"> </w:t>
      </w:r>
      <w:r w:rsidRPr="008B13A5">
        <w:rPr>
          <w:b/>
          <w:bCs/>
          <w:noProof/>
        </w:rPr>
        <w:t>institutional</w:t>
      </w:r>
      <w:r w:rsidR="00F274DD" w:rsidRPr="008B13A5">
        <w:rPr>
          <w:b/>
          <w:bCs/>
          <w:noProof/>
        </w:rPr>
        <w:t xml:space="preserve"> </w:t>
      </w:r>
      <w:r w:rsidRPr="008B13A5">
        <w:rPr>
          <w:b/>
          <w:bCs/>
          <w:noProof/>
        </w:rPr>
        <w:t>actors:</w:t>
      </w:r>
      <w:r w:rsidR="00F274DD" w:rsidRPr="008B13A5">
        <w:rPr>
          <w:noProof/>
        </w:rPr>
        <w:t xml:space="preserve"> </w:t>
      </w:r>
      <w:r w:rsidRPr="008B13A5">
        <w:rPr>
          <w:noProof/>
        </w:rPr>
        <w:t>Regional</w:t>
      </w:r>
      <w:r w:rsidR="00F274DD" w:rsidRPr="008B13A5">
        <w:rPr>
          <w:noProof/>
        </w:rPr>
        <w:t xml:space="preserve"> </w:t>
      </w:r>
      <w:r w:rsidRPr="008B13A5">
        <w:rPr>
          <w:noProof/>
        </w:rPr>
        <w:t>authorities</w:t>
      </w:r>
      <w:r w:rsidR="00F274DD" w:rsidRPr="008B13A5">
        <w:rPr>
          <w:noProof/>
        </w:rPr>
        <w:t xml:space="preserve"> </w:t>
      </w:r>
      <w:r w:rsidRPr="008B13A5">
        <w:rPr>
          <w:noProof/>
        </w:rPr>
        <w:t>from</w:t>
      </w:r>
      <w:r w:rsidR="00F274DD" w:rsidRPr="008B13A5">
        <w:rPr>
          <w:noProof/>
        </w:rPr>
        <w:t xml:space="preserve"> </w:t>
      </w:r>
      <w:r w:rsidRPr="008B13A5">
        <w:rPr>
          <w:noProof/>
        </w:rPr>
        <w:t>Saxony,</w:t>
      </w:r>
      <w:r w:rsidR="00F274DD" w:rsidRPr="008B13A5">
        <w:rPr>
          <w:noProof/>
        </w:rPr>
        <w:t xml:space="preserve"> </w:t>
      </w:r>
      <w:r w:rsidRPr="008B13A5">
        <w:rPr>
          <w:noProof/>
        </w:rPr>
        <w:t>Catalonia,</w:t>
      </w:r>
      <w:r w:rsidR="00F274DD" w:rsidRPr="008B13A5">
        <w:rPr>
          <w:noProof/>
        </w:rPr>
        <w:t xml:space="preserve"> </w:t>
      </w:r>
      <w:r w:rsidRPr="008B13A5">
        <w:rPr>
          <w:noProof/>
        </w:rPr>
        <w:t>and</w:t>
      </w:r>
      <w:r w:rsidR="00F274DD" w:rsidRPr="008B13A5">
        <w:rPr>
          <w:noProof/>
        </w:rPr>
        <w:t xml:space="preserve"> </w:t>
      </w:r>
      <w:r w:rsidRPr="008B13A5">
        <w:rPr>
          <w:noProof/>
        </w:rPr>
        <w:t>Finland;</w:t>
      </w:r>
      <w:r w:rsidR="00F274DD" w:rsidRPr="008B13A5">
        <w:rPr>
          <w:noProof/>
        </w:rPr>
        <w:t xml:space="preserve"> </w:t>
      </w:r>
      <w:r w:rsidRPr="008B13A5">
        <w:rPr>
          <w:noProof/>
        </w:rPr>
        <w:t>industrial</w:t>
      </w:r>
      <w:r w:rsidR="00F274DD" w:rsidRPr="008B13A5">
        <w:rPr>
          <w:noProof/>
        </w:rPr>
        <w:t xml:space="preserve"> </w:t>
      </w:r>
      <w:r w:rsidRPr="008B13A5">
        <w:rPr>
          <w:noProof/>
        </w:rPr>
        <w:t>clusters</w:t>
      </w:r>
      <w:r w:rsidR="00F274DD" w:rsidRPr="008B13A5">
        <w:rPr>
          <w:noProof/>
        </w:rPr>
        <w:t xml:space="preserve"> </w:t>
      </w:r>
      <w:r w:rsidRPr="008B13A5">
        <w:rPr>
          <w:noProof/>
        </w:rPr>
        <w:t>(Silicon</w:t>
      </w:r>
      <w:r w:rsidR="00F274DD" w:rsidRPr="008B13A5">
        <w:rPr>
          <w:noProof/>
        </w:rPr>
        <w:t xml:space="preserve"> </w:t>
      </w:r>
      <w:r w:rsidRPr="008B13A5">
        <w:rPr>
          <w:noProof/>
        </w:rPr>
        <w:t>Europe,</w:t>
      </w:r>
      <w:r w:rsidR="00F274DD" w:rsidRPr="008B13A5">
        <w:rPr>
          <w:noProof/>
        </w:rPr>
        <w:t xml:space="preserve"> </w:t>
      </w:r>
      <w:r w:rsidRPr="008B13A5">
        <w:rPr>
          <w:noProof/>
        </w:rPr>
        <w:t>MESAP);</w:t>
      </w:r>
      <w:r w:rsidR="00F274DD" w:rsidRPr="008B13A5">
        <w:rPr>
          <w:noProof/>
        </w:rPr>
        <w:t xml:space="preserve"> </w:t>
      </w:r>
      <w:r w:rsidRPr="008B13A5">
        <w:rPr>
          <w:noProof/>
        </w:rPr>
        <w:t>competence</w:t>
      </w:r>
      <w:r w:rsidR="00F274DD" w:rsidRPr="008B13A5">
        <w:rPr>
          <w:noProof/>
        </w:rPr>
        <w:t xml:space="preserve"> </w:t>
      </w:r>
      <w:r w:rsidRPr="008B13A5">
        <w:rPr>
          <w:noProof/>
        </w:rPr>
        <w:t>centres;</w:t>
      </w:r>
      <w:r w:rsidR="00F274DD" w:rsidRPr="008B13A5">
        <w:rPr>
          <w:noProof/>
        </w:rPr>
        <w:t xml:space="preserve"> </w:t>
      </w:r>
      <w:r w:rsidRPr="008B13A5">
        <w:rPr>
          <w:noProof/>
        </w:rPr>
        <w:t>and</w:t>
      </w:r>
      <w:r w:rsidR="00F274DD" w:rsidRPr="008B13A5">
        <w:rPr>
          <w:noProof/>
        </w:rPr>
        <w:t xml:space="preserve"> </w:t>
      </w:r>
      <w:r w:rsidRPr="008B13A5">
        <w:rPr>
          <w:noProof/>
        </w:rPr>
        <w:t>implementation</w:t>
      </w:r>
      <w:r w:rsidR="00F274DD" w:rsidRPr="008B13A5">
        <w:rPr>
          <w:noProof/>
        </w:rPr>
        <w:t xml:space="preserve"> </w:t>
      </w:r>
      <w:r w:rsidRPr="008B13A5">
        <w:rPr>
          <w:noProof/>
        </w:rPr>
        <w:t>practitioners</w:t>
      </w:r>
      <w:r w:rsidR="00F274DD" w:rsidRPr="008B13A5">
        <w:rPr>
          <w:noProof/>
        </w:rPr>
        <w:t xml:space="preserve"> </w:t>
      </w:r>
      <w:r w:rsidRPr="008B13A5">
        <w:rPr>
          <w:noProof/>
        </w:rPr>
        <w:t>managing</w:t>
      </w:r>
      <w:r w:rsidR="00F274DD" w:rsidRPr="008B13A5">
        <w:rPr>
          <w:noProof/>
        </w:rPr>
        <w:t xml:space="preserve"> </w:t>
      </w:r>
      <w:r w:rsidRPr="008B13A5">
        <w:rPr>
          <w:noProof/>
        </w:rPr>
        <w:t>major</w:t>
      </w:r>
      <w:r w:rsidR="00F274DD" w:rsidRPr="008B13A5">
        <w:rPr>
          <w:noProof/>
        </w:rPr>
        <w:t xml:space="preserve"> </w:t>
      </w:r>
      <w:r w:rsidRPr="008B13A5">
        <w:rPr>
          <w:noProof/>
        </w:rPr>
        <w:t>projects</w:t>
      </w:r>
      <w:r w:rsidR="00F274DD" w:rsidRPr="008B13A5">
        <w:rPr>
          <w:noProof/>
        </w:rPr>
        <w:t xml:space="preserve"> </w:t>
      </w:r>
      <w:r w:rsidRPr="008B13A5">
        <w:rPr>
          <w:noProof/>
        </w:rPr>
        <w:t>like</w:t>
      </w:r>
      <w:r w:rsidR="00F274DD" w:rsidRPr="008B13A5">
        <w:rPr>
          <w:noProof/>
        </w:rPr>
        <w:t xml:space="preserve"> </w:t>
      </w:r>
      <w:r w:rsidRPr="008B13A5">
        <w:rPr>
          <w:noProof/>
        </w:rPr>
        <w:t>Saxony</w:t>
      </w:r>
      <w:r w:rsidR="00497125" w:rsidRPr="008B13A5">
        <w:rPr>
          <w:noProof/>
        </w:rPr>
        <w:t>’</w:t>
      </w:r>
      <w:r w:rsidRPr="008B13A5">
        <w:rPr>
          <w:noProof/>
        </w:rPr>
        <w:t>s</w:t>
      </w:r>
      <w:r w:rsidR="00F274DD" w:rsidRPr="008B13A5">
        <w:rPr>
          <w:noProof/>
        </w:rPr>
        <w:t xml:space="preserve"> </w:t>
      </w:r>
      <w:r w:rsidRPr="008B13A5">
        <w:rPr>
          <w:noProof/>
        </w:rPr>
        <w:t>TSMC</w:t>
      </w:r>
      <w:r w:rsidR="00F274DD" w:rsidRPr="008B13A5">
        <w:rPr>
          <w:noProof/>
        </w:rPr>
        <w:t xml:space="preserve"> </w:t>
      </w:r>
      <w:r w:rsidRPr="008B13A5">
        <w:rPr>
          <w:noProof/>
        </w:rPr>
        <w:t>facility.</w:t>
      </w:r>
    </w:p>
    <w:p w14:paraId="5A513C05" w14:textId="77777777" w:rsidR="00F8618D" w:rsidRPr="008B13A5" w:rsidRDefault="00F8618D" w:rsidP="00547E81">
      <w:pPr>
        <w:pStyle w:val="ListBullet"/>
        <w:ind w:left="284" w:hanging="284"/>
        <w:contextualSpacing/>
        <w:rPr>
          <w:noProof/>
        </w:rPr>
      </w:pPr>
      <w:r w:rsidRPr="008B13A5">
        <w:rPr>
          <w:b/>
          <w:bCs/>
          <w:noProof/>
        </w:rPr>
        <w:t>Research and academic organisations:</w:t>
      </w:r>
      <w:r w:rsidRPr="008B13A5">
        <w:rPr>
          <w:noProof/>
        </w:rPr>
        <w:t xml:space="preserve"> Research Technology Organisations (RTOs) including IMEC, Fraunhofer, CSEM, and CRT/LETI; universities (TU Graz, University of Delft); and academic consortia involved in pilot lines and research projects.</w:t>
      </w:r>
    </w:p>
    <w:p w14:paraId="35C28141" w14:textId="31671304" w:rsidR="009712FE" w:rsidRPr="008B13A5" w:rsidRDefault="00F8618D" w:rsidP="00547E81">
      <w:pPr>
        <w:pStyle w:val="ListBullet"/>
        <w:ind w:left="284" w:hanging="284"/>
        <w:contextualSpacing/>
        <w:rPr>
          <w:noProof/>
        </w:rPr>
      </w:pPr>
      <w:r w:rsidRPr="008B13A5">
        <w:rPr>
          <w:b/>
          <w:bCs/>
          <w:noProof/>
        </w:rPr>
        <w:t>Supporting ecosystem:</w:t>
      </w:r>
      <w:r w:rsidRPr="008B13A5">
        <w:rPr>
          <w:noProof/>
        </w:rPr>
        <w:t xml:space="preserve"> Organisations dealing with education (European Chips Skills Academy, EIT Digital, aCCCess), material suppliers, manufacturing technology suppliers, investors, and national talent initiatives.</w:t>
      </w:r>
    </w:p>
    <w:p w14:paraId="27DBF97A" w14:textId="6DE9EE4C" w:rsidR="00F8618D" w:rsidRPr="008B13A5" w:rsidRDefault="00F8618D" w:rsidP="009712FE">
      <w:pPr>
        <w:pStyle w:val="ListBullet"/>
        <w:rPr>
          <w:noProof/>
        </w:rPr>
      </w:pPr>
      <w:r w:rsidRPr="008B13A5">
        <w:rPr>
          <w:b/>
          <w:bCs/>
          <w:noProof/>
        </w:rPr>
        <w:t>European Commission</w:t>
      </w:r>
      <w:r w:rsidRPr="008B13A5">
        <w:rPr>
          <w:noProof/>
        </w:rPr>
        <w:t>: Representatives from DG CNECT, DG DEFIS, DG SANTE, DG RTD, and the Joint Research Centre participated to provide policy context and gather feedback.</w:t>
      </w:r>
    </w:p>
    <w:p w14:paraId="3CFE955D" w14:textId="218F7B2E" w:rsidR="00F8618D" w:rsidRPr="008B13A5" w:rsidRDefault="00F8618D" w:rsidP="009712FE">
      <w:pPr>
        <w:pStyle w:val="Heading2"/>
        <w:rPr>
          <w:noProof/>
          <w:szCs w:val="22"/>
        </w:rPr>
      </w:pPr>
      <w:bookmarkStart w:id="79" w:name="_Toc223620607"/>
      <w:bookmarkStart w:id="80" w:name="_Toc230010392"/>
      <w:r w:rsidRPr="008B13A5">
        <w:rPr>
          <w:noProof/>
        </w:rPr>
        <w:t>Effectiveness</w:t>
      </w:r>
      <w:bookmarkEnd w:id="79"/>
      <w:bookmarkEnd w:id="80"/>
      <w:r w:rsidR="00F274DD" w:rsidRPr="008B13A5">
        <w:rPr>
          <w:noProof/>
        </w:rPr>
        <w:t xml:space="preserve"> </w:t>
      </w:r>
    </w:p>
    <w:p w14:paraId="0DB4D4AC" w14:textId="04800C08" w:rsidR="00F8618D" w:rsidRPr="008B13A5" w:rsidRDefault="00F8618D" w:rsidP="00F8618D">
      <w:pPr>
        <w:rPr>
          <w:noProof/>
          <w:szCs w:val="22"/>
        </w:rPr>
      </w:pPr>
      <w:r w:rsidRPr="008B13A5">
        <w:rPr>
          <w:noProof/>
          <w:szCs w:val="22"/>
        </w:rPr>
        <w:t xml:space="preserve">Across the workshops, stakeholders recognised that the Chips Act had </w:t>
      </w:r>
      <w:r w:rsidRPr="008B13A5">
        <w:rPr>
          <w:b/>
          <w:bCs/>
          <w:noProof/>
          <w:szCs w:val="22"/>
        </w:rPr>
        <w:t>mobilised significant investment and accelerated progress in design, pilot-line development and early manufacturing capacity</w:t>
      </w:r>
      <w:r w:rsidRPr="008B13A5">
        <w:rPr>
          <w:noProof/>
          <w:szCs w:val="22"/>
        </w:rPr>
        <w:t xml:space="preserve">, yet they also emphasised that </w:t>
      </w:r>
      <w:r w:rsidRPr="008B13A5">
        <w:rPr>
          <w:b/>
          <w:bCs/>
          <w:noProof/>
          <w:szCs w:val="22"/>
        </w:rPr>
        <w:t>critical structural gaps persisted</w:t>
      </w:r>
      <w:r w:rsidRPr="008B13A5">
        <w:rPr>
          <w:noProof/>
          <w:szCs w:val="22"/>
        </w:rPr>
        <w:t xml:space="preserve"> across the value chain. Many noted that Europe still depended heavily on non-EU suppliers, and recent disruptions in the medical, industrial and telecoms sectors illustrated the </w:t>
      </w:r>
      <w:r w:rsidRPr="008B13A5">
        <w:rPr>
          <w:b/>
          <w:bCs/>
          <w:noProof/>
          <w:szCs w:val="22"/>
        </w:rPr>
        <w:t>ongoing vulnerability of supply chains</w:t>
      </w:r>
      <w:r w:rsidRPr="008B13A5">
        <w:rPr>
          <w:noProof/>
          <w:szCs w:val="22"/>
        </w:rPr>
        <w:t>. Participants also warned that component obsolescence, particularly of specialised FPGAs, posed rising risks for sectors requiring long validation cycles.</w:t>
      </w:r>
    </w:p>
    <w:p w14:paraId="6D4F93B0" w14:textId="54DA3BDC" w:rsidR="00F8618D" w:rsidRPr="008B13A5" w:rsidRDefault="00F8618D" w:rsidP="00F8618D">
      <w:pPr>
        <w:rPr>
          <w:noProof/>
          <w:szCs w:val="22"/>
        </w:rPr>
      </w:pPr>
      <w:r w:rsidRPr="008B13A5">
        <w:rPr>
          <w:noProof/>
          <w:szCs w:val="22"/>
        </w:rPr>
        <w:t xml:space="preserve">Stakeholders broadly agreed that </w:t>
      </w:r>
      <w:r w:rsidRPr="008B13A5">
        <w:rPr>
          <w:b/>
          <w:bCs/>
          <w:noProof/>
          <w:szCs w:val="22"/>
        </w:rPr>
        <w:t>Europe lacked viable high-performance manufacturing options</w:t>
      </w:r>
      <w:r w:rsidRPr="008B13A5">
        <w:rPr>
          <w:noProof/>
          <w:szCs w:val="22"/>
        </w:rPr>
        <w:t>, especially for AI, HPC and advanced automotive applications. With nearly all cloud-grade chips sourced from Asia, concentration risks remained extremely high. Several workshops highlighted that the absence of a sufficiently large and coordinated European demand base limited incentives for large-scale investment in cutting-edge capacity.</w:t>
      </w:r>
    </w:p>
    <w:p w14:paraId="20E1B289" w14:textId="53464A9F" w:rsidR="00F8618D" w:rsidRPr="008B13A5" w:rsidRDefault="00F8618D" w:rsidP="00F8618D">
      <w:pPr>
        <w:rPr>
          <w:noProof/>
          <w:szCs w:val="22"/>
        </w:rPr>
      </w:pPr>
      <w:r w:rsidRPr="008B13A5">
        <w:rPr>
          <w:noProof/>
          <w:szCs w:val="22"/>
        </w:rPr>
        <w:t>SME access emerged as a consistent concern. While many welcomed the ambition of pilot lines, design platforms and competence centres, stakeholders reported barriers related to cost, administrative complexity, and timing. Pilot-line access was still unaffordable for early-stage innovators, the design platform remained oriented toward firms already active in microelectronics, and in several Member States competence centres had only recently become operational, limiting early benefits for SMEs and start-ups. A lack of effectiveness was also noted by equipment manufacturers who pointed out that their business model would require higher R&amp;D support, not investment incentives.</w:t>
      </w:r>
    </w:p>
    <w:p w14:paraId="0D8B0551" w14:textId="6885E73B" w:rsidR="00F8618D" w:rsidRPr="008B13A5" w:rsidRDefault="00F8618D" w:rsidP="00F8618D">
      <w:pPr>
        <w:rPr>
          <w:noProof/>
          <w:szCs w:val="22"/>
        </w:rPr>
      </w:pPr>
      <w:r w:rsidRPr="008B13A5">
        <w:rPr>
          <w:b/>
          <w:bCs/>
          <w:noProof/>
          <w:szCs w:val="22"/>
        </w:rPr>
        <w:t>A cross-cutting theme was the lack of demand aggregation, especially in sectors relying on customised or low-volume chips</w:t>
      </w:r>
      <w:r w:rsidRPr="008B13A5">
        <w:rPr>
          <w:noProof/>
          <w:szCs w:val="22"/>
        </w:rPr>
        <w:t xml:space="preserve"> (health technologies, telecoms, data centres, automotive, PCB/EMS). Participants described this as a fundamental structural weakness: fragmented demand prevented economies of scale and slowed the transition from “lab to fab”, limiting Europe’s ability to industrialise emerging technologies.</w:t>
      </w:r>
    </w:p>
    <w:p w14:paraId="2957BC35" w14:textId="2639FFA4" w:rsidR="00F8618D" w:rsidRPr="008B13A5" w:rsidRDefault="00F8618D" w:rsidP="00F8618D">
      <w:pPr>
        <w:rPr>
          <w:noProof/>
          <w:szCs w:val="22"/>
        </w:rPr>
      </w:pPr>
      <w:r w:rsidRPr="008B13A5">
        <w:rPr>
          <w:noProof/>
          <w:szCs w:val="22"/>
        </w:rPr>
        <w:t xml:space="preserve">Workshops also noted that </w:t>
      </w:r>
      <w:r w:rsidRPr="008B13A5">
        <w:rPr>
          <w:b/>
          <w:bCs/>
          <w:noProof/>
          <w:szCs w:val="22"/>
        </w:rPr>
        <w:t>skills shortages remained a major bottleneck</w:t>
      </w:r>
      <w:r w:rsidRPr="008B13A5">
        <w:rPr>
          <w:noProof/>
          <w:szCs w:val="22"/>
        </w:rPr>
        <w:t>, with current initiatives seen as insufficient relative to projected shortages of 70,000-80,000 professionals. Acute gaps were reported in analogue design, system architecture, advanced packaging and testing, profiles essential for scaling many of the technologies supported under the Act.</w:t>
      </w:r>
    </w:p>
    <w:p w14:paraId="25DC178B" w14:textId="718C95D5" w:rsidR="00F8618D" w:rsidRPr="008B13A5" w:rsidRDefault="00F8618D" w:rsidP="00C47054">
      <w:pPr>
        <w:rPr>
          <w:noProof/>
          <w:szCs w:val="22"/>
        </w:rPr>
      </w:pPr>
      <w:r w:rsidRPr="008B13A5">
        <w:rPr>
          <w:noProof/>
        </w:rPr>
        <w:t>Finally,</w:t>
      </w:r>
      <w:r w:rsidRPr="008B13A5">
        <w:rPr>
          <w:noProof/>
          <w:szCs w:val="22"/>
        </w:rPr>
        <w:t xml:space="preserve"> </w:t>
      </w:r>
      <w:r w:rsidRPr="008B13A5">
        <w:rPr>
          <w:b/>
          <w:bCs/>
          <w:noProof/>
          <w:szCs w:val="22"/>
        </w:rPr>
        <w:t>stakeholders stressed that</w:t>
      </w:r>
      <w:r w:rsidRPr="008B13A5">
        <w:rPr>
          <w:noProof/>
          <w:szCs w:val="22"/>
        </w:rPr>
        <w:t xml:space="preserve"> </w:t>
      </w:r>
      <w:r w:rsidRPr="008B13A5">
        <w:rPr>
          <w:b/>
          <w:bCs/>
          <w:noProof/>
          <w:szCs w:val="22"/>
        </w:rPr>
        <w:t>back-end and supporting ecosystem capabilities</w:t>
      </w:r>
      <w:r w:rsidRPr="008B13A5">
        <w:rPr>
          <w:noProof/>
          <w:szCs w:val="22"/>
        </w:rPr>
        <w:t xml:space="preserve">, notably packaging, testing, materials, and PCBs/EMS, </w:t>
      </w:r>
      <w:r w:rsidRPr="008B13A5">
        <w:rPr>
          <w:b/>
          <w:bCs/>
          <w:noProof/>
          <w:szCs w:val="22"/>
        </w:rPr>
        <w:t>remained underdeveloped and insufficiently addressed</w:t>
      </w:r>
      <w:r w:rsidRPr="008B13A5">
        <w:rPr>
          <w:noProof/>
          <w:szCs w:val="22"/>
        </w:rPr>
        <w:t xml:space="preserve"> by the Chips Act. Several workshops argued that progress in front-end capacity would not translate into ecosystem resilience unless downstream and adjacent segments were strengthened in parallel, particularly for strategic sectors such as defence, automotive and industrial automation.</w:t>
      </w:r>
    </w:p>
    <w:p w14:paraId="0780049E" w14:textId="3D3D9567" w:rsidR="00F8618D" w:rsidRPr="008B13A5" w:rsidRDefault="00F8618D" w:rsidP="009712FE">
      <w:pPr>
        <w:pStyle w:val="Heading2"/>
        <w:rPr>
          <w:noProof/>
          <w:szCs w:val="22"/>
        </w:rPr>
      </w:pPr>
      <w:bookmarkStart w:id="81" w:name="_Toc223620608"/>
      <w:bookmarkStart w:id="82" w:name="_Toc230010393"/>
      <w:r w:rsidRPr="008B13A5">
        <w:rPr>
          <w:noProof/>
        </w:rPr>
        <w:t>Efficiency</w:t>
      </w:r>
      <w:bookmarkEnd w:id="81"/>
      <w:bookmarkEnd w:id="82"/>
      <w:r w:rsidR="00F274DD" w:rsidRPr="008B13A5">
        <w:rPr>
          <w:noProof/>
        </w:rPr>
        <w:t xml:space="preserve"> </w:t>
      </w:r>
    </w:p>
    <w:p w14:paraId="553DE210" w14:textId="40734024" w:rsidR="00F8618D" w:rsidRPr="008B13A5" w:rsidRDefault="00F8618D" w:rsidP="00F8618D">
      <w:pPr>
        <w:rPr>
          <w:noProof/>
          <w:color w:val="000000"/>
          <w:szCs w:val="22"/>
        </w:rPr>
      </w:pPr>
      <w:r w:rsidRPr="008B13A5">
        <w:rPr>
          <w:noProof/>
          <w:color w:val="000000"/>
          <w:szCs w:val="22"/>
        </w:rPr>
        <w:t>Across the workshops, stakeholders emphasised that suggested that while the Chips Act created valuable instruments,</w:t>
      </w:r>
      <w:r w:rsidRPr="008B13A5">
        <w:rPr>
          <w:b/>
          <w:bCs/>
          <w:noProof/>
          <w:color w:val="000000"/>
          <w:szCs w:val="22"/>
        </w:rPr>
        <w:t xml:space="preserve"> administrative processes were at times perceived as slow, complex, and misaligned with industry timelines</w:t>
      </w:r>
      <w:r w:rsidRPr="008B13A5">
        <w:rPr>
          <w:noProof/>
          <w:color w:val="000000"/>
          <w:szCs w:val="22"/>
        </w:rPr>
        <w:t>. Participants highlighted long funding cycles, multi-stage application procedures, and lengthy State-aid approvals as recurring sources of inefficiency. Timing mismatches were frequently cited – industry projects often required multi-year lead times, while some public-funding deadlines operated on six-month windows, creating uncertainty and deterring participation. Stakeholders across sectors therefore prioritised reduced administrative burden, clearer guidance, and streamlined multi-instrument processes as key conditions for improving efficiency.</w:t>
      </w:r>
    </w:p>
    <w:p w14:paraId="42165049" w14:textId="232AFC0A" w:rsidR="00F8618D" w:rsidRPr="008B13A5" w:rsidRDefault="00F8618D" w:rsidP="00F8618D">
      <w:pPr>
        <w:rPr>
          <w:noProof/>
          <w:color w:val="000000"/>
          <w:szCs w:val="22"/>
        </w:rPr>
      </w:pPr>
      <w:r w:rsidRPr="008B13A5">
        <w:rPr>
          <w:noProof/>
          <w:color w:val="000000"/>
          <w:szCs w:val="22"/>
        </w:rPr>
        <w:t xml:space="preserve">Another broad theme was </w:t>
      </w:r>
      <w:r w:rsidRPr="008B13A5">
        <w:rPr>
          <w:b/>
          <w:bCs/>
          <w:noProof/>
          <w:color w:val="000000"/>
          <w:szCs w:val="22"/>
        </w:rPr>
        <w:t>fragmentation across parallel EU and national initiatives</w:t>
      </w:r>
      <w:r w:rsidRPr="008B13A5">
        <w:rPr>
          <w:noProof/>
          <w:color w:val="000000"/>
          <w:szCs w:val="22"/>
        </w:rPr>
        <w:t xml:space="preserve">. Workshops pointed to multiple programmes operating with limited coordination, leading to duplication, inconsistent cost models, and unclear complementarities. Participants expressed a preference for a more unified and predictable framework, with several arguing that the Chips Act would function more efficiently if structured as a </w:t>
      </w:r>
      <w:r w:rsidRPr="008B13A5">
        <w:rPr>
          <w:b/>
          <w:bCs/>
          <w:noProof/>
          <w:color w:val="000000"/>
          <w:szCs w:val="22"/>
        </w:rPr>
        <w:t>single, coordinated programme with clearer interfaces between instruments</w:t>
      </w:r>
      <w:r w:rsidRPr="008B13A5">
        <w:rPr>
          <w:noProof/>
          <w:color w:val="000000"/>
          <w:szCs w:val="22"/>
        </w:rPr>
        <w:t xml:space="preserve"> rather than a collection of separately governed schemes. Gaps in day-to-day coordination between entities offering similar expertise—such as competence centres, research infrastructures, and national innovation agencies—were also reported as reducing the overall efficiency of investment.</w:t>
      </w:r>
    </w:p>
    <w:p w14:paraId="6D12DD81" w14:textId="25CF65B3" w:rsidR="00F8618D" w:rsidRPr="008B13A5" w:rsidRDefault="00F8618D" w:rsidP="00F8618D">
      <w:pPr>
        <w:rPr>
          <w:noProof/>
          <w:color w:val="000000"/>
          <w:szCs w:val="22"/>
        </w:rPr>
      </w:pPr>
      <w:r w:rsidRPr="008B13A5">
        <w:rPr>
          <w:noProof/>
          <w:color w:val="000000"/>
          <w:szCs w:val="22"/>
        </w:rPr>
        <w:t xml:space="preserve">Some workshops raised concerns regarding the </w:t>
      </w:r>
      <w:r w:rsidRPr="008B13A5">
        <w:rPr>
          <w:b/>
          <w:bCs/>
          <w:noProof/>
          <w:color w:val="000000"/>
          <w:szCs w:val="22"/>
        </w:rPr>
        <w:t>tension between efficiency and geographical cohesion</w:t>
      </w:r>
      <w:r w:rsidRPr="008B13A5">
        <w:rPr>
          <w:noProof/>
          <w:color w:val="000000"/>
          <w:szCs w:val="22"/>
        </w:rPr>
        <w:t>. While many stakeholders acknowledged that semiconductor manufacturing benefits from concentration in strong industrial clusters, regional authorities emphasised that they played a critical role in training talent, supporting SMEs, and anchoring local innovation ecosystems. Participants noted that overly centralised investment risks overlooking regional capabilities and slowing implementation, underscoring the need for better multilevel coordination rather than simply broader dispersion of funds.</w:t>
      </w:r>
    </w:p>
    <w:p w14:paraId="07C887AA" w14:textId="4C023BFA" w:rsidR="00F8618D" w:rsidRPr="008B13A5" w:rsidRDefault="00F8618D" w:rsidP="00C47054">
      <w:pPr>
        <w:rPr>
          <w:noProof/>
          <w:szCs w:val="22"/>
        </w:rPr>
      </w:pPr>
      <w:r w:rsidRPr="008B13A5">
        <w:rPr>
          <w:noProof/>
        </w:rPr>
        <w:t>Mobilising</w:t>
      </w:r>
      <w:r w:rsidRPr="008B13A5">
        <w:rPr>
          <w:noProof/>
          <w:szCs w:val="22"/>
        </w:rPr>
        <w:t xml:space="preserve"> </w:t>
      </w:r>
      <w:r w:rsidRPr="008B13A5">
        <w:rPr>
          <w:b/>
          <w:bCs/>
          <w:noProof/>
          <w:szCs w:val="22"/>
        </w:rPr>
        <w:t>private capital, particularly European venture capital, was repeatedly identified as a structural bottleneck</w:t>
      </w:r>
      <w:r w:rsidRPr="008B13A5">
        <w:rPr>
          <w:noProof/>
          <w:szCs w:val="22"/>
        </w:rPr>
        <w:t>. Stakeholders argued that despite the availability of public funding, many semiconductor and deep-tech companies faced difficulties raising private investment at scale. Pension-fund rules and conservative investment mandates were frequently mentioned constraints, alongside the limited depth of European VC markets compared to the United States. As a result, participants stressed that the binding constraint for scale-up was often not public-funding volume but insufficient private-capital mobilisation, which reduced Europe’s ability to translate R&amp;I outputs into industrial impact.</w:t>
      </w:r>
    </w:p>
    <w:p w14:paraId="33094A84" w14:textId="2B14582C" w:rsidR="00F8618D" w:rsidRPr="008B13A5" w:rsidRDefault="00F8618D" w:rsidP="009712FE">
      <w:pPr>
        <w:pStyle w:val="Heading2"/>
        <w:rPr>
          <w:noProof/>
          <w:szCs w:val="22"/>
        </w:rPr>
      </w:pPr>
      <w:bookmarkStart w:id="83" w:name="_Toc223620609"/>
      <w:bookmarkStart w:id="84" w:name="_Toc230010394"/>
      <w:r w:rsidRPr="008B13A5">
        <w:rPr>
          <w:noProof/>
        </w:rPr>
        <w:t>Coherence</w:t>
      </w:r>
      <w:bookmarkEnd w:id="83"/>
      <w:bookmarkEnd w:id="84"/>
      <w:r w:rsidR="00F274DD" w:rsidRPr="008B13A5">
        <w:rPr>
          <w:noProof/>
        </w:rPr>
        <w:t xml:space="preserve"> </w:t>
      </w:r>
    </w:p>
    <w:p w14:paraId="067C87EB" w14:textId="4E9C310C" w:rsidR="00F8618D" w:rsidRPr="008B13A5" w:rsidRDefault="00F8618D" w:rsidP="00F8618D">
      <w:pPr>
        <w:rPr>
          <w:noProof/>
          <w:color w:val="000000"/>
          <w:szCs w:val="22"/>
        </w:rPr>
      </w:pPr>
      <w:r w:rsidRPr="008B13A5">
        <w:rPr>
          <w:noProof/>
          <w:color w:val="000000"/>
          <w:szCs w:val="22"/>
        </w:rPr>
        <w:t xml:space="preserve">Workshop discussions suggested that stakeholders saw the main coherence gap in the Chips Act’s </w:t>
      </w:r>
      <w:r w:rsidRPr="008B13A5">
        <w:rPr>
          <w:b/>
          <w:bCs/>
          <w:noProof/>
          <w:color w:val="000000"/>
          <w:szCs w:val="22"/>
        </w:rPr>
        <w:t>imbalance between its strong emphasis on manufacturing capacity and comparatively weaker support for design ecosystems, downstream integration, and demand-creation mechanisms</w:t>
      </w:r>
      <w:r w:rsidRPr="008B13A5">
        <w:rPr>
          <w:noProof/>
          <w:color w:val="000000"/>
          <w:szCs w:val="22"/>
        </w:rPr>
        <w:t xml:space="preserve">. Participants across sectors argued that these elements needed to evolve together for the strategy to be coherent, yet this alignment had not fully materialised. Although seen a setting a great foundation, intended synergies across the three pillars were seen as only partially realised, due to fragmented funding streams, misaligned timelines, and weak operational linkage between Pillars I and II, especially in the transition from pilot-line validation to industrial deployment. </w:t>
      </w:r>
    </w:p>
    <w:p w14:paraId="7276ED4D" w14:textId="55357438" w:rsidR="00F8618D" w:rsidRPr="008B13A5" w:rsidRDefault="00F8618D" w:rsidP="00F8618D">
      <w:pPr>
        <w:rPr>
          <w:noProof/>
          <w:color w:val="000000"/>
          <w:szCs w:val="22"/>
        </w:rPr>
      </w:pPr>
      <w:r w:rsidRPr="008B13A5">
        <w:rPr>
          <w:noProof/>
          <w:color w:val="000000"/>
          <w:szCs w:val="22"/>
        </w:rPr>
        <w:t>A cross-cutting theme from multiple workshops was the scale mismatch between European demand and the investment requirements of semiconductor manufacturing. Even where European technology alternatives existed, participants noted that providers struggled to achieve cost competitiveness because the scale of demand was insufficient. Sectors such as telecommunications, automotive, industrial automation, and medical technologies individually lacked the volume to justify major fabs, and participants across several workshops stressed that scale cannot be reached without coordinated, aggregated demand. This structural constraint was linked to cases where European components were technically available but not adopted widely due to higher cost and fragmented purchasing.</w:t>
      </w:r>
    </w:p>
    <w:p w14:paraId="037D493C" w14:textId="77777777" w:rsidR="00F8618D" w:rsidRPr="008B13A5" w:rsidRDefault="00F8618D" w:rsidP="00F8618D">
      <w:pPr>
        <w:rPr>
          <w:noProof/>
          <w:color w:val="000000"/>
          <w:szCs w:val="22"/>
        </w:rPr>
      </w:pPr>
      <w:r w:rsidRPr="008B13A5">
        <w:rPr>
          <w:b/>
          <w:bCs/>
          <w:noProof/>
          <w:color w:val="000000"/>
          <w:szCs w:val="22"/>
        </w:rPr>
        <w:t xml:space="preserve">Stakeholders also pointed to regulatory and policy incoherence affecting implementation. </w:t>
      </w:r>
      <w:r w:rsidRPr="008B13A5">
        <w:rPr>
          <w:noProof/>
          <w:color w:val="000000"/>
          <w:szCs w:val="22"/>
        </w:rPr>
        <w:t>Tensions emerged between ambitions for greater use of European technology and EU state-aid and procurement rules that restricted preferential treatment. Materials and equipment suppliers noted path dependencies that made it difficult for European pilot lines to adopt EU-produced chemicals or tools, as certification systems were aligned with non-EU inputs. Emerging environmental regulations, particularly PFAS restrictions, were also described as misaligned with Europe’s manufacturing ambitions, given the absence of economically viable substitutes for certain fabrication processes.</w:t>
      </w:r>
    </w:p>
    <w:p w14:paraId="1748A1B8" w14:textId="323A5936" w:rsidR="00F8618D" w:rsidRPr="008B13A5" w:rsidRDefault="00F8618D" w:rsidP="00C47054">
      <w:pPr>
        <w:rPr>
          <w:noProof/>
          <w:szCs w:val="22"/>
        </w:rPr>
      </w:pPr>
      <w:r w:rsidRPr="008B13A5">
        <w:rPr>
          <w:b/>
          <w:noProof/>
          <w:szCs w:val="22"/>
        </w:rPr>
        <w:t>Participants</w:t>
      </w:r>
      <w:r w:rsidRPr="008B13A5">
        <w:rPr>
          <w:b/>
          <w:bCs/>
          <w:noProof/>
          <w:szCs w:val="22"/>
        </w:rPr>
        <w:t xml:space="preserve"> highlighted fragmentation across EU instruments, including Chips JU, Horizon Europe, EIC, IPCEIs, and InvestEU</w:t>
      </w:r>
      <w:r w:rsidRPr="008B13A5">
        <w:rPr>
          <w:noProof/>
          <w:szCs w:val="22"/>
        </w:rPr>
        <w:t xml:space="preserve">. While individually valuable, these initiatives were perceived as lacking a unifying architecture, creating duplication of administrative effort and insufficiently coordinated investment logic. IPCEIs were viewed as coherent with the Act at a strategic level but still favouring large incumbents, with limited mechanisms to ensure collaboration with smaller innovators. Some challenges were also noted as stemming from </w:t>
      </w:r>
      <w:r w:rsidRPr="008B13A5">
        <w:rPr>
          <w:b/>
          <w:bCs/>
          <w:noProof/>
          <w:szCs w:val="22"/>
        </w:rPr>
        <w:t>temporal misalignment</w:t>
      </w:r>
      <w:r w:rsidRPr="008B13A5">
        <w:rPr>
          <w:noProof/>
          <w:szCs w:val="22"/>
        </w:rPr>
        <w:t>. Stakeholders noted that multi-year project cycles and programme start dates were out of sync with industry time-to-market pressures, with initiatives planned for 2026 already perceived as too late for emerging technological windows. Similarly, semiconductor skills pipelines required decade-long investment horizons, yet relevant programmes operated on shorter budgetary cycles, limiting structural impact.</w:t>
      </w:r>
    </w:p>
    <w:p w14:paraId="5870D9B9" w14:textId="457B5599" w:rsidR="00F8618D" w:rsidRPr="008B13A5" w:rsidRDefault="00F8618D" w:rsidP="009712FE">
      <w:pPr>
        <w:pStyle w:val="Heading2"/>
        <w:rPr>
          <w:noProof/>
          <w:szCs w:val="22"/>
        </w:rPr>
      </w:pPr>
      <w:bookmarkStart w:id="85" w:name="_Toc223620610"/>
      <w:bookmarkStart w:id="86" w:name="_Toc230010395"/>
      <w:r w:rsidRPr="008B13A5">
        <w:rPr>
          <w:noProof/>
        </w:rPr>
        <w:t>EU added value</w:t>
      </w:r>
      <w:bookmarkEnd w:id="85"/>
      <w:bookmarkEnd w:id="86"/>
      <w:r w:rsidR="00F274DD" w:rsidRPr="008B13A5">
        <w:rPr>
          <w:noProof/>
        </w:rPr>
        <w:t xml:space="preserve"> </w:t>
      </w:r>
    </w:p>
    <w:p w14:paraId="7C5D6BCA" w14:textId="7750C8E7" w:rsidR="00F8618D" w:rsidRPr="008B13A5" w:rsidRDefault="00F8618D" w:rsidP="00F8618D">
      <w:pPr>
        <w:rPr>
          <w:noProof/>
          <w:szCs w:val="22"/>
        </w:rPr>
      </w:pPr>
      <w:r w:rsidRPr="008B13A5">
        <w:rPr>
          <w:noProof/>
          <w:szCs w:val="22"/>
        </w:rPr>
        <w:t xml:space="preserve">Across the workshops, participants broadly agreed that </w:t>
      </w:r>
      <w:r w:rsidRPr="008B13A5">
        <w:rPr>
          <w:b/>
          <w:bCs/>
          <w:noProof/>
          <w:szCs w:val="22"/>
        </w:rPr>
        <w:t>EU-level coordination was essential</w:t>
      </w:r>
      <w:r w:rsidRPr="008B13A5">
        <w:rPr>
          <w:noProof/>
          <w:szCs w:val="22"/>
        </w:rPr>
        <w:t xml:space="preserve"> for achieving outcomes that individual Member States could not deliver alone. Stakeholders highlighted that only the EU could coordinate dispersed national strategies, facilitate cross-border collaboration, and create economies of scale needed for shared infrastructures such as pilot lines, competence centres, and the European Chips Design Platform. If implemented effectively, these platforms were seen as providing globally distinctive EU added value, particularly by enabling SMEs and start-ups to access design tools and advanced prototyping environments that no single country could sustain.</w:t>
      </w:r>
    </w:p>
    <w:p w14:paraId="26FD1F91" w14:textId="744D05CE" w:rsidR="00F8618D" w:rsidRPr="008B13A5" w:rsidRDefault="00F8618D" w:rsidP="00F8618D">
      <w:pPr>
        <w:rPr>
          <w:noProof/>
          <w:szCs w:val="22"/>
        </w:rPr>
      </w:pPr>
      <w:r w:rsidRPr="008B13A5">
        <w:rPr>
          <w:b/>
          <w:bCs/>
          <w:noProof/>
          <w:szCs w:val="22"/>
        </w:rPr>
        <w:t>EU-level action was also viewed as necessary for advancing</w:t>
      </w:r>
      <w:r w:rsidRPr="008B13A5">
        <w:rPr>
          <w:noProof/>
          <w:szCs w:val="22"/>
        </w:rPr>
        <w:t xml:space="preserve"> </w:t>
      </w:r>
      <w:r w:rsidRPr="008B13A5">
        <w:rPr>
          <w:b/>
          <w:bCs/>
          <w:noProof/>
          <w:szCs w:val="22"/>
        </w:rPr>
        <w:t>strategic autonomy</w:t>
      </w:r>
      <w:r w:rsidRPr="008B13A5">
        <w:rPr>
          <w:noProof/>
          <w:szCs w:val="22"/>
        </w:rPr>
        <w:t xml:space="preserve">, not through full self-sufficiency, which participants widely considered unrealistic, but </w:t>
      </w:r>
      <w:r w:rsidRPr="008B13A5">
        <w:rPr>
          <w:b/>
          <w:bCs/>
          <w:noProof/>
          <w:szCs w:val="22"/>
        </w:rPr>
        <w:t>by reinforcing Europe’s strongest technological niches</w:t>
      </w:r>
      <w:r w:rsidRPr="008B13A5">
        <w:rPr>
          <w:noProof/>
          <w:szCs w:val="22"/>
        </w:rPr>
        <w:t>. Workshops consistently pointed to European advantages in areas such as manufacturing equipment including advanced packaging tools and lithography, to photonics, silicon photonics, power electronics, sensors, and energy-efficient design. Participants emphasised that strengthening these capabilities, combined with targeted international partnerships, could create mutual dependencies where global supply chains rely on European technologies. This was seen as an EU-level task, as no Member State could negotiate such strategic partnerships alone.</w:t>
      </w:r>
    </w:p>
    <w:p w14:paraId="57B0C8D4" w14:textId="288012E1" w:rsidR="00F8618D" w:rsidRPr="008B13A5" w:rsidRDefault="00F8618D" w:rsidP="00F8618D">
      <w:pPr>
        <w:rPr>
          <w:noProof/>
          <w:szCs w:val="22"/>
        </w:rPr>
      </w:pPr>
      <w:r w:rsidRPr="008B13A5">
        <w:rPr>
          <w:noProof/>
          <w:szCs w:val="22"/>
        </w:rPr>
        <w:t xml:space="preserve">Stakeholders also noted EU added value in </w:t>
      </w:r>
      <w:r w:rsidRPr="008B13A5">
        <w:rPr>
          <w:b/>
          <w:bCs/>
          <w:noProof/>
          <w:szCs w:val="22"/>
        </w:rPr>
        <w:t>coordinating shared investments, particularly through Chips JU and IPCEI mechanisms</w:t>
      </w:r>
      <w:r w:rsidRPr="008B13A5">
        <w:rPr>
          <w:noProof/>
          <w:szCs w:val="22"/>
        </w:rPr>
        <w:t>. Participants observed that these programmes enabled joint funding and collaboration across borders, giving smaller Member States access to research infrastructures and reducing duplication of national efforts. For many SMEs, universities, and RTOs, the EU framework offered opportunities that national schemes could not provide.</w:t>
      </w:r>
    </w:p>
    <w:p w14:paraId="34154DF9" w14:textId="1C9CD8B6" w:rsidR="00F8618D" w:rsidRPr="008B13A5" w:rsidRDefault="00F8618D" w:rsidP="00F8618D">
      <w:pPr>
        <w:rPr>
          <w:noProof/>
          <w:szCs w:val="22"/>
        </w:rPr>
      </w:pPr>
      <w:r w:rsidRPr="008B13A5">
        <w:rPr>
          <w:noProof/>
          <w:szCs w:val="22"/>
        </w:rPr>
        <w:t>However, workshops also highlighted several areas where EU added value remained largely unrealised. Fragmented decision-making and parallel national initiatives continued to dilute Europe’s collective leverage. Participants stressed that while Europe possessed substantial potential demand, the absence of EU mechanisms for demand aggregation prevented this from translating into coordinated procurement or industrial scale. In sectors such as health, telecommunications, and data centres, regulatory fragmentation, such as the lack of a unified European counterpart to the FDA, pushed innovators to seek approval in the US first, weakening Europe’s bargaining position and market cohesion.</w:t>
      </w:r>
    </w:p>
    <w:p w14:paraId="305D24F2" w14:textId="67D787AE" w:rsidR="00F8618D" w:rsidRPr="008B13A5" w:rsidRDefault="00F8618D" w:rsidP="003553B4">
      <w:pPr>
        <w:rPr>
          <w:noProof/>
          <w:szCs w:val="22"/>
        </w:rPr>
      </w:pPr>
      <w:r w:rsidRPr="008B13A5">
        <w:rPr>
          <w:noProof/>
        </w:rPr>
        <w:t>Stakeholders</w:t>
      </w:r>
      <w:r w:rsidRPr="008B13A5">
        <w:rPr>
          <w:noProof/>
          <w:szCs w:val="22"/>
        </w:rPr>
        <w:t xml:space="preserve"> also viewed </w:t>
      </w:r>
      <w:r w:rsidRPr="008B13A5">
        <w:rPr>
          <w:b/>
          <w:bCs/>
          <w:noProof/>
          <w:szCs w:val="22"/>
        </w:rPr>
        <w:t>labour mobility and talent attraction</w:t>
      </w:r>
      <w:r w:rsidRPr="008B13A5">
        <w:rPr>
          <w:noProof/>
          <w:szCs w:val="22"/>
        </w:rPr>
        <w:t xml:space="preserve"> as a major unrealised opportunity for EU added value. Despite widespread skills shortages, there was no unified European framework for cross-border mobility, qualification recognition, or work permits for international talent. Participants argued that only EU-level action could meaningfully reduce these barriers and support semiconductor workforce development at the scale required.</w:t>
      </w:r>
    </w:p>
    <w:p w14:paraId="005F2971" w14:textId="1FDA55AC" w:rsidR="00F8618D" w:rsidRPr="008B13A5" w:rsidRDefault="00F8618D" w:rsidP="009712FE">
      <w:pPr>
        <w:pStyle w:val="Heading2"/>
        <w:rPr>
          <w:noProof/>
          <w:szCs w:val="22"/>
        </w:rPr>
      </w:pPr>
      <w:bookmarkStart w:id="87" w:name="_Toc223620611"/>
      <w:bookmarkStart w:id="88" w:name="_Toc230010396"/>
      <w:r w:rsidRPr="008B13A5">
        <w:rPr>
          <w:noProof/>
        </w:rPr>
        <w:t>Relevance</w:t>
      </w:r>
      <w:bookmarkEnd w:id="87"/>
      <w:bookmarkEnd w:id="88"/>
      <w:r w:rsidR="00F274DD" w:rsidRPr="008B13A5">
        <w:rPr>
          <w:noProof/>
        </w:rPr>
        <w:t xml:space="preserve"> </w:t>
      </w:r>
    </w:p>
    <w:p w14:paraId="5DC57924" w14:textId="7EA600ED" w:rsidR="00F8618D" w:rsidRPr="008B13A5" w:rsidRDefault="00F8618D" w:rsidP="00F8618D">
      <w:pPr>
        <w:rPr>
          <w:noProof/>
          <w:color w:val="000000"/>
          <w:szCs w:val="22"/>
        </w:rPr>
      </w:pPr>
      <w:r w:rsidRPr="008B13A5">
        <w:rPr>
          <w:noProof/>
          <w:color w:val="000000"/>
          <w:szCs w:val="22"/>
        </w:rPr>
        <w:t xml:space="preserve">Across the workshops, </w:t>
      </w:r>
      <w:r w:rsidRPr="008B13A5">
        <w:rPr>
          <w:b/>
          <w:bCs/>
          <w:noProof/>
          <w:color w:val="000000"/>
          <w:szCs w:val="22"/>
        </w:rPr>
        <w:t>stakeholders broadly agreed that the Chips Act addressed several of the EU’s most pressing semiconductor needs,</w:t>
      </w:r>
      <w:r w:rsidRPr="008B13A5">
        <w:rPr>
          <w:noProof/>
          <w:color w:val="000000"/>
          <w:szCs w:val="22"/>
        </w:rPr>
        <w:t xml:space="preserve"> particularly the scarcity of mature-node manufacturing capacity, the fragmentation of design infrastructure, and the lack of coordinated investment in critical technologies. Participants consistently emphasised that Europe’s most strategically important sectors, including automotive, health, defence, space, and telecommunications, continued to rely predominantly on mature and specialised technologies, making the Act’s focus on securing and expanding such capacity highly relevant. Defence and space relied on radiation-tolerant 7-12 nm nodes; automotive applications required long-lifecycle components; and healthcare depended on parts requiring multi-decade availability, which standard global semiconductor lifecycles do not support. </w:t>
      </w:r>
      <w:r w:rsidRPr="008B13A5">
        <w:rPr>
          <w:b/>
          <w:bCs/>
          <w:noProof/>
          <w:color w:val="000000"/>
          <w:szCs w:val="22"/>
        </w:rPr>
        <w:t>Participants therefore viewed the Chips Act as filling a gap that individual Member States could not address alone.</w:t>
      </w:r>
    </w:p>
    <w:p w14:paraId="7BC5308B" w14:textId="022F6D8C" w:rsidR="00F8618D" w:rsidRPr="008B13A5" w:rsidRDefault="00F8618D" w:rsidP="00F8618D">
      <w:pPr>
        <w:rPr>
          <w:noProof/>
          <w:color w:val="000000"/>
          <w:szCs w:val="22"/>
        </w:rPr>
      </w:pPr>
      <w:r w:rsidRPr="008B13A5">
        <w:rPr>
          <w:noProof/>
          <w:color w:val="000000"/>
          <w:szCs w:val="22"/>
        </w:rPr>
        <w:t xml:space="preserve">At the same time, workshops highlighted that several structural needs remained only partially reflected in the Act’s design, especially as new vulnerabilities were arising. Many sectors stressed that </w:t>
      </w:r>
      <w:r w:rsidRPr="008B13A5">
        <w:rPr>
          <w:b/>
          <w:bCs/>
          <w:noProof/>
          <w:color w:val="000000"/>
          <w:szCs w:val="22"/>
        </w:rPr>
        <w:t>relevance depended not only on front-end capacity</w:t>
      </w:r>
      <w:r w:rsidRPr="008B13A5">
        <w:rPr>
          <w:noProof/>
          <w:color w:val="000000"/>
          <w:szCs w:val="22"/>
        </w:rPr>
        <w:t xml:space="preserve"> but on strengthening packaging, testing, assembly, and PCB/EMS capabilities, which were described as Europe’s most acute bottlenecks. Stakeholders across telecoms, automotive, and materials workshops argued that without these back-end and integration capabilities, the Chips Act risked reinforcing Europe’s dependence on non-EU suppliers even as wafer-fabrication capacity expanded.</w:t>
      </w:r>
    </w:p>
    <w:p w14:paraId="56E4443F" w14:textId="7DEA8D0D" w:rsidR="00F8618D" w:rsidRPr="008B13A5" w:rsidRDefault="00F8618D" w:rsidP="00F8618D">
      <w:pPr>
        <w:rPr>
          <w:noProof/>
          <w:color w:val="000000"/>
          <w:szCs w:val="22"/>
        </w:rPr>
      </w:pPr>
      <w:r w:rsidRPr="008B13A5">
        <w:rPr>
          <w:noProof/>
          <w:color w:val="000000"/>
          <w:szCs w:val="22"/>
        </w:rPr>
        <w:t xml:space="preserve">Another recurring theme concerned the </w:t>
      </w:r>
      <w:r w:rsidRPr="008B13A5">
        <w:rPr>
          <w:b/>
          <w:bCs/>
          <w:noProof/>
          <w:color w:val="000000"/>
          <w:szCs w:val="22"/>
        </w:rPr>
        <w:t>Lab-to-Fab gap</w:t>
      </w:r>
      <w:r w:rsidRPr="008B13A5">
        <w:rPr>
          <w:noProof/>
          <w:color w:val="000000"/>
          <w:szCs w:val="22"/>
        </w:rPr>
        <w:t xml:space="preserve">, </w:t>
      </w:r>
      <w:r w:rsidRPr="008B13A5">
        <w:rPr>
          <w:b/>
          <w:bCs/>
          <w:noProof/>
          <w:color w:val="000000"/>
          <w:szCs w:val="22"/>
        </w:rPr>
        <w:t xml:space="preserve">which stakeholders described as not merely an implementation issue but a design-relevance challenge. </w:t>
      </w:r>
      <w:r w:rsidRPr="008B13A5">
        <w:rPr>
          <w:noProof/>
          <w:color w:val="000000"/>
          <w:szCs w:val="22"/>
        </w:rPr>
        <w:t>Pilot lines were judged valuable for TRL 5-6 development but insufficiently connected to pathways for high-volume manufacturing. Universities and RTOs pointed to wafer-size mismatches, limited access to industrial equipment, and weak technology-transfer channels, all of which limited the relevance of pilot-line investments for early-stage innovation ecosystems.</w:t>
      </w:r>
    </w:p>
    <w:p w14:paraId="0E1B198E" w14:textId="30AD4593" w:rsidR="00F8618D" w:rsidRPr="008B13A5" w:rsidRDefault="00F8618D" w:rsidP="00F8618D">
      <w:pPr>
        <w:rPr>
          <w:noProof/>
          <w:color w:val="000000"/>
          <w:szCs w:val="22"/>
        </w:rPr>
      </w:pPr>
      <w:r w:rsidRPr="008B13A5">
        <w:rPr>
          <w:noProof/>
          <w:color w:val="000000"/>
          <w:szCs w:val="22"/>
        </w:rPr>
        <w:t>SMEs repeatedly noted that the Chips Act’s architecture was not fully aligned with their needs, despite the central role SMEs play in design, IP development, and manufacturing technology supply. Barriers included cost-prohibitive pilot-line access, consortium structures that favoured incumbents, and an absence of mechanisms to test equipment within industrial fabrication environments. For fabless companies and design start-ups, the Act was seen as insufficiently tailored to address Europe’s limited availability of EDA tools, high design costs, and lack of early-stage risk capital – factors that were identified as core relevance gaps.</w:t>
      </w:r>
    </w:p>
    <w:p w14:paraId="40B008F2" w14:textId="5350271F" w:rsidR="00F8618D" w:rsidRPr="008B13A5" w:rsidRDefault="00F8618D" w:rsidP="00F8618D">
      <w:pPr>
        <w:rPr>
          <w:noProof/>
          <w:color w:val="000000"/>
          <w:szCs w:val="22"/>
        </w:rPr>
      </w:pPr>
      <w:r w:rsidRPr="008B13A5">
        <w:rPr>
          <w:b/>
          <w:bCs/>
          <w:noProof/>
          <w:color w:val="000000"/>
          <w:szCs w:val="22"/>
        </w:rPr>
        <w:t>Workshops also underscored that Europe’s</w:t>
      </w:r>
      <w:r w:rsidRPr="008B13A5">
        <w:rPr>
          <w:noProof/>
          <w:color w:val="000000"/>
          <w:szCs w:val="22"/>
        </w:rPr>
        <w:t xml:space="preserve"> </w:t>
      </w:r>
      <w:r w:rsidRPr="008B13A5">
        <w:rPr>
          <w:b/>
          <w:bCs/>
          <w:noProof/>
          <w:color w:val="000000"/>
          <w:szCs w:val="22"/>
        </w:rPr>
        <w:t>design ecosystem and architectural IP capabilities</w:t>
      </w:r>
      <w:r w:rsidRPr="008B13A5">
        <w:rPr>
          <w:noProof/>
          <w:color w:val="000000"/>
          <w:szCs w:val="22"/>
        </w:rPr>
        <w:t xml:space="preserve"> represented a more fundamental sovereignty constraint than manufacturing alone. Stakeholders emphasised that relevance would depend on strengthening software-heavy chip design, system integration, and access to state-of-the-art EDA tools. Telecommunications and data-centre actors, for instance, stressed that controlling architectural design flows and system-level integration was just as important as building fabs, yet this dimension was underrepresented in the Chips Act’s current scope.</w:t>
      </w:r>
    </w:p>
    <w:p w14:paraId="3C53F3C5" w14:textId="3B721CED" w:rsidR="00F8618D" w:rsidRPr="008B13A5" w:rsidRDefault="00F8618D" w:rsidP="003553B4">
      <w:pPr>
        <w:rPr>
          <w:noProof/>
          <w:szCs w:val="22"/>
        </w:rPr>
      </w:pPr>
      <w:r w:rsidRPr="008B13A5">
        <w:rPr>
          <w:noProof/>
        </w:rPr>
        <w:t>Finally,</w:t>
      </w:r>
      <w:r w:rsidRPr="008B13A5">
        <w:rPr>
          <w:noProof/>
          <w:szCs w:val="22"/>
        </w:rPr>
        <w:t xml:space="preserve"> </w:t>
      </w:r>
      <w:r w:rsidRPr="008B13A5">
        <w:rPr>
          <w:b/>
          <w:bCs/>
          <w:noProof/>
          <w:szCs w:val="22"/>
        </w:rPr>
        <w:t>skills needs emerged as a cross-cutting relevance issue</w:t>
      </w:r>
      <w:r w:rsidRPr="008B13A5">
        <w:rPr>
          <w:noProof/>
          <w:szCs w:val="22"/>
        </w:rPr>
        <w:t>. Participants across design, R&amp;I, manufacturing, packaging, automotive, telecoms, and materials workshops reported shortages in applied engineering, analogue design, advanced packaging, and system integration skills. Some stakeholders argued the Chips Act’s skills measures were insufficiently aligned with where shortages were most acute and did not yet match the pace of technological change in AI, chiplet architectures, and power electronics.</w:t>
      </w:r>
      <w:r w:rsidRPr="00BD008E">
        <w:rPr>
          <w:noProof/>
          <w:szCs w:val="22"/>
        </w:rPr>
        <w:t xml:space="preserve"> </w:t>
      </w:r>
    </w:p>
    <w:p w14:paraId="7BBBADD2" w14:textId="22454CF0" w:rsidR="00F8618D" w:rsidRPr="008B13A5" w:rsidRDefault="00F8618D" w:rsidP="009712FE">
      <w:pPr>
        <w:pStyle w:val="Heading2"/>
        <w:rPr>
          <w:bCs/>
          <w:noProof/>
          <w:szCs w:val="22"/>
        </w:rPr>
      </w:pPr>
      <w:bookmarkStart w:id="89" w:name="_Toc223620612"/>
      <w:bookmarkStart w:id="90" w:name="_Toc230010397"/>
      <w:r w:rsidRPr="008B13A5">
        <w:rPr>
          <w:noProof/>
        </w:rPr>
        <w:t>Prospective</w:t>
      </w:r>
      <w:bookmarkEnd w:id="89"/>
      <w:bookmarkEnd w:id="90"/>
      <w:r w:rsidR="00F274DD" w:rsidRPr="008B13A5">
        <w:rPr>
          <w:noProof/>
        </w:rPr>
        <w:t xml:space="preserve"> </w:t>
      </w:r>
    </w:p>
    <w:p w14:paraId="6A0848A6" w14:textId="765C2A4F" w:rsidR="00F8618D" w:rsidRPr="008B13A5" w:rsidRDefault="00F8618D" w:rsidP="00F8618D">
      <w:pPr>
        <w:rPr>
          <w:noProof/>
          <w:color w:val="000000"/>
          <w:szCs w:val="22"/>
        </w:rPr>
      </w:pPr>
      <w:r w:rsidRPr="008B13A5">
        <w:rPr>
          <w:noProof/>
          <w:color w:val="000000"/>
          <w:szCs w:val="22"/>
        </w:rPr>
        <w:t>Across the workshops, stakeholders underscored that any future iteration of the Chips Act should move beyond a predominantly supply-driven focus toward a more systemic, integrated, value-chain approach. Participants emphasised the need for a framework that supports not only front-end manufacturing but also design ecosystems, advanced packaging, testing and system integration, which remain essential bottlenecks for Europe’s competitiveness.</w:t>
      </w:r>
    </w:p>
    <w:p w14:paraId="5AD7EFC8" w14:textId="027928F4" w:rsidR="00F8618D" w:rsidRPr="008B13A5" w:rsidRDefault="00F8618D" w:rsidP="00F8618D">
      <w:pPr>
        <w:rPr>
          <w:noProof/>
          <w:color w:val="000000"/>
          <w:szCs w:val="22"/>
        </w:rPr>
      </w:pPr>
      <w:r w:rsidRPr="008B13A5">
        <w:rPr>
          <w:noProof/>
          <w:color w:val="000000"/>
          <w:szCs w:val="22"/>
        </w:rPr>
        <w:t>Stakeholders also pointed to a series of structural reforms. A recurrent theme was the need for dedicated mechanisms for SMEs and fabless companies, including accessible pilot-line pathways, equipment-testing environments, lighter consortium requirements, and dedicated equipment development infrastructure with confidentiality protections, R&amp;D tax credits and TRL 7-9 fast-track funding, and equipment sector representation in governance structures.</w:t>
      </w:r>
    </w:p>
    <w:p w14:paraId="29169F94" w14:textId="4D420A77" w:rsidR="00F8618D" w:rsidRPr="008B13A5" w:rsidRDefault="00F8618D" w:rsidP="00F8618D">
      <w:pPr>
        <w:rPr>
          <w:noProof/>
          <w:color w:val="000000"/>
          <w:szCs w:val="22"/>
        </w:rPr>
      </w:pPr>
      <w:r w:rsidRPr="008B13A5">
        <w:rPr>
          <w:noProof/>
          <w:color w:val="000000"/>
          <w:szCs w:val="22"/>
        </w:rPr>
        <w:t>Another widely supported proposal was the introduction of demand-aggregation frameworks, enabling coordinated procurement across high-impact sectors such as defence, telecommunications, automotive, health and space. Participants suggested that publicly funded projects could embed demand-side instruments to strengthen the position of European suppliers. They also stressed the need for faster, more flexible funding instruments, streamlined administration, and longer funding horizons aligned with the 10–15 year timescales typical of semiconductor innovation. Predictable, multi-year funding was repeatedly described as critical for enabling companies to plan ahead and scale confidently.</w:t>
      </w:r>
    </w:p>
    <w:p w14:paraId="63F4B506" w14:textId="3CBC9873" w:rsidR="00F8618D" w:rsidRPr="008B13A5" w:rsidRDefault="00F8618D" w:rsidP="00F8618D">
      <w:pPr>
        <w:rPr>
          <w:noProof/>
          <w:color w:val="000000"/>
          <w:szCs w:val="22"/>
        </w:rPr>
      </w:pPr>
      <w:r w:rsidRPr="008B13A5">
        <w:rPr>
          <w:noProof/>
          <w:color w:val="000000"/>
          <w:szCs w:val="22"/>
        </w:rPr>
        <w:t>Beyond procedural reforms, workshops identified several new technological and strategic priorities for a next phase of the Act. These included targeted support for advanced manufacturing capabilities, such as sub-2 nm processes and 3D/heterogeneous packaging, to reduce reliance on Taiwan and respond to the rapid rise in AI-driven demand. At the same time, participants stressed that expanding leading-edge capacity should not come at the expense of mature nodes, which remain indispensable for automotive, health, industrial and defence sectors.</w:t>
      </w:r>
    </w:p>
    <w:p w14:paraId="3DD1933A" w14:textId="702A80C0" w:rsidR="00F8618D" w:rsidRPr="008B13A5" w:rsidRDefault="00F8618D" w:rsidP="00F8618D">
      <w:pPr>
        <w:rPr>
          <w:noProof/>
          <w:color w:val="000000"/>
          <w:szCs w:val="22"/>
        </w:rPr>
        <w:sectPr w:rsidR="00F8618D" w:rsidRPr="008B13A5" w:rsidSect="00F8618D">
          <w:headerReference w:type="even" r:id="rId32"/>
          <w:headerReference w:type="default" r:id="rId33"/>
          <w:footerReference w:type="even" r:id="rId34"/>
          <w:footerReference w:type="default" r:id="rId35"/>
          <w:headerReference w:type="first" r:id="rId36"/>
          <w:footerReference w:type="first" r:id="rId37"/>
          <w:pgSz w:w="11906" w:h="16838"/>
          <w:pgMar w:top="1134" w:right="1418" w:bottom="1418" w:left="1134" w:header="601" w:footer="1077" w:gutter="0"/>
          <w:pgNumType w:start="1"/>
          <w:cols w:space="720"/>
          <w:titlePg/>
        </w:sectPr>
      </w:pPr>
      <w:r w:rsidRPr="008B13A5">
        <w:rPr>
          <w:noProof/>
          <w:color w:val="000000"/>
          <w:szCs w:val="22"/>
        </w:rPr>
        <w:t>To strengthen Europe</w:t>
      </w:r>
      <w:r w:rsidR="00497125" w:rsidRPr="008B13A5">
        <w:rPr>
          <w:noProof/>
          <w:color w:val="000000"/>
          <w:szCs w:val="22"/>
        </w:rPr>
        <w:t>’</w:t>
      </w:r>
      <w:r w:rsidRPr="008B13A5">
        <w:rPr>
          <w:noProof/>
          <w:color w:val="000000"/>
          <w:szCs w:val="22"/>
        </w:rPr>
        <w:t>s long-term sovereignty in design, stakeholders proposed investments in reusable IP libraries, open design clouds, and European EDA tools, arguing that architectural and system-level control is as strategically important as manufacturing. Persistent talent shortages also prompted calls for common European curricula beginning in primary and secondary schools with teacher involvement, mobility schemes, and streamlined international recruitment pathways. Workshop discussions also highlighted the importance of purposeful international partnerships, particularly a more formalised high-level cooperation framework with Taiwan, alongside selective strategic collaborations with Japan, South Korea and other trusted partners in areas where Europe is unlikely to develop full domestic capacity in the near term</w:t>
      </w:r>
      <w:r w:rsidR="009712FE" w:rsidRPr="008B13A5">
        <w:rPr>
          <w:noProof/>
          <w:color w:val="000000"/>
          <w:szCs w:val="22"/>
        </w:rPr>
        <w:t>.</w:t>
      </w:r>
    </w:p>
    <w:p w14:paraId="2C09EF10" w14:textId="11F6837B" w:rsidR="00F8618D" w:rsidRPr="008B13A5" w:rsidRDefault="00F8618D" w:rsidP="00936622">
      <w:pPr>
        <w:pStyle w:val="Heading1"/>
        <w:rPr>
          <w:rFonts w:eastAsia="Calibri"/>
          <w:noProof/>
        </w:rPr>
      </w:pPr>
      <w:bookmarkStart w:id="91" w:name="_Toc1314904210"/>
      <w:bookmarkStart w:id="92" w:name="_Toc216352628"/>
      <w:bookmarkStart w:id="93" w:name="_Toc217394764"/>
      <w:bookmarkStart w:id="94" w:name="_Toc217395601"/>
      <w:bookmarkStart w:id="95" w:name="_Toc217396450"/>
      <w:bookmarkStart w:id="96" w:name="_Toc1384935305"/>
      <w:bookmarkStart w:id="97" w:name="_Toc230010398"/>
      <w:r w:rsidRPr="008B13A5">
        <w:rPr>
          <w:rFonts w:eastAsia="Calibri"/>
          <w:noProof/>
        </w:rPr>
        <w:t>Comparison of the results of consultation activities</w:t>
      </w:r>
      <w:bookmarkEnd w:id="91"/>
      <w:bookmarkEnd w:id="92"/>
      <w:bookmarkEnd w:id="93"/>
      <w:bookmarkEnd w:id="94"/>
      <w:bookmarkEnd w:id="95"/>
      <w:bookmarkEnd w:id="96"/>
      <w:bookmarkEnd w:id="97"/>
    </w:p>
    <w:p w14:paraId="6C9FC9F8" w14:textId="6E68BAAA" w:rsidR="00F8618D" w:rsidRPr="008B13A5" w:rsidRDefault="00F8618D" w:rsidP="00F8618D">
      <w:pPr>
        <w:rPr>
          <w:noProof/>
          <w:szCs w:val="22"/>
          <w:lang w:eastAsia="en-GB"/>
        </w:rPr>
      </w:pPr>
      <w:r w:rsidRPr="008B13A5">
        <w:rPr>
          <w:noProof/>
          <w:szCs w:val="22"/>
          <w:lang w:eastAsia="en-GB"/>
        </w:rPr>
        <w:t xml:space="preserve">The table presents the key results per consultation activity, organised by evaluation criteria, </w:t>
      </w:r>
      <w:r w:rsidRPr="008B13A5">
        <w:rPr>
          <w:noProof/>
          <w:szCs w:val="22"/>
        </w:rPr>
        <w:t>and</w:t>
      </w:r>
      <w:r w:rsidRPr="008B13A5">
        <w:rPr>
          <w:noProof/>
          <w:szCs w:val="22"/>
          <w:lang w:eastAsia="en-GB"/>
        </w:rPr>
        <w:t xml:space="preserve"> by the level of consistency, complementarity, and contradiction of the results across consultation activities. Overall, there was a high convergence in the results of different consultation activities, in particular, over the need to align the Chips Act with emerging vulnerabilities, speeding-up and simplifying procedures, and the need to foster SME participation and design activities. Dissent, if any, emerged over the priorities of the Chips Act.</w:t>
      </w:r>
    </w:p>
    <w:tbl>
      <w:tblPr>
        <w:tblStyle w:val="TableGrid"/>
        <w:tblW w:w="14137" w:type="dxa"/>
        <w:tblLook w:val="04A0" w:firstRow="1" w:lastRow="0" w:firstColumn="1" w:lastColumn="0" w:noHBand="0" w:noVBand="1"/>
      </w:tblPr>
      <w:tblGrid>
        <w:gridCol w:w="2531"/>
        <w:gridCol w:w="1814"/>
        <w:gridCol w:w="1814"/>
        <w:gridCol w:w="1814"/>
        <w:gridCol w:w="1814"/>
        <w:gridCol w:w="1287"/>
        <w:gridCol w:w="1646"/>
        <w:gridCol w:w="1417"/>
      </w:tblGrid>
      <w:tr w:rsidR="00F8618D" w:rsidRPr="008B13A5" w14:paraId="5B747AD7" w14:textId="77777777" w:rsidTr="001060DE">
        <w:trPr>
          <w:trHeight w:val="570"/>
          <w:tblHeader/>
        </w:trPr>
        <w:tc>
          <w:tcPr>
            <w:tcW w:w="2531" w:type="dxa"/>
            <w:vAlign w:val="center"/>
          </w:tcPr>
          <w:p w14:paraId="466DD702" w14:textId="5BF17FF5" w:rsidR="00F8618D" w:rsidRPr="008B13A5" w:rsidRDefault="00F8618D" w:rsidP="00653F7B">
            <w:pPr>
              <w:spacing w:after="0"/>
              <w:rPr>
                <w:b/>
                <w:noProof/>
                <w:sz w:val="18"/>
                <w:szCs w:val="18"/>
              </w:rPr>
            </w:pPr>
            <w:r w:rsidRPr="008B13A5">
              <w:rPr>
                <w:b/>
                <w:noProof/>
                <w:sz w:val="18"/>
                <w:szCs w:val="18"/>
              </w:rPr>
              <w:t>Evaluation criterion</w:t>
            </w:r>
          </w:p>
        </w:tc>
        <w:tc>
          <w:tcPr>
            <w:tcW w:w="1814" w:type="dxa"/>
            <w:vAlign w:val="center"/>
          </w:tcPr>
          <w:p w14:paraId="7EDE45E8" w14:textId="4370324A" w:rsidR="00F8618D" w:rsidRPr="008B13A5" w:rsidRDefault="00F8618D" w:rsidP="00653F7B">
            <w:pPr>
              <w:spacing w:after="0"/>
              <w:rPr>
                <w:b/>
                <w:noProof/>
                <w:sz w:val="18"/>
                <w:szCs w:val="18"/>
              </w:rPr>
            </w:pPr>
            <w:r w:rsidRPr="008B13A5">
              <w:rPr>
                <w:b/>
                <w:noProof/>
                <w:sz w:val="18"/>
                <w:szCs w:val="18"/>
              </w:rPr>
              <w:t>Open public consultation and call for evidence</w:t>
            </w:r>
          </w:p>
        </w:tc>
        <w:tc>
          <w:tcPr>
            <w:tcW w:w="1814" w:type="dxa"/>
            <w:vAlign w:val="center"/>
          </w:tcPr>
          <w:p w14:paraId="302CE1D9" w14:textId="77777777" w:rsidR="00F8618D" w:rsidRPr="008B13A5" w:rsidRDefault="00F8618D" w:rsidP="00653F7B">
            <w:pPr>
              <w:spacing w:after="0"/>
              <w:rPr>
                <w:b/>
                <w:noProof/>
                <w:sz w:val="18"/>
                <w:szCs w:val="18"/>
              </w:rPr>
            </w:pPr>
            <w:r w:rsidRPr="008B13A5">
              <w:rPr>
                <w:b/>
                <w:noProof/>
                <w:sz w:val="18"/>
                <w:szCs w:val="18"/>
              </w:rPr>
              <w:t>Survey</w:t>
            </w:r>
          </w:p>
        </w:tc>
        <w:tc>
          <w:tcPr>
            <w:tcW w:w="1814" w:type="dxa"/>
            <w:vAlign w:val="center"/>
          </w:tcPr>
          <w:p w14:paraId="44E11261" w14:textId="77777777" w:rsidR="00F8618D" w:rsidRPr="008B13A5" w:rsidRDefault="00F8618D" w:rsidP="00653F7B">
            <w:pPr>
              <w:spacing w:after="0"/>
              <w:rPr>
                <w:b/>
                <w:noProof/>
                <w:sz w:val="18"/>
                <w:szCs w:val="18"/>
              </w:rPr>
            </w:pPr>
            <w:r w:rsidRPr="008B13A5">
              <w:rPr>
                <w:b/>
                <w:noProof/>
                <w:sz w:val="18"/>
                <w:szCs w:val="18"/>
              </w:rPr>
              <w:t>Interviews</w:t>
            </w:r>
          </w:p>
        </w:tc>
        <w:tc>
          <w:tcPr>
            <w:tcW w:w="1814" w:type="dxa"/>
            <w:vAlign w:val="center"/>
          </w:tcPr>
          <w:p w14:paraId="098AF732" w14:textId="77777777" w:rsidR="00F8618D" w:rsidRPr="008B13A5" w:rsidRDefault="00F8618D" w:rsidP="00653F7B">
            <w:pPr>
              <w:spacing w:after="0"/>
              <w:rPr>
                <w:b/>
                <w:noProof/>
                <w:sz w:val="18"/>
                <w:szCs w:val="18"/>
              </w:rPr>
            </w:pPr>
            <w:r w:rsidRPr="008B13A5">
              <w:rPr>
                <w:b/>
                <w:noProof/>
                <w:sz w:val="18"/>
                <w:szCs w:val="18"/>
              </w:rPr>
              <w:t>Workshops</w:t>
            </w:r>
          </w:p>
        </w:tc>
        <w:tc>
          <w:tcPr>
            <w:tcW w:w="1287" w:type="dxa"/>
            <w:vAlign w:val="center"/>
          </w:tcPr>
          <w:p w14:paraId="3339F87B" w14:textId="77777777" w:rsidR="00F8618D" w:rsidRPr="008B13A5" w:rsidRDefault="00F8618D" w:rsidP="00653F7B">
            <w:pPr>
              <w:spacing w:after="0"/>
              <w:rPr>
                <w:b/>
                <w:noProof/>
                <w:sz w:val="18"/>
                <w:szCs w:val="18"/>
              </w:rPr>
            </w:pPr>
            <w:r w:rsidRPr="008B13A5">
              <w:rPr>
                <w:b/>
                <w:noProof/>
                <w:sz w:val="18"/>
                <w:szCs w:val="18"/>
              </w:rPr>
              <w:t>Consistency</w:t>
            </w:r>
          </w:p>
        </w:tc>
        <w:tc>
          <w:tcPr>
            <w:tcW w:w="1646" w:type="dxa"/>
            <w:vAlign w:val="center"/>
          </w:tcPr>
          <w:p w14:paraId="51FE4CD1" w14:textId="77777777" w:rsidR="00F8618D" w:rsidRPr="008B13A5" w:rsidRDefault="00F8618D" w:rsidP="00653F7B">
            <w:pPr>
              <w:spacing w:after="0"/>
              <w:rPr>
                <w:b/>
                <w:noProof/>
                <w:sz w:val="18"/>
                <w:szCs w:val="18"/>
              </w:rPr>
            </w:pPr>
            <w:r w:rsidRPr="008B13A5">
              <w:rPr>
                <w:b/>
                <w:noProof/>
                <w:sz w:val="18"/>
                <w:szCs w:val="18"/>
              </w:rPr>
              <w:t>Complementarity</w:t>
            </w:r>
          </w:p>
        </w:tc>
        <w:tc>
          <w:tcPr>
            <w:tcW w:w="1417" w:type="dxa"/>
            <w:vAlign w:val="center"/>
          </w:tcPr>
          <w:p w14:paraId="23D5C85E" w14:textId="77777777" w:rsidR="00F8618D" w:rsidRPr="008B13A5" w:rsidRDefault="00F8618D" w:rsidP="00653F7B">
            <w:pPr>
              <w:spacing w:after="0"/>
              <w:rPr>
                <w:b/>
                <w:noProof/>
                <w:sz w:val="18"/>
                <w:szCs w:val="18"/>
              </w:rPr>
            </w:pPr>
            <w:r w:rsidRPr="008B13A5">
              <w:rPr>
                <w:b/>
                <w:noProof/>
                <w:sz w:val="18"/>
                <w:szCs w:val="18"/>
              </w:rPr>
              <w:t>Contradiction</w:t>
            </w:r>
          </w:p>
        </w:tc>
      </w:tr>
      <w:tr w:rsidR="00F8618D" w:rsidRPr="008B13A5" w14:paraId="2B927811" w14:textId="77777777" w:rsidTr="001060DE">
        <w:trPr>
          <w:trHeight w:val="3742"/>
        </w:trPr>
        <w:tc>
          <w:tcPr>
            <w:tcW w:w="2531" w:type="dxa"/>
          </w:tcPr>
          <w:p w14:paraId="1E9968E4" w14:textId="77777777" w:rsidR="00F8618D" w:rsidRPr="008B13A5" w:rsidRDefault="00F8618D" w:rsidP="00653F7B">
            <w:pPr>
              <w:spacing w:after="0"/>
              <w:jc w:val="left"/>
              <w:rPr>
                <w:noProof/>
                <w:sz w:val="18"/>
                <w:szCs w:val="18"/>
              </w:rPr>
            </w:pPr>
            <w:r w:rsidRPr="008B13A5">
              <w:rPr>
                <w:noProof/>
                <w:sz w:val="18"/>
                <w:szCs w:val="18"/>
              </w:rPr>
              <w:t>Effectiveness</w:t>
            </w:r>
          </w:p>
        </w:tc>
        <w:tc>
          <w:tcPr>
            <w:tcW w:w="1814" w:type="dxa"/>
          </w:tcPr>
          <w:p w14:paraId="7E59C40C" w14:textId="0206AEE9" w:rsidR="00F8618D" w:rsidRPr="008B13A5" w:rsidRDefault="00F8618D" w:rsidP="00653F7B">
            <w:pPr>
              <w:spacing w:after="0"/>
              <w:jc w:val="left"/>
              <w:rPr>
                <w:noProof/>
                <w:sz w:val="18"/>
                <w:szCs w:val="18"/>
              </w:rPr>
            </w:pPr>
            <w:r w:rsidRPr="008B13A5">
              <w:rPr>
                <w:noProof/>
                <w:sz w:val="18"/>
                <w:szCs w:val="18"/>
              </w:rPr>
              <w:t>Pillar I received strong positive assessments, with a majority considering pilot lines meet their objectives. Pillar II was viewed positively by three quarters of respondents, who considered it has made the EU a more attractive location for semiconductor manufacturing. However, stakeholders question whether investment volumes are sufficient to shift Europe</w:t>
            </w:r>
            <w:r w:rsidR="00497125" w:rsidRPr="008B13A5">
              <w:rPr>
                <w:noProof/>
                <w:sz w:val="18"/>
                <w:szCs w:val="18"/>
              </w:rPr>
              <w:t>’</w:t>
            </w:r>
            <w:r w:rsidRPr="008B13A5">
              <w:rPr>
                <w:noProof/>
                <w:sz w:val="18"/>
                <w:szCs w:val="18"/>
              </w:rPr>
              <w:t>s competitive position and highlight structural vulnerabilities in PCBs and back-end manufacturing. Pillar III received notably lower only around a third considering objectives met; two-thirds of respondents had not developed monitoring systems or engaged with disruption alerts. A large majority anticipate further supply disruptions, citing geopolitical risks and trade barriers as primary threats. The lab-to-fab gap remains a key barrier, and the 20% market share target is widely seen as unrealistic. SME and start-up accessibility to support instruments requires improvement.</w:t>
            </w:r>
          </w:p>
        </w:tc>
        <w:tc>
          <w:tcPr>
            <w:tcW w:w="1814" w:type="dxa"/>
          </w:tcPr>
          <w:p w14:paraId="54C2FCAA" w14:textId="4AB041E9" w:rsidR="00F8618D" w:rsidRPr="008B13A5" w:rsidRDefault="00F8618D" w:rsidP="00653F7B">
            <w:pPr>
              <w:spacing w:after="0"/>
              <w:jc w:val="left"/>
              <w:rPr>
                <w:rFonts w:eastAsia="Aptos"/>
                <w:noProof/>
                <w:sz w:val="18"/>
                <w:szCs w:val="18"/>
              </w:rPr>
            </w:pPr>
            <w:r w:rsidRPr="008B13A5">
              <w:rPr>
                <w:rFonts w:eastAsia="Aptos"/>
                <w:noProof/>
                <w:sz w:val="18"/>
                <w:szCs w:val="18"/>
              </w:rPr>
              <w:t xml:space="preserve">National authorities report highest positive effects (75% across most dimensions); RTOs report lowest (35-41%), with 35% reporting </w:t>
            </w:r>
            <w:r w:rsidR="006C5509" w:rsidRPr="008B13A5">
              <w:rPr>
                <w:rFonts w:eastAsia="Aptos"/>
                <w:noProof/>
                <w:sz w:val="18"/>
                <w:szCs w:val="18"/>
              </w:rPr>
              <w:t>“</w:t>
            </w:r>
            <w:r w:rsidRPr="008B13A5">
              <w:rPr>
                <w:rFonts w:eastAsia="Aptos"/>
                <w:noProof/>
                <w:sz w:val="18"/>
                <w:szCs w:val="18"/>
              </w:rPr>
              <w:t>no effects</w:t>
            </w:r>
            <w:r w:rsidR="006C5509" w:rsidRPr="008B13A5">
              <w:rPr>
                <w:rFonts w:eastAsia="Aptos"/>
                <w:noProof/>
                <w:sz w:val="18"/>
                <w:szCs w:val="18"/>
              </w:rPr>
              <w:t>”</w:t>
            </w:r>
            <w:r w:rsidRPr="008B13A5">
              <w:rPr>
                <w:rFonts w:eastAsia="Aptos"/>
                <w:noProof/>
                <w:sz w:val="18"/>
                <w:szCs w:val="18"/>
              </w:rPr>
              <w:t xml:space="preserve"> on several dimensions. Progress varies by pillar: Pillar 1 (research-industry link) strongest at 58%; Pillar 2 (investment/capacity) mixed at 42%; Pillar 3 (supply chain resilience) weakest at only 17%, with 25% of respondents stating it too early to tell. </w:t>
            </w:r>
          </w:p>
        </w:tc>
        <w:tc>
          <w:tcPr>
            <w:tcW w:w="1814" w:type="dxa"/>
          </w:tcPr>
          <w:p w14:paraId="5763ECC8" w14:textId="5C45F1F8" w:rsidR="00F8618D" w:rsidRPr="008B13A5" w:rsidRDefault="00F8618D" w:rsidP="00653F7B">
            <w:pPr>
              <w:spacing w:after="0"/>
              <w:jc w:val="left"/>
              <w:rPr>
                <w:noProof/>
                <w:sz w:val="18"/>
                <w:szCs w:val="18"/>
              </w:rPr>
            </w:pPr>
            <w:r w:rsidRPr="008B13A5">
              <w:rPr>
                <w:noProof/>
                <w:sz w:val="18"/>
                <w:szCs w:val="18"/>
              </w:rPr>
              <w:t xml:space="preserve">Pillar I is widely viewed as successful. However, effectiveness is lacking in the commercialisation of knowledge. Pilot line access for start-ups and SMEs is unclear, costly, and a missed opportunity. First-of-a-kind manufacturing projects are promising steps, but overall Pillar II suffers from weak coordination, national budget dominance, and lack of clear metrics. Effects of the Chips Act on supply chain resilience are mixed. The Act has triggered new projects, but Europe still relies heavily on Asian, especially Taiwanese, suppliers, with current investment volumes </w:t>
            </w:r>
            <w:r w:rsidR="006C5509" w:rsidRPr="008B13A5">
              <w:rPr>
                <w:noProof/>
                <w:sz w:val="18"/>
                <w:szCs w:val="18"/>
              </w:rPr>
              <w:t>“</w:t>
            </w:r>
            <w:r w:rsidRPr="008B13A5">
              <w:rPr>
                <w:noProof/>
                <w:sz w:val="18"/>
                <w:szCs w:val="18"/>
              </w:rPr>
              <w:t>cosmetic</w:t>
            </w:r>
            <w:r w:rsidR="006C5509" w:rsidRPr="008B13A5">
              <w:rPr>
                <w:noProof/>
                <w:sz w:val="18"/>
                <w:szCs w:val="18"/>
              </w:rPr>
              <w:t>”</w:t>
            </w:r>
            <w:r w:rsidRPr="008B13A5">
              <w:rPr>
                <w:noProof/>
                <w:sz w:val="18"/>
                <w:szCs w:val="18"/>
              </w:rPr>
              <w:t xml:space="preserve"> compared to Asia</w:t>
            </w:r>
            <w:r w:rsidR="00497125" w:rsidRPr="008B13A5">
              <w:rPr>
                <w:noProof/>
                <w:sz w:val="18"/>
                <w:szCs w:val="18"/>
              </w:rPr>
              <w:t>’</w:t>
            </w:r>
            <w:r w:rsidRPr="008B13A5">
              <w:rPr>
                <w:noProof/>
                <w:sz w:val="18"/>
                <w:szCs w:val="18"/>
              </w:rPr>
              <w:t>s. Pillar 3 data collection showed voluntary mechanisms can work technically, but effectiveness was undermined because information was not meaningfully used, damaging trust. Supply-side support alone is insufficient.</w:t>
            </w:r>
          </w:p>
        </w:tc>
        <w:tc>
          <w:tcPr>
            <w:tcW w:w="1814" w:type="dxa"/>
          </w:tcPr>
          <w:p w14:paraId="2F7FAB7E" w14:textId="47585625" w:rsidR="00F8618D" w:rsidRPr="008B13A5" w:rsidRDefault="00F8618D" w:rsidP="00653F7B">
            <w:pPr>
              <w:spacing w:after="0"/>
              <w:jc w:val="left"/>
              <w:rPr>
                <w:noProof/>
                <w:sz w:val="18"/>
                <w:szCs w:val="18"/>
              </w:rPr>
            </w:pPr>
            <w:r w:rsidRPr="008B13A5">
              <w:rPr>
                <w:noProof/>
                <w:sz w:val="18"/>
                <w:szCs w:val="18"/>
              </w:rPr>
              <w:t>Workshop participants confirmed that the Chips Act delivered its main outputs. However, critical gaps remain, and large dependencies persist. Europe lacks production capacities for high-performance chip; early 100% of chips for data centres are manufactured in Taiwan. SME participation in the Chips Act remains weak. The Design Platform came only late and excludes electronics companies wishing to integrate chips; pilot line access remains cost prohibitive. Talent programmes operate at insufficient scale. Vulnerabilities persist in packaging, testing, and commodity components, with PCB and packaging firms remaining outside the Act</w:t>
            </w:r>
            <w:r w:rsidR="00497125" w:rsidRPr="008B13A5">
              <w:rPr>
                <w:noProof/>
                <w:sz w:val="18"/>
                <w:szCs w:val="18"/>
              </w:rPr>
              <w:t>’</w:t>
            </w:r>
            <w:r w:rsidRPr="008B13A5">
              <w:rPr>
                <w:noProof/>
                <w:sz w:val="18"/>
                <w:szCs w:val="18"/>
              </w:rPr>
              <w:t>s scope.</w:t>
            </w:r>
          </w:p>
        </w:tc>
        <w:tc>
          <w:tcPr>
            <w:tcW w:w="1287" w:type="dxa"/>
            <w:vAlign w:val="center"/>
          </w:tcPr>
          <w:p w14:paraId="4FE2DDC2" w14:textId="77777777" w:rsidR="00F8618D" w:rsidRPr="008B13A5" w:rsidRDefault="00F8618D" w:rsidP="00653F7B">
            <w:pPr>
              <w:spacing w:after="0"/>
              <w:jc w:val="left"/>
              <w:rPr>
                <w:noProof/>
                <w:sz w:val="18"/>
                <w:szCs w:val="18"/>
              </w:rPr>
            </w:pPr>
          </w:p>
          <w:p w14:paraId="4D624546" w14:textId="77777777" w:rsidR="00F8618D" w:rsidRPr="008B13A5" w:rsidRDefault="00F8618D" w:rsidP="00653F7B">
            <w:pPr>
              <w:spacing w:after="0"/>
              <w:jc w:val="left"/>
              <w:rPr>
                <w:noProof/>
                <w:sz w:val="18"/>
                <w:szCs w:val="18"/>
              </w:rPr>
            </w:pPr>
            <w:r w:rsidRPr="008B13A5">
              <w:rPr>
                <w:noProof/>
                <w:sz w:val="18"/>
                <w:szCs w:val="18"/>
              </w:rPr>
              <w:t>High</w:t>
            </w:r>
          </w:p>
        </w:tc>
        <w:tc>
          <w:tcPr>
            <w:tcW w:w="1646" w:type="dxa"/>
            <w:vAlign w:val="center"/>
          </w:tcPr>
          <w:p w14:paraId="4E087A8D" w14:textId="77777777" w:rsidR="00F8618D" w:rsidRPr="008B13A5" w:rsidRDefault="00F8618D" w:rsidP="00653F7B">
            <w:pPr>
              <w:spacing w:after="0"/>
              <w:jc w:val="left"/>
              <w:rPr>
                <w:noProof/>
                <w:sz w:val="18"/>
                <w:szCs w:val="18"/>
              </w:rPr>
            </w:pPr>
          </w:p>
          <w:p w14:paraId="3652512F" w14:textId="77777777" w:rsidR="00F8618D" w:rsidRPr="008B13A5" w:rsidRDefault="00F8618D" w:rsidP="00653F7B">
            <w:pPr>
              <w:spacing w:after="0"/>
              <w:jc w:val="left"/>
              <w:rPr>
                <w:noProof/>
                <w:sz w:val="18"/>
                <w:szCs w:val="18"/>
              </w:rPr>
            </w:pPr>
            <w:r w:rsidRPr="008B13A5">
              <w:rPr>
                <w:noProof/>
                <w:sz w:val="18"/>
                <w:szCs w:val="18"/>
              </w:rPr>
              <w:t>High</w:t>
            </w:r>
          </w:p>
        </w:tc>
        <w:tc>
          <w:tcPr>
            <w:tcW w:w="1417" w:type="dxa"/>
            <w:vAlign w:val="center"/>
          </w:tcPr>
          <w:p w14:paraId="0F014960" w14:textId="77777777" w:rsidR="00F8618D" w:rsidRPr="008B13A5" w:rsidRDefault="00F8618D" w:rsidP="00653F7B">
            <w:pPr>
              <w:spacing w:after="0"/>
              <w:jc w:val="left"/>
              <w:rPr>
                <w:noProof/>
                <w:sz w:val="18"/>
                <w:szCs w:val="18"/>
              </w:rPr>
            </w:pPr>
          </w:p>
          <w:p w14:paraId="3F689E6C" w14:textId="77777777" w:rsidR="00F8618D" w:rsidRPr="008B13A5" w:rsidRDefault="00F8618D" w:rsidP="00653F7B">
            <w:pPr>
              <w:spacing w:after="0"/>
              <w:jc w:val="left"/>
              <w:rPr>
                <w:noProof/>
                <w:sz w:val="18"/>
                <w:szCs w:val="18"/>
              </w:rPr>
            </w:pPr>
            <w:r w:rsidRPr="008B13A5">
              <w:rPr>
                <w:noProof/>
                <w:sz w:val="18"/>
                <w:szCs w:val="18"/>
              </w:rPr>
              <w:t>Low</w:t>
            </w:r>
          </w:p>
        </w:tc>
      </w:tr>
      <w:tr w:rsidR="001060DE" w:rsidRPr="008B13A5" w14:paraId="30EA6730" w14:textId="77777777" w:rsidTr="001060DE">
        <w:trPr>
          <w:trHeight w:val="3742"/>
        </w:trPr>
        <w:tc>
          <w:tcPr>
            <w:tcW w:w="2531" w:type="dxa"/>
          </w:tcPr>
          <w:p w14:paraId="2DEB21B0" w14:textId="35C1C563" w:rsidR="00570343" w:rsidRPr="008B13A5" w:rsidRDefault="00570343" w:rsidP="00570343">
            <w:pPr>
              <w:spacing w:after="0"/>
              <w:jc w:val="left"/>
              <w:rPr>
                <w:noProof/>
                <w:sz w:val="18"/>
                <w:szCs w:val="18"/>
              </w:rPr>
            </w:pPr>
            <w:r w:rsidRPr="008B13A5">
              <w:rPr>
                <w:noProof/>
                <w:sz w:val="18"/>
                <w:szCs w:val="18"/>
              </w:rPr>
              <w:t>Efficiency</w:t>
            </w:r>
          </w:p>
        </w:tc>
        <w:tc>
          <w:tcPr>
            <w:tcW w:w="1814" w:type="dxa"/>
          </w:tcPr>
          <w:p w14:paraId="307822D9" w14:textId="70BBB33A" w:rsidR="00570343" w:rsidRPr="008B13A5" w:rsidRDefault="00570343" w:rsidP="00570343">
            <w:pPr>
              <w:spacing w:after="0"/>
              <w:jc w:val="left"/>
              <w:rPr>
                <w:noProof/>
                <w:sz w:val="18"/>
                <w:szCs w:val="18"/>
              </w:rPr>
            </w:pPr>
            <w:r w:rsidRPr="008B13A5">
              <w:rPr>
                <w:noProof/>
                <w:sz w:val="18"/>
                <w:szCs w:val="18"/>
              </w:rPr>
              <w:t>Experiences with implementation mechanisms varied considerably, with mixed perceptions among fabless companies and most foundries not having applied for facility status. Procedural complexity and slow timelines are dominant concerns; state aid approval delays are characterised as a competitive disadvantage. IPCEI is valued but undermined by lengthy processes and less competitive funding rates. Three quarters of respondents support EU-level coordination for strategic project selection, and  favour combined funding sources. Administrative burdens pose barriers, in particular for SMEs and start-ups. Fragmentation between EU and national procedures (parallel processes, inconsistent requirements, and unclear coordination) are perceived as impeding delivery.</w:t>
            </w:r>
          </w:p>
        </w:tc>
        <w:tc>
          <w:tcPr>
            <w:tcW w:w="1814" w:type="dxa"/>
          </w:tcPr>
          <w:p w14:paraId="0BDDA45E" w14:textId="48B40E88" w:rsidR="00570343" w:rsidRPr="008B13A5" w:rsidRDefault="00570343" w:rsidP="00570343">
            <w:pPr>
              <w:spacing w:after="0"/>
              <w:jc w:val="left"/>
              <w:rPr>
                <w:rFonts w:eastAsia="Aptos"/>
                <w:noProof/>
                <w:sz w:val="18"/>
                <w:szCs w:val="18"/>
              </w:rPr>
            </w:pPr>
            <w:r w:rsidRPr="008B13A5">
              <w:rPr>
                <w:rFonts w:eastAsia="Aptos"/>
                <w:noProof/>
                <w:sz w:val="18"/>
                <w:szCs w:val="18"/>
              </w:rPr>
              <w:t>46% of national authorities encountered significant implementation challenges; 21% said too early to tell. Most frequent challenges: insufficient national co-funding capacity, competing national priorities, complex EU-national coordination, and skills/workforce limitations. Notable governance effectiveness gap: national authorities rate relevant mechanisms 38-46% effective vs RTOs only 12-24%. RTOs show higher “very ineffective” assessments (18-29%), particularly for administrative efficiency and Member State coordination. 47% of RTOs face commercialisation barriers, with insufficient risk capital and lack of industry partnerships being the most cited elements.</w:t>
            </w:r>
          </w:p>
        </w:tc>
        <w:tc>
          <w:tcPr>
            <w:tcW w:w="1814" w:type="dxa"/>
          </w:tcPr>
          <w:p w14:paraId="50F77334" w14:textId="754F1C89" w:rsidR="00570343" w:rsidRPr="008B13A5" w:rsidRDefault="00570343" w:rsidP="00570343">
            <w:pPr>
              <w:spacing w:after="0"/>
              <w:jc w:val="left"/>
              <w:rPr>
                <w:noProof/>
                <w:sz w:val="18"/>
                <w:szCs w:val="18"/>
              </w:rPr>
            </w:pPr>
            <w:r w:rsidRPr="008B13A5">
              <w:rPr>
                <w:noProof/>
                <w:sz w:val="18"/>
                <w:szCs w:val="18"/>
              </w:rPr>
              <w:t>The Chips Act was assembled under time pressure which may explain some of its shortcomings. Stakeholders describe instruments too rigid for semiconductor capital intensity and timelines, fragmented governance across funding streams and administration levels, and procedures that are slow, untransparent, and administratively heavy. Companies face duplicated, overlapping procedures for the same project. Complicated governance forces newer or smaller players to rely on expensive consultants.  validation can take ten to twelve months versus roughly half that time or weeks in competitor countries. Time between announcement and first call has been around one year. Documentation must be submitted multiple times, digital platforms do not function as intended, and understaffed bodies are overwhelmed.  Limited visibility on application progress, evaluation criteria, and decision-making makes planning difficult. Data collected from industry is perceived as one-way exercise.</w:t>
            </w:r>
          </w:p>
        </w:tc>
        <w:tc>
          <w:tcPr>
            <w:tcW w:w="1814" w:type="dxa"/>
          </w:tcPr>
          <w:p w14:paraId="400B6F8D" w14:textId="5AB87373" w:rsidR="00570343" w:rsidRPr="008B13A5" w:rsidRDefault="00570343" w:rsidP="00570343">
            <w:pPr>
              <w:spacing w:after="0"/>
              <w:jc w:val="left"/>
              <w:rPr>
                <w:noProof/>
                <w:sz w:val="18"/>
                <w:szCs w:val="18"/>
              </w:rPr>
            </w:pPr>
            <w:r w:rsidRPr="008B13A5">
              <w:rPr>
                <w:noProof/>
                <w:sz w:val="18"/>
                <w:szCs w:val="18"/>
              </w:rPr>
              <w:t>Processes are too slow (two years between application and funding), and favour very large projects create systematic inefficiencies. Programme coordination between DGs and the EU and national level could be improved, causing duplication and missed synergies. The most critical bottleneck is mobilising European venture capital.</w:t>
            </w:r>
          </w:p>
        </w:tc>
        <w:tc>
          <w:tcPr>
            <w:tcW w:w="1287" w:type="dxa"/>
            <w:vAlign w:val="center"/>
          </w:tcPr>
          <w:p w14:paraId="523E8392" w14:textId="77777777" w:rsidR="00570343" w:rsidRPr="008B13A5" w:rsidRDefault="00570343" w:rsidP="00570343">
            <w:pPr>
              <w:rPr>
                <w:noProof/>
                <w:sz w:val="18"/>
                <w:szCs w:val="18"/>
              </w:rPr>
            </w:pPr>
          </w:p>
          <w:p w14:paraId="11C35003" w14:textId="434A589F" w:rsidR="00570343" w:rsidRPr="008B13A5" w:rsidRDefault="00570343" w:rsidP="00570343">
            <w:pPr>
              <w:spacing w:after="0"/>
              <w:jc w:val="left"/>
              <w:rPr>
                <w:noProof/>
                <w:sz w:val="18"/>
                <w:szCs w:val="18"/>
              </w:rPr>
            </w:pPr>
            <w:r w:rsidRPr="008B13A5">
              <w:rPr>
                <w:noProof/>
                <w:sz w:val="18"/>
                <w:szCs w:val="18"/>
              </w:rPr>
              <w:t>High</w:t>
            </w:r>
          </w:p>
        </w:tc>
        <w:tc>
          <w:tcPr>
            <w:tcW w:w="1646" w:type="dxa"/>
            <w:vAlign w:val="center"/>
          </w:tcPr>
          <w:p w14:paraId="1636AAC6" w14:textId="77777777" w:rsidR="00570343" w:rsidRPr="008B13A5" w:rsidRDefault="00570343" w:rsidP="00570343">
            <w:pPr>
              <w:rPr>
                <w:noProof/>
                <w:sz w:val="18"/>
                <w:szCs w:val="18"/>
              </w:rPr>
            </w:pPr>
          </w:p>
          <w:p w14:paraId="0CE14A20" w14:textId="4A422DB2" w:rsidR="00570343" w:rsidRPr="008B13A5" w:rsidRDefault="00570343" w:rsidP="00570343">
            <w:pPr>
              <w:spacing w:after="0"/>
              <w:jc w:val="left"/>
              <w:rPr>
                <w:noProof/>
                <w:sz w:val="18"/>
                <w:szCs w:val="18"/>
              </w:rPr>
            </w:pPr>
            <w:r w:rsidRPr="008B13A5">
              <w:rPr>
                <w:noProof/>
                <w:sz w:val="18"/>
                <w:szCs w:val="18"/>
              </w:rPr>
              <w:t>High</w:t>
            </w:r>
          </w:p>
        </w:tc>
        <w:tc>
          <w:tcPr>
            <w:tcW w:w="1417" w:type="dxa"/>
            <w:vAlign w:val="center"/>
          </w:tcPr>
          <w:p w14:paraId="67DFCF3E" w14:textId="77777777" w:rsidR="00570343" w:rsidRPr="008B13A5" w:rsidRDefault="00570343" w:rsidP="00570343">
            <w:pPr>
              <w:rPr>
                <w:noProof/>
                <w:sz w:val="18"/>
                <w:szCs w:val="18"/>
              </w:rPr>
            </w:pPr>
          </w:p>
          <w:p w14:paraId="39E56898" w14:textId="101E659A" w:rsidR="00570343" w:rsidRPr="008B13A5" w:rsidRDefault="00570343" w:rsidP="00570343">
            <w:pPr>
              <w:spacing w:after="0"/>
              <w:jc w:val="left"/>
              <w:rPr>
                <w:noProof/>
                <w:sz w:val="18"/>
                <w:szCs w:val="18"/>
              </w:rPr>
            </w:pPr>
            <w:r w:rsidRPr="008B13A5">
              <w:rPr>
                <w:noProof/>
                <w:sz w:val="18"/>
                <w:szCs w:val="18"/>
              </w:rPr>
              <w:t>Low</w:t>
            </w:r>
          </w:p>
        </w:tc>
      </w:tr>
      <w:tr w:rsidR="001060DE" w:rsidRPr="008B13A5" w14:paraId="1A4C48FD" w14:textId="77777777" w:rsidTr="00A00702">
        <w:trPr>
          <w:trHeight w:val="1417"/>
        </w:trPr>
        <w:tc>
          <w:tcPr>
            <w:tcW w:w="2531" w:type="dxa"/>
          </w:tcPr>
          <w:p w14:paraId="3E091D26" w14:textId="304C07F4" w:rsidR="00570343" w:rsidRPr="008B13A5" w:rsidRDefault="00570343" w:rsidP="00570343">
            <w:pPr>
              <w:spacing w:after="0"/>
              <w:jc w:val="left"/>
              <w:rPr>
                <w:noProof/>
                <w:sz w:val="18"/>
                <w:szCs w:val="18"/>
              </w:rPr>
            </w:pPr>
            <w:r w:rsidRPr="008B13A5">
              <w:rPr>
                <w:noProof/>
                <w:sz w:val="18"/>
                <w:szCs w:val="18"/>
              </w:rPr>
              <w:t>Coherence</w:t>
            </w:r>
          </w:p>
        </w:tc>
        <w:tc>
          <w:tcPr>
            <w:tcW w:w="1814" w:type="dxa"/>
          </w:tcPr>
          <w:p w14:paraId="7EB00821" w14:textId="56F34196" w:rsidR="00570343" w:rsidRPr="008B13A5" w:rsidRDefault="00570343" w:rsidP="00570343">
            <w:pPr>
              <w:spacing w:after="0"/>
              <w:jc w:val="left"/>
              <w:rPr>
                <w:noProof/>
                <w:sz w:val="18"/>
                <w:szCs w:val="18"/>
              </w:rPr>
            </w:pPr>
            <w:r w:rsidRPr="008B13A5">
              <w:rPr>
                <w:noProof/>
                <w:sz w:val="18"/>
                <w:szCs w:val="18"/>
              </w:rPr>
              <w:t>A large majority reported the Chips Act has contributed to improving governance and coordination between national and regional authorities. However, internal coherence gaps persist between Pillar I innovation and Pillar II manufacturing support, with stakeholders calling for bridging mechanisms. External alignment with adjacent EU frameworks (AI Act, Quantum Act, Cyber Resilience Act, defence policy) requires strengthening. Multi-level coordination across EU, national, and regional governance led through streamlined funding streams. Most respondents reported sustainable practices in place, but tensions exist between environmental regulations and semiconductor manufacturing requirements.</w:t>
            </w:r>
          </w:p>
        </w:tc>
        <w:tc>
          <w:tcPr>
            <w:tcW w:w="1814" w:type="dxa"/>
          </w:tcPr>
          <w:p w14:paraId="4234C536" w14:textId="42AD0C3F" w:rsidR="00570343" w:rsidRPr="008B13A5" w:rsidRDefault="00570343" w:rsidP="00570343">
            <w:pPr>
              <w:spacing w:after="0"/>
              <w:jc w:val="left"/>
              <w:rPr>
                <w:rFonts w:eastAsia="Aptos"/>
                <w:noProof/>
                <w:sz w:val="18"/>
                <w:szCs w:val="18"/>
              </w:rPr>
            </w:pPr>
            <w:r w:rsidRPr="008B13A5">
              <w:rPr>
                <w:rFonts w:eastAsia="Aptos"/>
                <w:noProof/>
                <w:sz w:val="18"/>
                <w:szCs w:val="18"/>
              </w:rPr>
              <w:t>Mixed national strategy alignment: only 33% fully aligned with Chips Act, 21% somewhat aligned, 21% reported no national strategy exists. Significant clarity gap between high-level objectives (70% clear) and application procedures (only 31% clear). Industry users reported 0% clarity on application procedure.</w:t>
            </w:r>
          </w:p>
        </w:tc>
        <w:tc>
          <w:tcPr>
            <w:tcW w:w="1814" w:type="dxa"/>
          </w:tcPr>
          <w:p w14:paraId="7D7E7FC1" w14:textId="5E8A3B3B" w:rsidR="00570343" w:rsidRPr="008B13A5" w:rsidRDefault="00570343" w:rsidP="00570343">
            <w:pPr>
              <w:spacing w:after="0"/>
              <w:jc w:val="left"/>
              <w:rPr>
                <w:noProof/>
                <w:sz w:val="18"/>
                <w:szCs w:val="18"/>
              </w:rPr>
            </w:pPr>
            <w:r w:rsidRPr="008B13A5">
              <w:rPr>
                <w:noProof/>
                <w:sz w:val="18"/>
                <w:szCs w:val="18"/>
              </w:rPr>
              <w:t>Coherence across instruments and programmes could be improved. Potential synergies between frontier research, proof-of-concept funding, and later-stage support function mainly because individual researchers and programme managers push them forward, not through formal coordination mechanisms. The intended continuum from R&amp;D to pilot lines to large-scale production is not perceived as a real, functioning pathway. Another challenge is that coordination across member states is fragmented. National and regional initiatives are developed in isolation with no clear framework for aggregating efforts into strategically coherent European action. Uncertainty around definitions (first-of-a-kind), exclusion or unclear treatment of critical segments (materials suppliers, testing, metrology equipment) are obstacles to investment.</w:t>
            </w:r>
          </w:p>
        </w:tc>
        <w:tc>
          <w:tcPr>
            <w:tcW w:w="1814" w:type="dxa"/>
          </w:tcPr>
          <w:p w14:paraId="78F818D4" w14:textId="2B49DD1B" w:rsidR="00570343" w:rsidRPr="008B13A5" w:rsidRDefault="00570343" w:rsidP="00570343">
            <w:pPr>
              <w:spacing w:after="0"/>
              <w:jc w:val="left"/>
              <w:rPr>
                <w:noProof/>
                <w:sz w:val="18"/>
                <w:szCs w:val="18"/>
              </w:rPr>
            </w:pPr>
            <w:r w:rsidRPr="008B13A5">
              <w:rPr>
                <w:noProof/>
                <w:sz w:val="18"/>
                <w:szCs w:val="18"/>
              </w:rPr>
              <w:t>The fundamental incoherence lies in expanding manufacturing capacity while underinvesting in design ecosystems and back-end manufacturing. A recurring problem is that European alternatives exist but cannot achieve cost-competitiveness due to lack of scale, yet cannot achieve scale without initial demand. “Buy European” procurement clashes with state-aid restrictions; material suppliers report pilot lines using Asian chemicals despite European alternatives; PFAS restrictions conflict with fabrication equipment needs.</w:t>
            </w:r>
          </w:p>
        </w:tc>
        <w:tc>
          <w:tcPr>
            <w:tcW w:w="1287" w:type="dxa"/>
            <w:vAlign w:val="center"/>
          </w:tcPr>
          <w:p w14:paraId="73AD686D" w14:textId="77777777" w:rsidR="00570343" w:rsidRPr="008B13A5" w:rsidRDefault="00570343" w:rsidP="00570343">
            <w:pPr>
              <w:rPr>
                <w:noProof/>
                <w:sz w:val="18"/>
                <w:szCs w:val="18"/>
              </w:rPr>
            </w:pPr>
          </w:p>
          <w:p w14:paraId="60DD77D2" w14:textId="5E8C0140" w:rsidR="00570343" w:rsidRPr="008B13A5" w:rsidRDefault="00570343" w:rsidP="00570343">
            <w:pPr>
              <w:rPr>
                <w:noProof/>
                <w:sz w:val="18"/>
                <w:szCs w:val="18"/>
              </w:rPr>
            </w:pPr>
            <w:r w:rsidRPr="008B13A5">
              <w:rPr>
                <w:noProof/>
                <w:sz w:val="18"/>
                <w:szCs w:val="18"/>
              </w:rPr>
              <w:t>High</w:t>
            </w:r>
          </w:p>
        </w:tc>
        <w:tc>
          <w:tcPr>
            <w:tcW w:w="1646" w:type="dxa"/>
            <w:vAlign w:val="center"/>
          </w:tcPr>
          <w:p w14:paraId="3C18E491" w14:textId="77777777" w:rsidR="00570343" w:rsidRPr="008B13A5" w:rsidRDefault="00570343" w:rsidP="00570343">
            <w:pPr>
              <w:rPr>
                <w:noProof/>
                <w:sz w:val="18"/>
                <w:szCs w:val="18"/>
              </w:rPr>
            </w:pPr>
          </w:p>
          <w:p w14:paraId="2B4AA867" w14:textId="2205733B" w:rsidR="00570343" w:rsidRPr="008B13A5" w:rsidRDefault="00570343" w:rsidP="00570343">
            <w:pPr>
              <w:rPr>
                <w:noProof/>
                <w:sz w:val="18"/>
                <w:szCs w:val="18"/>
              </w:rPr>
            </w:pPr>
            <w:r w:rsidRPr="008B13A5">
              <w:rPr>
                <w:noProof/>
                <w:sz w:val="18"/>
                <w:szCs w:val="18"/>
              </w:rPr>
              <w:t>High</w:t>
            </w:r>
          </w:p>
        </w:tc>
        <w:tc>
          <w:tcPr>
            <w:tcW w:w="1417" w:type="dxa"/>
            <w:vAlign w:val="center"/>
          </w:tcPr>
          <w:p w14:paraId="46226F22" w14:textId="77777777" w:rsidR="00570343" w:rsidRPr="008B13A5" w:rsidRDefault="00570343" w:rsidP="00570343">
            <w:pPr>
              <w:rPr>
                <w:noProof/>
                <w:sz w:val="18"/>
                <w:szCs w:val="18"/>
              </w:rPr>
            </w:pPr>
          </w:p>
          <w:p w14:paraId="6A2B4D95" w14:textId="320E36E1" w:rsidR="00570343" w:rsidRPr="008B13A5" w:rsidRDefault="00570343" w:rsidP="00570343">
            <w:pPr>
              <w:rPr>
                <w:noProof/>
                <w:sz w:val="18"/>
                <w:szCs w:val="18"/>
              </w:rPr>
            </w:pPr>
            <w:r w:rsidRPr="008B13A5">
              <w:rPr>
                <w:noProof/>
                <w:sz w:val="18"/>
                <w:szCs w:val="18"/>
              </w:rPr>
              <w:t>Low</w:t>
            </w:r>
          </w:p>
        </w:tc>
      </w:tr>
      <w:tr w:rsidR="001060DE" w:rsidRPr="008B13A5" w14:paraId="2C35D59D" w14:textId="77777777" w:rsidTr="000E42D6">
        <w:trPr>
          <w:trHeight w:val="1474"/>
        </w:trPr>
        <w:tc>
          <w:tcPr>
            <w:tcW w:w="2531" w:type="dxa"/>
          </w:tcPr>
          <w:p w14:paraId="77756809" w14:textId="3DA33A9E" w:rsidR="00C74D68" w:rsidRPr="008B13A5" w:rsidRDefault="00C74D68" w:rsidP="00C74D68">
            <w:pPr>
              <w:spacing w:after="0"/>
              <w:jc w:val="left"/>
              <w:rPr>
                <w:noProof/>
                <w:sz w:val="18"/>
                <w:szCs w:val="18"/>
              </w:rPr>
            </w:pPr>
            <w:r w:rsidRPr="008B13A5">
              <w:rPr>
                <w:noProof/>
                <w:sz w:val="18"/>
                <w:szCs w:val="18"/>
              </w:rPr>
              <w:t>EU added value</w:t>
            </w:r>
          </w:p>
        </w:tc>
        <w:tc>
          <w:tcPr>
            <w:tcW w:w="1814" w:type="dxa"/>
          </w:tcPr>
          <w:p w14:paraId="6E2507C5" w14:textId="4AA70C12" w:rsidR="00C74D68" w:rsidRPr="008B13A5" w:rsidRDefault="00C74D68" w:rsidP="00C74D68">
            <w:pPr>
              <w:spacing w:after="0"/>
              <w:jc w:val="left"/>
              <w:rPr>
                <w:noProof/>
                <w:sz w:val="18"/>
                <w:szCs w:val="18"/>
              </w:rPr>
            </w:pPr>
            <w:r w:rsidRPr="008B13A5">
              <w:rPr>
                <w:noProof/>
                <w:sz w:val="18"/>
                <w:szCs w:val="18"/>
              </w:rPr>
              <w:t>Strong consensus that EU-level action delivers benefits unattainable through national efforts alone, particularly scale, critical mass, and reduced fragmentation. Shared infrastructure under Pillar I is cited as a concrete example. The European Semiconductor Board is highlighted as a key coordination platform to prevent subsidy races. Views on extending information mandates were divided, with around half supporting expanded reporting. International cooperation received strong support across all stakeholder</w:t>
            </w:r>
            <w:r w:rsidRPr="008B13A5">
              <w:rPr>
                <w:noProof/>
              </w:rPr>
              <w:t xml:space="preserve"> </w:t>
            </w:r>
            <w:r w:rsidRPr="008B13A5">
              <w:rPr>
                <w:noProof/>
                <w:sz w:val="18"/>
                <w:szCs w:val="18"/>
              </w:rPr>
              <w:t>groups, with collaborative R&amp;D and supply chain diversification as top priorities; all public authorities reported engaging in bilateral or multilateral cooperation with third countries.</w:t>
            </w:r>
          </w:p>
        </w:tc>
        <w:tc>
          <w:tcPr>
            <w:tcW w:w="1814" w:type="dxa"/>
          </w:tcPr>
          <w:p w14:paraId="1DA7FCFD" w14:textId="4F598B04" w:rsidR="00C74D68" w:rsidRPr="008B13A5" w:rsidRDefault="00C74D68" w:rsidP="00C74D68">
            <w:pPr>
              <w:spacing w:after="0"/>
              <w:jc w:val="left"/>
              <w:rPr>
                <w:rFonts w:eastAsia="Aptos"/>
                <w:noProof/>
                <w:sz w:val="18"/>
                <w:szCs w:val="18"/>
              </w:rPr>
            </w:pPr>
            <w:r w:rsidRPr="008B13A5">
              <w:rPr>
                <w:rFonts w:eastAsia="Aptos"/>
                <w:noProof/>
                <w:sz w:val="18"/>
                <w:szCs w:val="18"/>
              </w:rPr>
              <w:t>Strengthening EU global position received highest agreement (68%); pooling resources second (66%). National authorities were consistently more positive than RTOs, particularly on resource pooling (75% vs 53%), suggesting benefits were more visible at policy level than research operational level. Crisis response benefits were perceived more evenly across groups (RTOs 59%, National authorities 58%). However, 18-29% of RTOs strongly disagree that EU-level benefits are materialising.</w:t>
            </w:r>
          </w:p>
        </w:tc>
        <w:tc>
          <w:tcPr>
            <w:tcW w:w="1814" w:type="dxa"/>
          </w:tcPr>
          <w:p w14:paraId="50A14974" w14:textId="06370325" w:rsidR="00C74D68" w:rsidRPr="008B13A5" w:rsidRDefault="00C74D68" w:rsidP="00C74D68">
            <w:pPr>
              <w:spacing w:after="0"/>
              <w:jc w:val="left"/>
              <w:rPr>
                <w:noProof/>
                <w:sz w:val="18"/>
                <w:szCs w:val="18"/>
              </w:rPr>
            </w:pPr>
            <w:r w:rsidRPr="008B13A5">
              <w:rPr>
                <w:noProof/>
                <w:sz w:val="18"/>
                <w:szCs w:val="18"/>
              </w:rPr>
              <w:t>The Chips Act sends a strong message of EU commitment, creating trust among investors and industry. By providing a framework for large-scale investments in semiconductor production and R&amp;D, it fills a role Member States cannot perform and adds momentum by encouraging Member States to mobilise national resources. Only European-level efforts can collect comprehensive market intelligence across sectors and borders. Slow funding roll-out reduces attractiveness compared to more agile schemes in other regions. The state aid framework is seen as too restrictive to allow Europe to participate in global subsidy competition more effectively.</w:t>
            </w:r>
          </w:p>
        </w:tc>
        <w:tc>
          <w:tcPr>
            <w:tcW w:w="1814" w:type="dxa"/>
          </w:tcPr>
          <w:p w14:paraId="568BD549" w14:textId="76849632" w:rsidR="00C74D68" w:rsidRPr="008B13A5" w:rsidRDefault="00C74D68" w:rsidP="00C74D68">
            <w:pPr>
              <w:spacing w:after="0"/>
              <w:jc w:val="left"/>
              <w:rPr>
                <w:noProof/>
                <w:sz w:val="18"/>
                <w:szCs w:val="18"/>
              </w:rPr>
            </w:pPr>
            <w:r w:rsidRPr="008B13A5">
              <w:rPr>
                <w:noProof/>
                <w:sz w:val="18"/>
                <w:szCs w:val="18"/>
              </w:rPr>
              <w:t>The EU’s distinctive contribution lies in coordinating across member states. The EU level is also relevant because strategic autonomy cannot be achieved at member states level. The EU also provides a collective voice for negotiating strategic partnerships. Shared infrastructure provides valuable access through pilot lines, competence centres, and EU-level consortia, with complementary IPCEI and Chips JU funding. However, the EU’s greatest potential remains largely unrealised. Fragmentation undermines competitiveness; absence of mechanisms for aggregated procurement prevents leveraging market size; absence of unified work permit approach creates competitive disadvantages in talent attraction.</w:t>
            </w:r>
          </w:p>
        </w:tc>
        <w:tc>
          <w:tcPr>
            <w:tcW w:w="1287" w:type="dxa"/>
            <w:vAlign w:val="center"/>
          </w:tcPr>
          <w:p w14:paraId="3EBCB75A" w14:textId="77777777" w:rsidR="00C74D68" w:rsidRPr="008B13A5" w:rsidRDefault="00C74D68" w:rsidP="00C74D68">
            <w:pPr>
              <w:rPr>
                <w:noProof/>
                <w:sz w:val="18"/>
                <w:szCs w:val="18"/>
              </w:rPr>
            </w:pPr>
          </w:p>
          <w:p w14:paraId="4D822BCF" w14:textId="68D2DEF2" w:rsidR="00C74D68" w:rsidRPr="008B13A5" w:rsidRDefault="00C74D68" w:rsidP="00C74D68">
            <w:pPr>
              <w:rPr>
                <w:noProof/>
                <w:sz w:val="18"/>
                <w:szCs w:val="18"/>
              </w:rPr>
            </w:pPr>
            <w:r w:rsidRPr="008B13A5">
              <w:rPr>
                <w:noProof/>
                <w:sz w:val="18"/>
                <w:szCs w:val="18"/>
              </w:rPr>
              <w:t>High</w:t>
            </w:r>
          </w:p>
        </w:tc>
        <w:tc>
          <w:tcPr>
            <w:tcW w:w="1646" w:type="dxa"/>
            <w:vAlign w:val="center"/>
          </w:tcPr>
          <w:p w14:paraId="7CBFCF4A" w14:textId="77777777" w:rsidR="00C74D68" w:rsidRPr="008B13A5" w:rsidRDefault="00C74D68" w:rsidP="00C74D68">
            <w:pPr>
              <w:rPr>
                <w:noProof/>
                <w:sz w:val="18"/>
                <w:szCs w:val="18"/>
              </w:rPr>
            </w:pPr>
          </w:p>
          <w:p w14:paraId="15D77952" w14:textId="658040DE" w:rsidR="00C74D68" w:rsidRPr="008B13A5" w:rsidRDefault="00C74D68" w:rsidP="00C74D68">
            <w:pPr>
              <w:rPr>
                <w:noProof/>
                <w:sz w:val="18"/>
                <w:szCs w:val="18"/>
              </w:rPr>
            </w:pPr>
            <w:r w:rsidRPr="008B13A5">
              <w:rPr>
                <w:noProof/>
                <w:sz w:val="18"/>
                <w:szCs w:val="18"/>
              </w:rPr>
              <w:t>High</w:t>
            </w:r>
          </w:p>
        </w:tc>
        <w:tc>
          <w:tcPr>
            <w:tcW w:w="1417" w:type="dxa"/>
            <w:vAlign w:val="center"/>
          </w:tcPr>
          <w:p w14:paraId="04456F93" w14:textId="77777777" w:rsidR="00C74D68" w:rsidRPr="008B13A5" w:rsidRDefault="00C74D68" w:rsidP="00C74D68">
            <w:pPr>
              <w:rPr>
                <w:noProof/>
                <w:sz w:val="18"/>
                <w:szCs w:val="18"/>
              </w:rPr>
            </w:pPr>
          </w:p>
          <w:p w14:paraId="0655FF75" w14:textId="76D61598" w:rsidR="00C74D68" w:rsidRPr="008B13A5" w:rsidRDefault="00C74D68" w:rsidP="00C74D68">
            <w:pPr>
              <w:rPr>
                <w:noProof/>
                <w:sz w:val="18"/>
                <w:szCs w:val="18"/>
              </w:rPr>
            </w:pPr>
            <w:r w:rsidRPr="008B13A5">
              <w:rPr>
                <w:noProof/>
                <w:sz w:val="18"/>
                <w:szCs w:val="18"/>
              </w:rPr>
              <w:t>Low</w:t>
            </w:r>
          </w:p>
        </w:tc>
      </w:tr>
      <w:tr w:rsidR="001060DE" w:rsidRPr="008B13A5" w14:paraId="39976EE5" w14:textId="77777777" w:rsidTr="001060DE">
        <w:trPr>
          <w:trHeight w:val="3742"/>
        </w:trPr>
        <w:tc>
          <w:tcPr>
            <w:tcW w:w="2531" w:type="dxa"/>
          </w:tcPr>
          <w:p w14:paraId="19685023" w14:textId="0F103FB7" w:rsidR="001060DE" w:rsidRPr="008B13A5" w:rsidRDefault="001060DE" w:rsidP="001060DE">
            <w:pPr>
              <w:spacing w:after="0"/>
              <w:jc w:val="left"/>
              <w:rPr>
                <w:noProof/>
                <w:sz w:val="18"/>
                <w:szCs w:val="18"/>
              </w:rPr>
            </w:pPr>
            <w:r w:rsidRPr="008B13A5">
              <w:rPr>
                <w:noProof/>
                <w:sz w:val="18"/>
                <w:szCs w:val="18"/>
              </w:rPr>
              <w:t>Relevance</w:t>
            </w:r>
          </w:p>
        </w:tc>
        <w:tc>
          <w:tcPr>
            <w:tcW w:w="1814" w:type="dxa"/>
          </w:tcPr>
          <w:p w14:paraId="51D71E23" w14:textId="3474B584" w:rsidR="001060DE" w:rsidRPr="008B13A5" w:rsidRDefault="001060DE" w:rsidP="001060DE">
            <w:pPr>
              <w:spacing w:after="0"/>
              <w:jc w:val="left"/>
              <w:rPr>
                <w:noProof/>
                <w:sz w:val="18"/>
                <w:szCs w:val="18"/>
              </w:rPr>
            </w:pPr>
            <w:r w:rsidRPr="008B13A5">
              <w:rPr>
                <w:noProof/>
                <w:sz w:val="18"/>
                <w:szCs w:val="18"/>
              </w:rPr>
              <w:t>Views on framework adequacy were mixed: only one quarter agreed the current framework sufficiently addresses supply-side vulnerabilities, while almost half disagreed. The Act’s scope is seen as too narrow, with excessive focus on production capacity over alignment with European industrial needs. Stakeholders identify an imbalance between leading-edge manufacturing support and mature nodes where demand is concentrated. Value-chain gaps in PCBs, packaging, back-end processes, and design s are under-addressed. For location decisions, funding access, administrative simplicity, and skilled workforce availability emerged as most important factors. Semiconductor equipment and mainstream chip manufacturing were identified as strongest areas for EU leadership potential, with defence/aerospace and automotive as priority end-user sectors.</w:t>
            </w:r>
          </w:p>
        </w:tc>
        <w:tc>
          <w:tcPr>
            <w:tcW w:w="1814" w:type="dxa"/>
          </w:tcPr>
          <w:p w14:paraId="44AC133C" w14:textId="72D70CD1" w:rsidR="001060DE" w:rsidRPr="008B13A5" w:rsidRDefault="001060DE" w:rsidP="001060DE">
            <w:pPr>
              <w:spacing w:after="0"/>
              <w:jc w:val="left"/>
              <w:rPr>
                <w:rFonts w:eastAsia="Aptos"/>
                <w:noProof/>
                <w:sz w:val="18"/>
                <w:szCs w:val="18"/>
              </w:rPr>
            </w:pPr>
            <w:r w:rsidRPr="008B13A5">
              <w:rPr>
                <w:rFonts w:eastAsia="Aptos"/>
                <w:noProof/>
                <w:sz w:val="18"/>
                <w:szCs w:val="18"/>
              </w:rPr>
              <w:t>Strong consensus on EU-level coordination: 86% for investment/ manufacturing, 81% for R&amp;D, 75% for monitoring. Supply chain stakeholders were the most supportive (100% for R&amp;D, 94% for investment). Lower support for monitoring among supply chain (62%) and industry users (57%), possibly reflecting concerns about reporting obligations. Lab-to-fab gap emerged as highest priority (83%); unanimous among industry users (100%). Skills shortages (80%), supply chain disruptions (78%), and energy costs (77%) widely Recognised. Regulatory barriers particularly concern supply chain actors (94%). RTOs and National Authorities both prioritised skills shortages (88% each).</w:t>
            </w:r>
          </w:p>
        </w:tc>
        <w:tc>
          <w:tcPr>
            <w:tcW w:w="1814" w:type="dxa"/>
          </w:tcPr>
          <w:p w14:paraId="186ABB91" w14:textId="3573E0BE" w:rsidR="001060DE" w:rsidRPr="008B13A5" w:rsidRDefault="001060DE" w:rsidP="001060DE">
            <w:pPr>
              <w:spacing w:after="0"/>
              <w:jc w:val="left"/>
              <w:rPr>
                <w:noProof/>
                <w:sz w:val="18"/>
                <w:szCs w:val="18"/>
              </w:rPr>
            </w:pPr>
            <w:r w:rsidRPr="008B13A5">
              <w:rPr>
                <w:noProof/>
                <w:sz w:val="18"/>
                <w:szCs w:val="18"/>
              </w:rPr>
              <w:t>The Chips Act addresses important needs, but its initial focus did not sufficiently reflect Europe’s structural strengths, long-term vulnerabilities, or global semiconductor market realities. Moreover, the Act lacked attention to emerging needs, particularly fabless design companies’ strategic roles, and did not adequately consider end-user industries or the broader supply chain, creating uncertainty for investors and leaving European strengths underexploited. A recurring theme in the interviews is the need to focus on Europe’s competitive advantages. The political emphasis on competing at the most advanced manufacturing nodes is unrealistic without far larger budgets.</w:t>
            </w:r>
          </w:p>
        </w:tc>
        <w:tc>
          <w:tcPr>
            <w:tcW w:w="1814" w:type="dxa"/>
          </w:tcPr>
          <w:p w14:paraId="51AA6A30" w14:textId="0A45E68B" w:rsidR="001060DE" w:rsidRPr="008B13A5" w:rsidRDefault="001060DE" w:rsidP="001060DE">
            <w:pPr>
              <w:spacing w:after="0"/>
              <w:jc w:val="left"/>
              <w:rPr>
                <w:noProof/>
                <w:sz w:val="18"/>
                <w:szCs w:val="18"/>
              </w:rPr>
            </w:pPr>
            <w:r w:rsidRPr="008B13A5">
              <w:rPr>
                <w:noProof/>
                <w:sz w:val="18"/>
                <w:szCs w:val="18"/>
              </w:rPr>
              <w:t>The Chips Act is relevant, in particular because of its investments in mature node production and in R&amp;D. Stakeholders emphasised the need to move from chip-centric focus to systemic approach including packaging, testing, and assembly. The Lab-to-Fab Gap persists, with pilot lines reaching TRL6 but lacking pathways to high-volume production. Critical across all sectors.</w:t>
            </w:r>
          </w:p>
        </w:tc>
        <w:tc>
          <w:tcPr>
            <w:tcW w:w="1287" w:type="dxa"/>
            <w:vAlign w:val="center"/>
          </w:tcPr>
          <w:p w14:paraId="5CA534C9" w14:textId="77777777" w:rsidR="001060DE" w:rsidRPr="008B13A5" w:rsidRDefault="001060DE" w:rsidP="001060DE">
            <w:pPr>
              <w:rPr>
                <w:noProof/>
                <w:sz w:val="18"/>
                <w:szCs w:val="18"/>
              </w:rPr>
            </w:pPr>
          </w:p>
          <w:p w14:paraId="11B89C57" w14:textId="48E6F8BB" w:rsidR="001060DE" w:rsidRPr="008B13A5" w:rsidRDefault="001060DE" w:rsidP="001060DE">
            <w:pPr>
              <w:rPr>
                <w:noProof/>
                <w:sz w:val="18"/>
                <w:szCs w:val="18"/>
              </w:rPr>
            </w:pPr>
            <w:r w:rsidRPr="008B13A5">
              <w:rPr>
                <w:noProof/>
                <w:sz w:val="18"/>
                <w:szCs w:val="18"/>
              </w:rPr>
              <w:t>High</w:t>
            </w:r>
          </w:p>
        </w:tc>
        <w:tc>
          <w:tcPr>
            <w:tcW w:w="1646" w:type="dxa"/>
            <w:vAlign w:val="center"/>
          </w:tcPr>
          <w:p w14:paraId="5FE1057C" w14:textId="77777777" w:rsidR="001060DE" w:rsidRPr="008B13A5" w:rsidRDefault="001060DE" w:rsidP="001060DE">
            <w:pPr>
              <w:rPr>
                <w:noProof/>
                <w:sz w:val="18"/>
                <w:szCs w:val="18"/>
              </w:rPr>
            </w:pPr>
          </w:p>
          <w:p w14:paraId="72527478" w14:textId="569C40EF" w:rsidR="001060DE" w:rsidRPr="008B13A5" w:rsidRDefault="001060DE" w:rsidP="001060DE">
            <w:pPr>
              <w:rPr>
                <w:noProof/>
                <w:sz w:val="18"/>
                <w:szCs w:val="18"/>
              </w:rPr>
            </w:pPr>
            <w:r w:rsidRPr="008B13A5">
              <w:rPr>
                <w:noProof/>
                <w:sz w:val="18"/>
                <w:szCs w:val="18"/>
              </w:rPr>
              <w:t>High</w:t>
            </w:r>
          </w:p>
        </w:tc>
        <w:tc>
          <w:tcPr>
            <w:tcW w:w="1417" w:type="dxa"/>
            <w:vAlign w:val="center"/>
          </w:tcPr>
          <w:p w14:paraId="4373F754" w14:textId="77777777" w:rsidR="001060DE" w:rsidRPr="008B13A5" w:rsidRDefault="001060DE" w:rsidP="001060DE">
            <w:pPr>
              <w:rPr>
                <w:noProof/>
                <w:sz w:val="18"/>
                <w:szCs w:val="18"/>
              </w:rPr>
            </w:pPr>
          </w:p>
          <w:p w14:paraId="604B08A4" w14:textId="52E41793" w:rsidR="001060DE" w:rsidRPr="008B13A5" w:rsidRDefault="001060DE" w:rsidP="001060DE">
            <w:pPr>
              <w:rPr>
                <w:noProof/>
                <w:sz w:val="18"/>
                <w:szCs w:val="18"/>
              </w:rPr>
            </w:pPr>
            <w:r w:rsidRPr="008B13A5">
              <w:rPr>
                <w:noProof/>
                <w:sz w:val="18"/>
                <w:szCs w:val="18"/>
              </w:rPr>
              <w:t>Low</w:t>
            </w:r>
          </w:p>
        </w:tc>
      </w:tr>
    </w:tbl>
    <w:p w14:paraId="0F432D6A" w14:textId="77777777" w:rsidR="00A36D94" w:rsidRPr="008B13A5" w:rsidRDefault="00A36D94" w:rsidP="009712FE">
      <w:pPr>
        <w:spacing w:after="0"/>
        <w:jc w:val="left"/>
        <w:rPr>
          <w:noProof/>
        </w:rPr>
      </w:pPr>
    </w:p>
    <w:p w14:paraId="65971C27" w14:textId="77777777" w:rsidR="00AA3F22" w:rsidRPr="008B13A5" w:rsidRDefault="00AA3F22" w:rsidP="009712FE">
      <w:pPr>
        <w:spacing w:after="0"/>
        <w:jc w:val="left"/>
        <w:rPr>
          <w:noProof/>
        </w:rPr>
        <w:sectPr w:rsidR="00AA3F22" w:rsidRPr="008B13A5" w:rsidSect="002761D1">
          <w:headerReference w:type="default" r:id="rId38"/>
          <w:footerReference w:type="default" r:id="rId39"/>
          <w:headerReference w:type="first" r:id="rId40"/>
          <w:footerReference w:type="first" r:id="rId41"/>
          <w:pgSz w:w="16838" w:h="11906" w:orient="landscape"/>
          <w:pgMar w:top="1134" w:right="1418" w:bottom="1418" w:left="1134" w:header="601" w:footer="1077" w:gutter="0"/>
          <w:cols w:space="720"/>
          <w:titlePg/>
          <w:docGrid w:linePitch="326"/>
        </w:sectPr>
      </w:pPr>
      <w:bookmarkStart w:id="98" w:name="_Toc195101106"/>
    </w:p>
    <w:p w14:paraId="39C202C8" w14:textId="13AE8282" w:rsidR="006B087E" w:rsidRPr="008B13A5" w:rsidRDefault="006B087E" w:rsidP="00C22AB4">
      <w:pPr>
        <w:pStyle w:val="AnnexTitle0"/>
        <w:rPr>
          <w:noProof/>
        </w:rPr>
      </w:pPr>
      <w:bookmarkStart w:id="99" w:name="_Toc230010399"/>
      <w:r w:rsidRPr="008B13A5">
        <w:rPr>
          <w:noProof/>
        </w:rPr>
        <w:t>Annex 3: Who is affected and how?</w:t>
      </w:r>
      <w:bookmarkEnd w:id="98"/>
      <w:bookmarkEnd w:id="99"/>
    </w:p>
    <w:p w14:paraId="62F17F15" w14:textId="1F31FCDB" w:rsidR="006B087E" w:rsidRPr="008B13A5" w:rsidRDefault="006B087E" w:rsidP="00F47256">
      <w:pPr>
        <w:pStyle w:val="Heading1"/>
        <w:numPr>
          <w:ilvl w:val="0"/>
          <w:numId w:val="77"/>
        </w:numPr>
        <w:rPr>
          <w:noProof/>
        </w:rPr>
      </w:pPr>
      <w:bookmarkStart w:id="100" w:name="_Toc195101107"/>
      <w:bookmarkStart w:id="101" w:name="_Toc230010400"/>
      <w:r w:rsidRPr="008B13A5">
        <w:rPr>
          <w:noProof/>
        </w:rPr>
        <w:t>Practical implications of the initiative</w:t>
      </w:r>
      <w:bookmarkEnd w:id="100"/>
      <w:bookmarkEnd w:id="101"/>
    </w:p>
    <w:p w14:paraId="5889743B" w14:textId="2A17C925" w:rsidR="002C37E7" w:rsidRPr="008B13A5" w:rsidRDefault="002C37E7" w:rsidP="002C37E7">
      <w:pPr>
        <w:rPr>
          <w:noProof/>
        </w:rPr>
      </w:pPr>
      <w:r w:rsidRPr="008B13A5">
        <w:rPr>
          <w:noProof/>
        </w:rPr>
        <w:t xml:space="preserve">The proposed initiative </w:t>
      </w:r>
      <w:r w:rsidR="00011336" w:rsidRPr="008B13A5">
        <w:rPr>
          <w:noProof/>
        </w:rPr>
        <w:t xml:space="preserve">would </w:t>
      </w:r>
      <w:r w:rsidRPr="008B13A5">
        <w:rPr>
          <w:noProof/>
        </w:rPr>
        <w:t>establish a regulatory framework to ensure the functioning of the internal market for semiconductors, secure the competitiveness of the sector, and strengthen the resilience of the semiconductor supply chain across the Union.</w:t>
      </w:r>
    </w:p>
    <w:p w14:paraId="2C3CF02C" w14:textId="6ADA862E" w:rsidR="002C37E7" w:rsidRPr="008B13A5" w:rsidRDefault="002C37E7" w:rsidP="002C37E7">
      <w:pPr>
        <w:rPr>
          <w:noProof/>
        </w:rPr>
      </w:pPr>
      <w:r w:rsidRPr="008B13A5">
        <w:rPr>
          <w:noProof/>
        </w:rPr>
        <w:t>The measures concern</w:t>
      </w:r>
      <w:r w:rsidR="005B18B4" w:rsidRPr="008B13A5">
        <w:rPr>
          <w:noProof/>
        </w:rPr>
        <w:t xml:space="preserve"> a few </w:t>
      </w:r>
      <w:r w:rsidRPr="008B13A5">
        <w:rPr>
          <w:noProof/>
        </w:rPr>
        <w:t xml:space="preserve">principal stakeholder groups: </w:t>
      </w:r>
      <w:r w:rsidR="002171C6" w:rsidRPr="008B13A5">
        <w:rPr>
          <w:noProof/>
        </w:rPr>
        <w:t>the semiconductor industry</w:t>
      </w:r>
      <w:r w:rsidR="00404234" w:rsidRPr="008B13A5">
        <w:rPr>
          <w:noProof/>
        </w:rPr>
        <w:t xml:space="preserve">, research </w:t>
      </w:r>
      <w:r w:rsidR="005B18B4" w:rsidRPr="008B13A5">
        <w:rPr>
          <w:noProof/>
        </w:rPr>
        <w:t xml:space="preserve">organisations and </w:t>
      </w:r>
      <w:r w:rsidRPr="008B13A5">
        <w:rPr>
          <w:noProof/>
        </w:rPr>
        <w:t>public authorities. On the</w:t>
      </w:r>
      <w:r w:rsidRPr="008B13A5" w:rsidDel="002171C6">
        <w:rPr>
          <w:noProof/>
        </w:rPr>
        <w:t xml:space="preserve"> </w:t>
      </w:r>
      <w:r w:rsidR="002171C6" w:rsidRPr="008B13A5">
        <w:rPr>
          <w:noProof/>
        </w:rPr>
        <w:t xml:space="preserve">industry </w:t>
      </w:r>
      <w:r w:rsidRPr="008B13A5">
        <w:rPr>
          <w:noProof/>
        </w:rPr>
        <w:t>side, the initiative covers a broad cross-section of the semiconductor value chain</w:t>
      </w:r>
      <w:r w:rsidR="002171C6" w:rsidRPr="008B13A5">
        <w:rPr>
          <w:noProof/>
        </w:rPr>
        <w:t>,</w:t>
      </w:r>
      <w:r w:rsidRPr="008B13A5" w:rsidDel="002171C6">
        <w:rPr>
          <w:noProof/>
        </w:rPr>
        <w:t xml:space="preserve"> </w:t>
      </w:r>
      <w:r w:rsidRPr="008B13A5">
        <w:rPr>
          <w:noProof/>
        </w:rPr>
        <w:t>including IDMs, fabless companies, design houses, equipment manufacturers, and suppliers</w:t>
      </w:r>
      <w:r w:rsidR="002171C6" w:rsidRPr="008B13A5">
        <w:rPr>
          <w:noProof/>
        </w:rPr>
        <w:t>,</w:t>
      </w:r>
      <w:r w:rsidRPr="008B13A5" w:rsidDel="002171C6">
        <w:rPr>
          <w:noProof/>
        </w:rPr>
        <w:t xml:space="preserve"> </w:t>
      </w:r>
      <w:r w:rsidRPr="008B13A5">
        <w:rPr>
          <w:noProof/>
        </w:rPr>
        <w:t xml:space="preserve">as well as industrial users in sectors such as automotive, telecom, healthcare, energy, industrial robotics, defence, and security. </w:t>
      </w:r>
      <w:r w:rsidR="008E1667" w:rsidRPr="008B13A5">
        <w:rPr>
          <w:noProof/>
        </w:rPr>
        <w:t xml:space="preserve">Research organisations refers to the wider research and innovation ecosystem including Research and Technology Organisations (RTOs), academia, and scientific associations. </w:t>
      </w:r>
      <w:r w:rsidRPr="008B13A5">
        <w:rPr>
          <w:noProof/>
        </w:rPr>
        <w:t>Public authorities encompass national competent authorities in Member States and regions</w:t>
      </w:r>
      <w:r w:rsidR="00237A0D" w:rsidRPr="008B13A5">
        <w:rPr>
          <w:noProof/>
        </w:rPr>
        <w:t xml:space="preserve"> and</w:t>
      </w:r>
      <w:r w:rsidRPr="008B13A5">
        <w:rPr>
          <w:noProof/>
        </w:rPr>
        <w:t xml:space="preserve"> the European Commission</w:t>
      </w:r>
      <w:r w:rsidR="00237A0D" w:rsidRPr="008B13A5">
        <w:rPr>
          <w:noProof/>
        </w:rPr>
        <w:t>.</w:t>
      </w:r>
      <w:r w:rsidRPr="008B13A5">
        <w:rPr>
          <w:noProof/>
        </w:rPr>
        <w:t xml:space="preserve"> </w:t>
      </w:r>
    </w:p>
    <w:p w14:paraId="38D6A1AD" w14:textId="5C5A8CB2" w:rsidR="002C37E7" w:rsidRPr="008B13A5" w:rsidRDefault="002C37E7" w:rsidP="002C37E7">
      <w:pPr>
        <w:rPr>
          <w:b/>
          <w:bCs/>
          <w:noProof/>
        </w:rPr>
      </w:pPr>
      <w:r w:rsidRPr="008B13A5">
        <w:rPr>
          <w:b/>
          <w:bCs/>
          <w:noProof/>
        </w:rPr>
        <w:t xml:space="preserve">Benefits to </w:t>
      </w:r>
      <w:r w:rsidR="00E91B57" w:rsidRPr="008B13A5">
        <w:rPr>
          <w:b/>
          <w:bCs/>
          <w:noProof/>
        </w:rPr>
        <w:t xml:space="preserve">industry </w:t>
      </w:r>
      <w:r w:rsidRPr="008B13A5">
        <w:rPr>
          <w:b/>
          <w:bCs/>
          <w:noProof/>
        </w:rPr>
        <w:t>and research organisations</w:t>
      </w:r>
    </w:p>
    <w:p w14:paraId="1D052D96" w14:textId="3A349C81" w:rsidR="002C37E7" w:rsidRPr="008B13A5" w:rsidRDefault="00911030" w:rsidP="002C37E7">
      <w:pPr>
        <w:rPr>
          <w:noProof/>
        </w:rPr>
      </w:pPr>
      <w:r w:rsidRPr="008B13A5">
        <w:rPr>
          <w:noProof/>
        </w:rPr>
        <w:t xml:space="preserve">Industry </w:t>
      </w:r>
      <w:r w:rsidR="002C37E7" w:rsidRPr="008B13A5">
        <w:rPr>
          <w:noProof/>
        </w:rPr>
        <w:t>and research organisations stand to benefit from enhanced regulatory predictability through a clarified F</w:t>
      </w:r>
      <w:r w:rsidR="00E91B57" w:rsidRPr="008B13A5">
        <w:rPr>
          <w:noProof/>
        </w:rPr>
        <w:t>oa</w:t>
      </w:r>
      <w:r w:rsidR="002C37E7" w:rsidRPr="008B13A5">
        <w:rPr>
          <w:noProof/>
        </w:rPr>
        <w:t xml:space="preserve">K framework, accelerated permitting procedures, and the establishment of a Chips Fund 2.0 targeting start-ups and scale-ups. These measures are designed to support capacity expansion by large firms while facilitating technology diffusion </w:t>
      </w:r>
      <w:r w:rsidRPr="008B13A5">
        <w:rPr>
          <w:noProof/>
        </w:rPr>
        <w:t xml:space="preserve">from the world of research </w:t>
      </w:r>
      <w:r w:rsidR="002C37E7" w:rsidRPr="008B13A5">
        <w:rPr>
          <w:noProof/>
        </w:rPr>
        <w:t>to SMEs</w:t>
      </w:r>
      <w:r w:rsidRPr="008B13A5">
        <w:rPr>
          <w:noProof/>
        </w:rPr>
        <w:t xml:space="preserve"> and the broader industry</w:t>
      </w:r>
      <w:r w:rsidR="004162CA" w:rsidRPr="008B13A5">
        <w:rPr>
          <w:noProof/>
        </w:rPr>
        <w:t xml:space="preserve"> thus</w:t>
      </w:r>
      <w:r w:rsidRPr="008B13A5">
        <w:rPr>
          <w:noProof/>
        </w:rPr>
        <w:t xml:space="preserve"> bridging the lab-to-fab gap</w:t>
      </w:r>
      <w:r w:rsidR="002C37E7" w:rsidRPr="008B13A5">
        <w:rPr>
          <w:noProof/>
        </w:rPr>
        <w:t xml:space="preserve">. The introduction of Strategic Projects and targeted demand-side measures would reduce investment risk for advanced facilities, stimulate demand for specialised inputs, and </w:t>
      </w:r>
      <w:r w:rsidR="00507D3C" w:rsidRPr="008B13A5">
        <w:rPr>
          <w:noProof/>
        </w:rPr>
        <w:t xml:space="preserve">improve </w:t>
      </w:r>
      <w:r w:rsidR="002C37E7" w:rsidRPr="008B13A5">
        <w:rPr>
          <w:noProof/>
        </w:rPr>
        <w:t>access to design and production capabilities. Proposed information-gathering measures would improve supply chain visibility across the value chain.</w:t>
      </w:r>
    </w:p>
    <w:p w14:paraId="6AB28EC2" w14:textId="14C0D085" w:rsidR="002C37E7" w:rsidRPr="008B13A5" w:rsidRDefault="009438E4" w:rsidP="002C37E7">
      <w:pPr>
        <w:rPr>
          <w:noProof/>
        </w:rPr>
      </w:pPr>
      <w:r w:rsidRPr="008B13A5">
        <w:rPr>
          <w:noProof/>
        </w:rPr>
        <w:t xml:space="preserve"> Furthermore, an example EUR 40 billion investment in Strategic Projects is estimated to generate EUR 6.6–11.5 billion in additional annual revenue for EU semiconductor manufacturers. </w:t>
      </w:r>
      <w:r w:rsidR="00735763" w:rsidRPr="008B13A5">
        <w:rPr>
          <w:noProof/>
        </w:rPr>
        <w:t>(see further detail in Annex 4)</w:t>
      </w:r>
      <w:r w:rsidR="002C37E7" w:rsidRPr="008B13A5">
        <w:rPr>
          <w:noProof/>
        </w:rPr>
        <w:t xml:space="preserve">. </w:t>
      </w:r>
    </w:p>
    <w:p w14:paraId="5F1B9C50" w14:textId="57B8F42D" w:rsidR="002C37E7" w:rsidRPr="008B13A5" w:rsidRDefault="002C37E7" w:rsidP="002C37E7">
      <w:pPr>
        <w:rPr>
          <w:noProof/>
        </w:rPr>
      </w:pPr>
      <w:r w:rsidRPr="008B13A5">
        <w:rPr>
          <w:noProof/>
        </w:rPr>
        <w:t xml:space="preserve">Demand-side measures are estimated to generate approximately EUR 0.35–0.46 billion in additional design-related demand for EU fabless firms in the AI Gigafactory context, assuming around 5% capture of the design value envelope, with further dynamic effects through scaling and learning. Innovation procurement (PM9) provides SMEs and start-ups with anchor customers, early revenues, and reference deployments: each euro of public demand is estimated to generate persistent revenue effects of up to EUR 0.5 and to crowd in approximately EUR 0.2 of private investment. </w:t>
      </w:r>
    </w:p>
    <w:p w14:paraId="4148A239" w14:textId="440C3AC9" w:rsidR="002C37E7" w:rsidRPr="008B13A5" w:rsidRDefault="002C37E7" w:rsidP="002C37E7">
      <w:pPr>
        <w:rPr>
          <w:noProof/>
        </w:rPr>
      </w:pPr>
      <w:r w:rsidRPr="008B13A5">
        <w:rPr>
          <w:noProof/>
        </w:rPr>
        <w:t xml:space="preserve">The </w:t>
      </w:r>
      <w:r w:rsidR="005826A6" w:rsidRPr="008B13A5">
        <w:rPr>
          <w:noProof/>
        </w:rPr>
        <w:t xml:space="preserve">proposed Business-to-Business </w:t>
      </w:r>
      <w:r w:rsidR="005E5870" w:rsidRPr="008B13A5">
        <w:rPr>
          <w:noProof/>
        </w:rPr>
        <w:t xml:space="preserve">Semiconductor Supply Chain </w:t>
      </w:r>
      <w:r w:rsidRPr="008B13A5">
        <w:rPr>
          <w:noProof/>
        </w:rPr>
        <w:t xml:space="preserve">Platform (PM5) delivers aggregated supply chain intelligence that would otherwise be prohibitively costly for individual firms to gather independently. Faster permitting (PM3) reduces delay-related capital costs </w:t>
      </w:r>
      <w:r w:rsidR="00263A85" w:rsidRPr="008B13A5">
        <w:rPr>
          <w:noProof/>
        </w:rPr>
        <w:t xml:space="preserve">by an </w:t>
      </w:r>
      <w:r w:rsidRPr="008B13A5">
        <w:rPr>
          <w:noProof/>
        </w:rPr>
        <w:t>estimated EUR 625 million for a representative EUR 20 billion fab.</w:t>
      </w:r>
    </w:p>
    <w:p w14:paraId="1A843389" w14:textId="4B6764E6" w:rsidR="002C37E7" w:rsidRPr="008B13A5" w:rsidRDefault="002C37E7" w:rsidP="002C37E7">
      <w:pPr>
        <w:rPr>
          <w:noProof/>
        </w:rPr>
      </w:pPr>
      <w:r w:rsidRPr="008B13A5">
        <w:rPr>
          <w:noProof/>
        </w:rPr>
        <w:t xml:space="preserve">Beyond direct financial returns, </w:t>
      </w:r>
      <w:r w:rsidR="00A5728C" w:rsidRPr="008B13A5">
        <w:rPr>
          <w:noProof/>
        </w:rPr>
        <w:t xml:space="preserve">end-users </w:t>
      </w:r>
      <w:r w:rsidRPr="008B13A5">
        <w:rPr>
          <w:noProof/>
        </w:rPr>
        <w:t>would benefit from enhanced Union-level preparedness, particularly during emergency situations, through improved availability of crisis-</w:t>
      </w:r>
      <w:r w:rsidR="00A5728C" w:rsidRPr="008B13A5">
        <w:rPr>
          <w:noProof/>
        </w:rPr>
        <w:t>prone</w:t>
      </w:r>
      <w:r w:rsidRPr="008B13A5" w:rsidDel="00A5728C">
        <w:rPr>
          <w:noProof/>
        </w:rPr>
        <w:t xml:space="preserve"> </w:t>
      </w:r>
      <w:r w:rsidR="00A5728C" w:rsidRPr="008B13A5">
        <w:rPr>
          <w:noProof/>
        </w:rPr>
        <w:t xml:space="preserve">semiconductors </w:t>
      </w:r>
      <w:r w:rsidRPr="008B13A5">
        <w:rPr>
          <w:noProof/>
        </w:rPr>
        <w:t>and more robust supply chain coordination mechanisms.</w:t>
      </w:r>
    </w:p>
    <w:p w14:paraId="5CB9C58A" w14:textId="3AEDD1FA" w:rsidR="002C37E7" w:rsidRPr="008B13A5" w:rsidRDefault="002C37E7" w:rsidP="002C37E7">
      <w:pPr>
        <w:rPr>
          <w:b/>
          <w:bCs/>
          <w:noProof/>
        </w:rPr>
      </w:pPr>
      <w:r w:rsidRPr="008B13A5">
        <w:rPr>
          <w:b/>
          <w:bCs/>
          <w:noProof/>
        </w:rPr>
        <w:t>Costs and compliance burdens</w:t>
      </w:r>
    </w:p>
    <w:p w14:paraId="6431C687" w14:textId="53D814D5" w:rsidR="002C37E7" w:rsidRPr="008B13A5" w:rsidRDefault="002C37E7" w:rsidP="002C37E7">
      <w:pPr>
        <w:rPr>
          <w:noProof/>
        </w:rPr>
      </w:pPr>
      <w:r w:rsidRPr="008B13A5">
        <w:rPr>
          <w:noProof/>
        </w:rPr>
        <w:t xml:space="preserve">Certain measures - particularly those aimed at supporting supply chain resilience </w:t>
      </w:r>
      <w:r w:rsidRPr="008B13A5" w:rsidDel="00250F20">
        <w:rPr>
          <w:noProof/>
        </w:rPr>
        <w:t>-</w:t>
      </w:r>
      <w:r w:rsidRPr="008B13A5">
        <w:rPr>
          <w:noProof/>
        </w:rPr>
        <w:t xml:space="preserve"> will also give rise to compliance costs. Large firms face one-off onboarding costs for the Platform (PM5) of approximately EUR 100,000 per firm, with recurrent annual costs of EUR 50,000. Across the 483 large firms in the EU semiconductor value chain, this corresponds to approximately</w:t>
      </w:r>
      <w:r w:rsidR="00E91906" w:rsidRPr="008B13A5">
        <w:rPr>
          <w:noProof/>
        </w:rPr>
        <w:t xml:space="preserve"> a</w:t>
      </w:r>
      <w:r w:rsidRPr="008B13A5">
        <w:rPr>
          <w:noProof/>
        </w:rPr>
        <w:t xml:space="preserve"> EUR 48 million one-off </w:t>
      </w:r>
      <w:r w:rsidR="00E91906" w:rsidRPr="008B13A5">
        <w:rPr>
          <w:noProof/>
        </w:rPr>
        <w:t xml:space="preserve">cost </w:t>
      </w:r>
      <w:r w:rsidRPr="008B13A5">
        <w:rPr>
          <w:noProof/>
        </w:rPr>
        <w:t xml:space="preserve">and EUR 24 million per year. </w:t>
      </w:r>
    </w:p>
    <w:p w14:paraId="649A07C0" w14:textId="1D9DC5C0" w:rsidR="002C37E7" w:rsidRPr="008B13A5" w:rsidRDefault="002C37E7" w:rsidP="002C37E7">
      <w:pPr>
        <w:rPr>
          <w:noProof/>
        </w:rPr>
      </w:pPr>
      <w:r w:rsidRPr="008B13A5">
        <w:rPr>
          <w:noProof/>
        </w:rPr>
        <w:t xml:space="preserve">Information requests (PM6) are estimated at up to 10 person-days per firm per request, equivalent to EUR 2,782 per firm and up to EUR 1.34 million sector-wide per crisis request. </w:t>
      </w:r>
    </w:p>
    <w:p w14:paraId="0428415F" w14:textId="61CED846" w:rsidR="002C37E7" w:rsidRPr="008B13A5" w:rsidRDefault="002C37E7" w:rsidP="002C37E7">
      <w:pPr>
        <w:rPr>
          <w:noProof/>
        </w:rPr>
      </w:pPr>
      <w:r w:rsidRPr="008B13A5">
        <w:rPr>
          <w:noProof/>
        </w:rPr>
        <w:t xml:space="preserve">Project reporting under PM8 and PM2 runs at 1–2% of project value per year; procurement participation under PM9 at approximately 1.05% of contract value; and certification costs under PM10 are incremental and largely absorbed within existing schemes. </w:t>
      </w:r>
    </w:p>
    <w:p w14:paraId="17608D37" w14:textId="19971FCA" w:rsidR="002C37E7" w:rsidRPr="008B13A5" w:rsidRDefault="002C37E7" w:rsidP="002C37E7">
      <w:pPr>
        <w:rPr>
          <w:noProof/>
        </w:rPr>
      </w:pPr>
      <w:r w:rsidRPr="008B13A5">
        <w:rPr>
          <w:noProof/>
        </w:rPr>
        <w:t>SMEs are fully exempt from reporting obligations, mitigating the risk of disproportionate administrative burdens on smaller actors. Proposed information-gathering measures may nonetheless result in additional obligations for SMEs unless proportionate mitigation mechanisms are applied in practice.</w:t>
      </w:r>
    </w:p>
    <w:p w14:paraId="6E163731" w14:textId="668120D5" w:rsidR="002C37E7" w:rsidRPr="008B13A5" w:rsidRDefault="002C37E7" w:rsidP="002C37E7">
      <w:pPr>
        <w:rPr>
          <w:noProof/>
        </w:rPr>
      </w:pPr>
      <w:r w:rsidRPr="008B13A5">
        <w:rPr>
          <w:noProof/>
        </w:rPr>
        <w:t>Taken together, the costs associated with these measures are substantially outweighed by the economic benefits</w:t>
      </w:r>
      <w:r w:rsidR="00AD7F0E" w:rsidRPr="008B13A5">
        <w:rPr>
          <w:noProof/>
        </w:rPr>
        <w:t xml:space="preserve"> brought by</w:t>
      </w:r>
      <w:r w:rsidRPr="008B13A5">
        <w:rPr>
          <w:noProof/>
        </w:rPr>
        <w:t xml:space="preserve"> improved supply chain resilience.</w:t>
      </w:r>
    </w:p>
    <w:p w14:paraId="65504630" w14:textId="69947599" w:rsidR="002C37E7" w:rsidRPr="008B13A5" w:rsidRDefault="002C37E7" w:rsidP="002C37E7">
      <w:pPr>
        <w:rPr>
          <w:b/>
          <w:bCs/>
          <w:noProof/>
        </w:rPr>
      </w:pPr>
      <w:r w:rsidRPr="008B13A5">
        <w:rPr>
          <w:b/>
          <w:bCs/>
          <w:noProof/>
        </w:rPr>
        <w:t>Impacts on public authorities</w:t>
      </w:r>
    </w:p>
    <w:p w14:paraId="53A19526" w14:textId="1513F211" w:rsidR="002C37E7" w:rsidRPr="008B13A5" w:rsidRDefault="002C37E7" w:rsidP="002C37E7">
      <w:pPr>
        <w:rPr>
          <w:noProof/>
        </w:rPr>
      </w:pPr>
      <w:r w:rsidRPr="008B13A5">
        <w:rPr>
          <w:noProof/>
        </w:rPr>
        <w:t xml:space="preserve">For public authorities, </w:t>
      </w:r>
      <w:r w:rsidR="00097322" w:rsidRPr="008B13A5">
        <w:rPr>
          <w:noProof/>
        </w:rPr>
        <w:t>Chips Act 2.0</w:t>
      </w:r>
      <w:r w:rsidRPr="008B13A5">
        <w:rPr>
          <w:noProof/>
        </w:rPr>
        <w:t xml:space="preserve"> clarifies the scope of permissible public support measures and </w:t>
      </w:r>
      <w:r w:rsidR="00097322" w:rsidRPr="008B13A5">
        <w:rPr>
          <w:noProof/>
        </w:rPr>
        <w:t xml:space="preserve">ensures that the </w:t>
      </w:r>
      <w:r w:rsidRPr="008B13A5">
        <w:rPr>
          <w:noProof/>
        </w:rPr>
        <w:t xml:space="preserve">current framework </w:t>
      </w:r>
      <w:r w:rsidR="00097322" w:rsidRPr="008B13A5">
        <w:rPr>
          <w:noProof/>
        </w:rPr>
        <w:t>is compatible with</w:t>
      </w:r>
      <w:r w:rsidRPr="008B13A5">
        <w:rPr>
          <w:noProof/>
        </w:rPr>
        <w:t xml:space="preserve"> </w:t>
      </w:r>
      <w:r w:rsidR="00097322" w:rsidRPr="008B13A5">
        <w:rPr>
          <w:noProof/>
        </w:rPr>
        <w:t xml:space="preserve">the </w:t>
      </w:r>
      <w:r w:rsidRPr="008B13A5">
        <w:rPr>
          <w:noProof/>
        </w:rPr>
        <w:t>co-financing of Strategic Projects from the Union budget. These changes are designed to foster more</w:t>
      </w:r>
      <w:r w:rsidRPr="008B13A5" w:rsidDel="001C1BB8">
        <w:rPr>
          <w:noProof/>
        </w:rPr>
        <w:t xml:space="preserve"> </w:t>
      </w:r>
      <w:r w:rsidR="001C1BB8" w:rsidRPr="008B13A5">
        <w:rPr>
          <w:noProof/>
        </w:rPr>
        <w:t xml:space="preserve">complementary </w:t>
      </w:r>
      <w:r w:rsidRPr="008B13A5">
        <w:rPr>
          <w:noProof/>
        </w:rPr>
        <w:t>and strategically oriented investments across the Union. Member States would also benefit from a strengthened Union-level crisis monitoring and preparedness mechanism, underpinned by a dedicated governance structure to ensure coordination within the single market. National public authorities are, however, expected to incur administrative and adjustment costs associated with assessing applications for support measures.</w:t>
      </w:r>
    </w:p>
    <w:p w14:paraId="78E3BA5A" w14:textId="3F29B4E5" w:rsidR="002C37E7" w:rsidRPr="008B13A5" w:rsidRDefault="002C37E7" w:rsidP="002C37E7">
      <w:pPr>
        <w:rPr>
          <w:noProof/>
        </w:rPr>
      </w:pPr>
      <w:r w:rsidRPr="008B13A5">
        <w:rPr>
          <w:noProof/>
        </w:rPr>
        <w:t xml:space="preserve">At EU level, implementation of the preferred option requires a one-off investment of approximately EUR </w:t>
      </w:r>
      <w:r w:rsidR="5C6C1D55" w:rsidRPr="008B13A5">
        <w:rPr>
          <w:noProof/>
        </w:rPr>
        <w:t>7</w:t>
      </w:r>
      <w:r w:rsidRPr="008B13A5">
        <w:rPr>
          <w:noProof/>
        </w:rPr>
        <w:t>0 million to develop the Business-to-Business</w:t>
      </w:r>
      <w:r w:rsidR="00513676" w:rsidRPr="008B13A5">
        <w:rPr>
          <w:noProof/>
        </w:rPr>
        <w:t xml:space="preserve"> Semiconductor Supply Chain</w:t>
      </w:r>
      <w:r w:rsidRPr="008B13A5">
        <w:rPr>
          <w:noProof/>
        </w:rPr>
        <w:t xml:space="preserve"> Platform (PM5), alongside staffing of </w:t>
      </w:r>
      <w:r w:rsidR="00D24AB2" w:rsidRPr="00BD008E">
        <w:rPr>
          <w:noProof/>
        </w:rPr>
        <w:t>19</w:t>
      </w:r>
      <w:r w:rsidRPr="008B13A5">
        <w:rPr>
          <w:noProof/>
        </w:rPr>
        <w:t xml:space="preserve"> FTEs</w:t>
      </w:r>
      <w:r w:rsidRPr="00BD008E">
        <w:rPr>
          <w:noProof/>
        </w:rPr>
        <w:t xml:space="preserve"> </w:t>
      </w:r>
      <w:r w:rsidR="00D93719" w:rsidRPr="00BD008E">
        <w:rPr>
          <w:noProof/>
        </w:rPr>
        <w:t>(additional and redeployment)</w:t>
      </w:r>
      <w:r w:rsidRPr="008B13A5">
        <w:rPr>
          <w:noProof/>
        </w:rPr>
        <w:t xml:space="preserve"> to administer Strategic Projects, operate the Platform, oversee information requirements, and manage innovation procurement. </w:t>
      </w:r>
      <w:r w:rsidR="00260548" w:rsidRPr="008B13A5">
        <w:rPr>
          <w:noProof/>
        </w:rPr>
        <w:t>Here, t</w:t>
      </w:r>
      <w:r w:rsidRPr="008B13A5">
        <w:rPr>
          <w:noProof/>
        </w:rPr>
        <w:t xml:space="preserve">otal </w:t>
      </w:r>
      <w:r w:rsidR="00780E45" w:rsidRPr="008B13A5">
        <w:rPr>
          <w:noProof/>
        </w:rPr>
        <w:t xml:space="preserve">annual </w:t>
      </w:r>
      <w:r w:rsidR="00260548" w:rsidRPr="008B13A5">
        <w:rPr>
          <w:noProof/>
        </w:rPr>
        <w:t xml:space="preserve">administrative </w:t>
      </w:r>
      <w:r w:rsidR="00DF7B76" w:rsidRPr="008B13A5">
        <w:rPr>
          <w:noProof/>
        </w:rPr>
        <w:t>c</w:t>
      </w:r>
      <w:r w:rsidRPr="008B13A5">
        <w:rPr>
          <w:noProof/>
        </w:rPr>
        <w:t xml:space="preserve">osts </w:t>
      </w:r>
      <w:r w:rsidR="00260548" w:rsidRPr="008B13A5">
        <w:rPr>
          <w:noProof/>
        </w:rPr>
        <w:t xml:space="preserve">for the Union </w:t>
      </w:r>
      <w:r w:rsidR="00DF7B76" w:rsidRPr="008B13A5">
        <w:rPr>
          <w:noProof/>
        </w:rPr>
        <w:t xml:space="preserve">are </w:t>
      </w:r>
      <w:r w:rsidRPr="008B13A5">
        <w:rPr>
          <w:noProof/>
        </w:rPr>
        <w:t xml:space="preserve">approximately EUR </w:t>
      </w:r>
      <w:r w:rsidR="00093E19" w:rsidRPr="00BD008E">
        <w:rPr>
          <w:noProof/>
        </w:rPr>
        <w:t xml:space="preserve">3 686 </w:t>
      </w:r>
      <w:r w:rsidRPr="008B13A5">
        <w:rPr>
          <w:noProof/>
        </w:rPr>
        <w:t>000</w:t>
      </w:r>
      <w:r w:rsidR="00F13AD7" w:rsidRPr="008B13A5">
        <w:rPr>
          <w:rStyle w:val="FootnoteReference"/>
          <w:noProof/>
        </w:rPr>
        <w:footnoteReference w:id="3"/>
      </w:r>
      <w:r w:rsidRPr="008B13A5">
        <w:rPr>
          <w:noProof/>
        </w:rPr>
        <w:t>.</w:t>
      </w:r>
    </w:p>
    <w:p w14:paraId="47148281" w14:textId="77777777" w:rsidR="00513676" w:rsidRPr="008B13A5" w:rsidRDefault="002C37E7" w:rsidP="002C37E7">
      <w:pPr>
        <w:rPr>
          <w:noProof/>
        </w:rPr>
      </w:pPr>
      <w:r w:rsidRPr="008B13A5">
        <w:rPr>
          <w:noProof/>
        </w:rPr>
        <w:t xml:space="preserve">The proposed framework would, for the first time, allow the EU budget to directly co-fund industrial-scale semiconductor manufacturing, design, and supply chain resilience activities, unlocking a coordinated, cross-border investment pipeline that goes beyond the reach of the current framework. </w:t>
      </w:r>
    </w:p>
    <w:p w14:paraId="337D9D7E" w14:textId="0BE07888" w:rsidR="002C37E7" w:rsidRPr="008B13A5" w:rsidRDefault="002C37E7" w:rsidP="002C37E7">
      <w:pPr>
        <w:rPr>
          <w:noProof/>
        </w:rPr>
      </w:pPr>
      <w:r w:rsidRPr="008B13A5">
        <w:rPr>
          <w:noProof/>
        </w:rPr>
        <w:t xml:space="preserve">Enhanced coordination of </w:t>
      </w:r>
      <w:r w:rsidR="004F528B" w:rsidRPr="008B13A5">
        <w:rPr>
          <w:noProof/>
        </w:rPr>
        <w:t xml:space="preserve">public </w:t>
      </w:r>
      <w:r w:rsidRPr="008B13A5">
        <w:rPr>
          <w:noProof/>
        </w:rPr>
        <w:t xml:space="preserve">support through Strategic Projects </w:t>
      </w:r>
      <w:r w:rsidRPr="008B13A5" w:rsidDel="00513676">
        <w:rPr>
          <w:noProof/>
        </w:rPr>
        <w:t xml:space="preserve">would </w:t>
      </w:r>
      <w:r w:rsidR="00513676" w:rsidRPr="008B13A5">
        <w:rPr>
          <w:noProof/>
        </w:rPr>
        <w:t>promote</w:t>
      </w:r>
      <w:r w:rsidRPr="008B13A5">
        <w:rPr>
          <w:noProof/>
        </w:rPr>
        <w:t xml:space="preserve"> deeper integration across design, manufacturing, and advanced packaging activities. Critically, access to supply chain information outside of a crisis context would allow the Commission to identify specific bottlenecks, dependencies, or disruptions before they reach crisis activation thresholds, thereby </w:t>
      </w:r>
      <w:r w:rsidR="00513676" w:rsidRPr="008B13A5">
        <w:rPr>
          <w:noProof/>
        </w:rPr>
        <w:t>shifting focus towards</w:t>
      </w:r>
      <w:r w:rsidRPr="008B13A5">
        <w:rPr>
          <w:noProof/>
        </w:rPr>
        <w:t xml:space="preserve"> proactive </w:t>
      </w:r>
      <w:r w:rsidR="00513676" w:rsidRPr="008B13A5">
        <w:rPr>
          <w:noProof/>
        </w:rPr>
        <w:t xml:space="preserve">anticipation </w:t>
      </w:r>
      <w:r w:rsidRPr="008B13A5">
        <w:rPr>
          <w:noProof/>
        </w:rPr>
        <w:t>and mitigation measures. The</w:t>
      </w:r>
      <w:r w:rsidR="00513676" w:rsidRPr="008B13A5">
        <w:rPr>
          <w:noProof/>
        </w:rPr>
        <w:t xml:space="preserve"> aforementioned</w:t>
      </w:r>
      <w:r w:rsidRPr="008B13A5">
        <w:rPr>
          <w:noProof/>
        </w:rPr>
        <w:t xml:space="preserve"> Platform and mandatory information tools (PM5, PM6) would give the Commission an early-warning and crisis-response capability that currently does not exist. </w:t>
      </w:r>
      <w:r w:rsidR="00710C2C" w:rsidRPr="008B13A5">
        <w:rPr>
          <w:noProof/>
        </w:rPr>
        <w:t>At the same time, a</w:t>
      </w:r>
      <w:r w:rsidRPr="008B13A5">
        <w:rPr>
          <w:noProof/>
        </w:rPr>
        <w:t>ppropriate safeguards would be applied throughout to ensure strict protection of business-confidential information, proportionality of requests, and full compliance with EU data protection and competition rules.</w:t>
      </w:r>
    </w:p>
    <w:p w14:paraId="750FB7CC" w14:textId="0CD4060C" w:rsidR="002C37E7" w:rsidRPr="008B13A5" w:rsidRDefault="002C37E7" w:rsidP="002C37E7">
      <w:pPr>
        <w:rPr>
          <w:noProof/>
        </w:rPr>
      </w:pPr>
      <w:r w:rsidRPr="008B13A5">
        <w:rPr>
          <w:noProof/>
        </w:rPr>
        <w:t xml:space="preserve">For Member States, </w:t>
      </w:r>
      <w:r w:rsidR="00933311" w:rsidRPr="008B13A5">
        <w:rPr>
          <w:noProof/>
        </w:rPr>
        <w:t xml:space="preserve">recurrent </w:t>
      </w:r>
      <w:r w:rsidRPr="008B13A5">
        <w:rPr>
          <w:noProof/>
        </w:rPr>
        <w:t xml:space="preserve">costs for </w:t>
      </w:r>
      <w:r w:rsidR="00933311" w:rsidRPr="008B13A5">
        <w:rPr>
          <w:noProof/>
        </w:rPr>
        <w:t>accelerating permitting</w:t>
      </w:r>
      <w:r w:rsidRPr="008B13A5">
        <w:rPr>
          <w:noProof/>
        </w:rPr>
        <w:t xml:space="preserve"> (PM3) and validation of mandatory information submissions (PM5, PM6) are moderate and largely absorbable within existing administrative structures. </w:t>
      </w:r>
    </w:p>
    <w:p w14:paraId="7C7819E9" w14:textId="2711C69C" w:rsidR="002C37E7" w:rsidRPr="008B13A5" w:rsidRDefault="002C37E7" w:rsidP="002C37E7">
      <w:pPr>
        <w:rPr>
          <w:b/>
          <w:bCs/>
          <w:noProof/>
        </w:rPr>
      </w:pPr>
      <w:r w:rsidRPr="008B13A5">
        <w:rPr>
          <w:b/>
          <w:bCs/>
          <w:noProof/>
        </w:rPr>
        <w:t>Impacts on society</w:t>
      </w:r>
    </w:p>
    <w:p w14:paraId="268707F1" w14:textId="49A4C3DF" w:rsidR="002C37E7" w:rsidRPr="008B13A5" w:rsidRDefault="002C37E7" w:rsidP="002C37E7">
      <w:pPr>
        <w:rPr>
          <w:noProof/>
        </w:rPr>
      </w:pPr>
      <w:r w:rsidRPr="008B13A5">
        <w:rPr>
          <w:noProof/>
        </w:rPr>
        <w:t xml:space="preserve">Society at large stands to benefit from wider availability of </w:t>
      </w:r>
      <w:r w:rsidR="003C17C1" w:rsidRPr="008B13A5">
        <w:rPr>
          <w:noProof/>
        </w:rPr>
        <w:t>supply of</w:t>
      </w:r>
      <w:r w:rsidRPr="008B13A5">
        <w:rPr>
          <w:noProof/>
        </w:rPr>
        <w:t xml:space="preserve"> both leading-edge and mainstream semiconductor technologies. Improved Union-level crisis preparedness would benefit consumers and citizens directly, including through better continuity of essential services such as healthcare, energy, communications, and defence during supply disruptions. Reduced reliance on concentrated third-country supply chains lowers the Union</w:t>
      </w:r>
      <w:r w:rsidR="00497125" w:rsidRPr="008B13A5">
        <w:rPr>
          <w:noProof/>
        </w:rPr>
        <w:t>’</w:t>
      </w:r>
      <w:r w:rsidRPr="008B13A5">
        <w:rPr>
          <w:noProof/>
        </w:rPr>
        <w:t xml:space="preserve">s exposure to geopolitical coercion and supply weaponisation. </w:t>
      </w:r>
      <w:r w:rsidR="00A57505" w:rsidRPr="008B13A5">
        <w:rPr>
          <w:noProof/>
        </w:rPr>
        <w:t>Domestic</w:t>
      </w:r>
      <w:r w:rsidRPr="008B13A5">
        <w:rPr>
          <w:noProof/>
        </w:rPr>
        <w:t xml:space="preserve"> sourcing criteria under PM10 reduce the risk of embedded vulnerabilities in critical systems. Citizens would also benefit as workers, with the creation of new high-skilled positions and increased labour mobility. Over time, a stronger EU semiconductor ecosystem is expected to contribute to greater product choice, higher quality, and more competitive pricing for all downstream users of semiconductor-enabled goods. No direct costs to citizens are anticipated. </w:t>
      </w:r>
    </w:p>
    <w:p w14:paraId="25486B9D" w14:textId="77777777" w:rsidR="002C37E7" w:rsidRPr="008B13A5" w:rsidRDefault="002C37E7" w:rsidP="002C37E7">
      <w:pPr>
        <w:rPr>
          <w:b/>
          <w:bCs/>
          <w:noProof/>
        </w:rPr>
      </w:pPr>
      <w:r w:rsidRPr="008B13A5">
        <w:rPr>
          <w:b/>
          <w:bCs/>
          <w:noProof/>
        </w:rPr>
        <w:t>Methodology</w:t>
      </w:r>
    </w:p>
    <w:p w14:paraId="79B6FBCC" w14:textId="58F36925" w:rsidR="00B44358" w:rsidRPr="008B13A5" w:rsidRDefault="002C37E7" w:rsidP="00BD008E">
      <w:pPr>
        <w:rPr>
          <w:noProof/>
        </w:rPr>
      </w:pPr>
      <w:r w:rsidRPr="008B13A5">
        <w:rPr>
          <w:noProof/>
        </w:rPr>
        <w:t>The assessment of impacts draws on multiple data sources, including the targeted stakeholder consultation</w:t>
      </w:r>
      <w:r w:rsidR="00E21BB5" w:rsidRPr="008B13A5">
        <w:rPr>
          <w:noProof/>
        </w:rPr>
        <w:t>,</w:t>
      </w:r>
      <w:r w:rsidRPr="008B13A5" w:rsidDel="00E21BB5">
        <w:rPr>
          <w:noProof/>
        </w:rPr>
        <w:t xml:space="preserve"> </w:t>
      </w:r>
      <w:r w:rsidRPr="008B13A5">
        <w:rPr>
          <w:noProof/>
        </w:rPr>
        <w:t>comprising interviews and surveys</w:t>
      </w:r>
      <w:r w:rsidR="00E21BB5" w:rsidRPr="008B13A5">
        <w:rPr>
          <w:noProof/>
        </w:rPr>
        <w:t>,</w:t>
      </w:r>
      <w:r w:rsidRPr="008B13A5" w:rsidDel="00E21BB5">
        <w:rPr>
          <w:noProof/>
        </w:rPr>
        <w:t xml:space="preserve"> </w:t>
      </w:r>
      <w:r w:rsidRPr="008B13A5">
        <w:rPr>
          <w:noProof/>
        </w:rPr>
        <w:t>the open public consultation, the Call for Evidence, and desk research. Where possible, impacts have been quantified on the basis of available assessments or modelling. Where dedicated modelling was not feasible due to data or tooling constraints, a qualitative assessment was carried out drawing on existing studies and stakeholder input. Further details on the methodological approach, including detailed tables and estimates, are provided in Annex 4.</w:t>
      </w:r>
    </w:p>
    <w:p w14:paraId="6CF91DC8" w14:textId="1F156B25" w:rsidR="006B087E" w:rsidRPr="008B13A5" w:rsidRDefault="00B44358" w:rsidP="00BD008E">
      <w:pPr>
        <w:pStyle w:val="Heading1"/>
        <w:rPr>
          <w:noProof/>
        </w:rPr>
      </w:pPr>
      <w:bookmarkStart w:id="102" w:name="_Toc230010401"/>
      <w:r w:rsidRPr="008B13A5">
        <w:rPr>
          <w:noProof/>
        </w:rPr>
        <w:t>Summary of costs and benefits</w:t>
      </w:r>
      <w:bookmarkEnd w:id="102"/>
    </w:p>
    <w:tbl>
      <w:tblPr>
        <w:tblStyle w:val="CV12"/>
        <w:tblW w:w="10206" w:type="dxa"/>
        <w:tblInd w:w="-510"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512"/>
        <w:gridCol w:w="2784"/>
        <w:gridCol w:w="4910"/>
      </w:tblGrid>
      <w:tr w:rsidR="00801268" w:rsidRPr="008B13A5" w14:paraId="77F98253" w14:textId="77777777" w:rsidTr="7D78EC0B">
        <w:tc>
          <w:tcPr>
            <w:tcW w:w="10206" w:type="dxa"/>
            <w:gridSpan w:val="3"/>
            <w:tcBorders>
              <w:top w:val="double" w:sz="4" w:space="0" w:color="auto"/>
              <w:bottom w:val="single" w:sz="4" w:space="0" w:color="auto"/>
            </w:tcBorders>
            <w:shd w:val="clear" w:color="auto" w:fill="C6D9F1" w:themeFill="text2" w:themeFillTint="33"/>
          </w:tcPr>
          <w:p w14:paraId="2BF88455" w14:textId="029EBA9B" w:rsidR="00801268" w:rsidRPr="008B13A5" w:rsidRDefault="00801268" w:rsidP="009D4C15">
            <w:pPr>
              <w:spacing w:after="0"/>
              <w:rPr>
                <w:b/>
                <w:noProof/>
                <w:sz w:val="20"/>
              </w:rPr>
            </w:pPr>
            <w:r w:rsidRPr="008B13A5">
              <w:rPr>
                <w:b/>
                <w:noProof/>
                <w:sz w:val="20"/>
              </w:rPr>
              <w:t>I. Overview of Benefits (total for all provisions) – Preferred Option</w:t>
            </w:r>
          </w:p>
        </w:tc>
      </w:tr>
      <w:tr w:rsidR="00801268" w:rsidRPr="008B13A5" w14:paraId="630D315E" w14:textId="77777777" w:rsidTr="0000292A">
        <w:tc>
          <w:tcPr>
            <w:tcW w:w="2512" w:type="dxa"/>
            <w:tcBorders>
              <w:top w:val="single" w:sz="4" w:space="0" w:color="auto"/>
            </w:tcBorders>
            <w:shd w:val="clear" w:color="auto" w:fill="C6D9F1" w:themeFill="text2" w:themeFillTint="33"/>
          </w:tcPr>
          <w:p w14:paraId="3A099500" w14:textId="77777777" w:rsidR="00801268" w:rsidRPr="008B13A5" w:rsidRDefault="00801268" w:rsidP="009D4C15">
            <w:pPr>
              <w:spacing w:after="0"/>
              <w:jc w:val="center"/>
              <w:rPr>
                <w:b/>
                <w:i/>
                <w:noProof/>
                <w:sz w:val="20"/>
              </w:rPr>
            </w:pPr>
            <w:r w:rsidRPr="008B13A5">
              <w:rPr>
                <w:b/>
                <w:i/>
                <w:noProof/>
                <w:sz w:val="20"/>
              </w:rPr>
              <w:t>Description</w:t>
            </w:r>
          </w:p>
        </w:tc>
        <w:tc>
          <w:tcPr>
            <w:tcW w:w="2784" w:type="dxa"/>
            <w:tcBorders>
              <w:top w:val="single" w:sz="4" w:space="0" w:color="auto"/>
            </w:tcBorders>
            <w:shd w:val="clear" w:color="auto" w:fill="C6D9F1" w:themeFill="text2" w:themeFillTint="33"/>
          </w:tcPr>
          <w:p w14:paraId="1CA5FBBE" w14:textId="77777777" w:rsidR="00801268" w:rsidRPr="008B13A5" w:rsidRDefault="00801268" w:rsidP="009D4C15">
            <w:pPr>
              <w:spacing w:after="0"/>
              <w:jc w:val="center"/>
              <w:rPr>
                <w:b/>
                <w:i/>
                <w:noProof/>
                <w:sz w:val="20"/>
              </w:rPr>
            </w:pPr>
            <w:r w:rsidRPr="008B13A5">
              <w:rPr>
                <w:b/>
                <w:i/>
                <w:noProof/>
                <w:sz w:val="20"/>
              </w:rPr>
              <w:t>Amount</w:t>
            </w:r>
          </w:p>
        </w:tc>
        <w:tc>
          <w:tcPr>
            <w:tcW w:w="4910" w:type="dxa"/>
            <w:tcBorders>
              <w:top w:val="single" w:sz="4" w:space="0" w:color="auto"/>
            </w:tcBorders>
            <w:shd w:val="clear" w:color="auto" w:fill="C6D9F1" w:themeFill="text2" w:themeFillTint="33"/>
            <w:tcMar>
              <w:top w:w="57" w:type="dxa"/>
              <w:left w:w="57" w:type="dxa"/>
              <w:bottom w:w="57" w:type="dxa"/>
              <w:right w:w="57" w:type="dxa"/>
            </w:tcMar>
          </w:tcPr>
          <w:p w14:paraId="26B75A3A" w14:textId="77777777" w:rsidR="00801268" w:rsidRPr="008B13A5" w:rsidRDefault="00801268" w:rsidP="009D4C15">
            <w:pPr>
              <w:spacing w:after="0"/>
              <w:jc w:val="center"/>
              <w:rPr>
                <w:b/>
                <w:i/>
                <w:noProof/>
                <w:sz w:val="20"/>
              </w:rPr>
            </w:pPr>
            <w:r w:rsidRPr="008B13A5">
              <w:rPr>
                <w:b/>
                <w:i/>
                <w:noProof/>
                <w:sz w:val="20"/>
              </w:rPr>
              <w:t>Comments</w:t>
            </w:r>
          </w:p>
        </w:tc>
      </w:tr>
      <w:tr w:rsidR="00801268" w:rsidRPr="008B13A5" w14:paraId="09ACB1A8" w14:textId="77777777" w:rsidTr="7D78EC0B">
        <w:tc>
          <w:tcPr>
            <w:tcW w:w="10206" w:type="dxa"/>
            <w:gridSpan w:val="3"/>
            <w:tcBorders>
              <w:top w:val="double" w:sz="4" w:space="0" w:color="auto"/>
            </w:tcBorders>
            <w:shd w:val="clear" w:color="auto" w:fill="F2F2F2" w:themeFill="background1" w:themeFillShade="F2"/>
          </w:tcPr>
          <w:p w14:paraId="0C2BDC3C" w14:textId="528B7A58" w:rsidR="00801268" w:rsidRPr="008B13A5" w:rsidRDefault="00801268" w:rsidP="009D4C15">
            <w:pPr>
              <w:spacing w:after="0"/>
              <w:jc w:val="center"/>
              <w:rPr>
                <w:b/>
                <w:i/>
                <w:noProof/>
                <w:sz w:val="20"/>
              </w:rPr>
            </w:pPr>
            <w:r w:rsidRPr="008B13A5">
              <w:rPr>
                <w:b/>
                <w:i/>
                <w:noProof/>
                <w:sz w:val="20"/>
              </w:rPr>
              <w:t>Direct benefits</w:t>
            </w:r>
          </w:p>
        </w:tc>
      </w:tr>
      <w:tr w:rsidR="00657543" w:rsidRPr="008B13A5" w14:paraId="602CB336" w14:textId="77777777" w:rsidTr="0000292A">
        <w:tc>
          <w:tcPr>
            <w:tcW w:w="2512" w:type="dxa"/>
            <w:tcBorders>
              <w:top w:val="double" w:sz="4" w:space="0" w:color="auto"/>
            </w:tcBorders>
          </w:tcPr>
          <w:p w14:paraId="412834ED" w14:textId="2D37843F" w:rsidR="00657543" w:rsidRPr="008B13A5" w:rsidRDefault="00657543" w:rsidP="00C60C93">
            <w:pPr>
              <w:spacing w:after="0"/>
              <w:rPr>
                <w:noProof/>
                <w:sz w:val="20"/>
              </w:rPr>
            </w:pPr>
            <w:r w:rsidRPr="008B13A5">
              <w:rPr>
                <w:noProof/>
                <w:sz w:val="20"/>
              </w:rPr>
              <w:t>Structural expansion and rebalancing of the EU semiconductor industrial base</w:t>
            </w:r>
          </w:p>
        </w:tc>
        <w:tc>
          <w:tcPr>
            <w:tcW w:w="2784" w:type="dxa"/>
            <w:tcBorders>
              <w:top w:val="double" w:sz="4" w:space="0" w:color="auto"/>
            </w:tcBorders>
            <w:tcMar>
              <w:top w:w="57" w:type="dxa"/>
              <w:left w:w="57" w:type="dxa"/>
              <w:bottom w:w="57" w:type="dxa"/>
              <w:right w:w="57" w:type="dxa"/>
            </w:tcMar>
          </w:tcPr>
          <w:p w14:paraId="78254B80" w14:textId="3CB7C26A" w:rsidR="00657543" w:rsidRPr="008B13A5" w:rsidRDefault="00657543" w:rsidP="00657543">
            <w:pPr>
              <w:rPr>
                <w:noProof/>
                <w:sz w:val="20"/>
              </w:rPr>
            </w:pPr>
            <w:r w:rsidRPr="008B13A5">
              <w:rPr>
                <w:noProof/>
                <w:sz w:val="20"/>
              </w:rPr>
              <w:t>Qualitative and quantitative; high strategic significance</w:t>
            </w:r>
          </w:p>
          <w:p w14:paraId="3E833918" w14:textId="75C52F02" w:rsidR="00657543" w:rsidRPr="008B13A5" w:rsidRDefault="00657543" w:rsidP="00657543">
            <w:pPr>
              <w:spacing w:after="0"/>
              <w:rPr>
                <w:noProof/>
                <w:sz w:val="20"/>
              </w:rPr>
            </w:pPr>
            <w:r w:rsidRPr="008B13A5">
              <w:rPr>
                <w:noProof/>
                <w:sz w:val="20"/>
              </w:rPr>
              <w:t>EUR 6.6</w:t>
            </w:r>
            <w:r w:rsidR="00574734" w:rsidRPr="008B13A5">
              <w:rPr>
                <w:noProof/>
                <w:sz w:val="20"/>
              </w:rPr>
              <w:t>-</w:t>
            </w:r>
            <w:r w:rsidRPr="008B13A5">
              <w:rPr>
                <w:noProof/>
                <w:sz w:val="20"/>
              </w:rPr>
              <w:t>11.5 billion additional annual manufacturing revenue; up to EUR 7</w:t>
            </w:r>
            <w:r w:rsidR="00574734" w:rsidRPr="008B13A5">
              <w:rPr>
                <w:noProof/>
                <w:sz w:val="20"/>
              </w:rPr>
              <w:t>-</w:t>
            </w:r>
            <w:r w:rsidRPr="008B13A5">
              <w:rPr>
                <w:noProof/>
                <w:sz w:val="20"/>
              </w:rPr>
              <w:t>9 billion potential design revenues</w:t>
            </w:r>
          </w:p>
        </w:tc>
        <w:tc>
          <w:tcPr>
            <w:tcW w:w="4910" w:type="dxa"/>
            <w:tcBorders>
              <w:top w:val="double" w:sz="4" w:space="0" w:color="auto"/>
            </w:tcBorders>
            <w:tcMar>
              <w:top w:w="57" w:type="dxa"/>
              <w:left w:w="57" w:type="dxa"/>
              <w:bottom w:w="57" w:type="dxa"/>
              <w:right w:w="57" w:type="dxa"/>
            </w:tcMar>
          </w:tcPr>
          <w:p w14:paraId="106FF76A" w14:textId="015CA70B" w:rsidR="00657543" w:rsidRPr="008B13A5" w:rsidRDefault="008518A4" w:rsidP="00657543">
            <w:pPr>
              <w:rPr>
                <w:noProof/>
                <w:sz w:val="20"/>
              </w:rPr>
            </w:pPr>
            <w:r w:rsidRPr="008B13A5">
              <w:rPr>
                <w:noProof/>
                <w:sz w:val="20"/>
              </w:rPr>
              <w:t xml:space="preserve">Assuming EUR 15 billion in public support, </w:t>
            </w:r>
            <w:r w:rsidR="00657543" w:rsidRPr="008B13A5">
              <w:rPr>
                <w:noProof/>
                <w:sz w:val="20"/>
              </w:rPr>
              <w:t xml:space="preserve">PO2 increases EU semiconductor manufacturing capacity through Strategic Projects, generating an estimated EUR 6.6–11.5 billion in additional annual revenue depending on the technology mix. </w:t>
            </w:r>
            <w:r w:rsidR="007F7792" w:rsidRPr="008B13A5">
              <w:rPr>
                <w:noProof/>
                <w:sz w:val="20"/>
              </w:rPr>
              <w:t>Furthermore</w:t>
            </w:r>
            <w:r w:rsidR="00657543" w:rsidRPr="008B13A5">
              <w:rPr>
                <w:noProof/>
                <w:sz w:val="20"/>
              </w:rPr>
              <w:t>, capacity expansion is estimated at approximately 108,000 to 222,000 wafers per month</w:t>
            </w:r>
            <w:r w:rsidR="007F7792" w:rsidRPr="008B13A5">
              <w:rPr>
                <w:noProof/>
                <w:sz w:val="20"/>
              </w:rPr>
              <w:t>.</w:t>
            </w:r>
          </w:p>
          <w:p w14:paraId="3273461F" w14:textId="5A810E49" w:rsidR="00657543" w:rsidRPr="008B13A5" w:rsidRDefault="00657543" w:rsidP="00657543">
            <w:pPr>
              <w:rPr>
                <w:noProof/>
                <w:sz w:val="20"/>
              </w:rPr>
            </w:pPr>
            <w:r w:rsidRPr="008B13A5">
              <w:rPr>
                <w:noProof/>
                <w:sz w:val="20"/>
              </w:rPr>
              <w:t>In addition, expanded manufacturing capacity generates recurring fiscal returns for Member States. Applying a value-added ratio of 34% and an average fiscal capture rate of 16.5%, annual direct tax revenues are estimated at EUR 380</w:t>
            </w:r>
            <w:r w:rsidR="007F7792" w:rsidRPr="008B13A5">
              <w:rPr>
                <w:noProof/>
                <w:sz w:val="20"/>
              </w:rPr>
              <w:t>-</w:t>
            </w:r>
            <w:r w:rsidRPr="008B13A5">
              <w:rPr>
                <w:noProof/>
                <w:sz w:val="20"/>
              </w:rPr>
              <w:t>662 million once full operational capacity is reached.</w:t>
            </w:r>
          </w:p>
          <w:p w14:paraId="0B55D7F9" w14:textId="2E4420DE" w:rsidR="00657543" w:rsidRPr="008B13A5" w:rsidRDefault="00657543" w:rsidP="00657543">
            <w:pPr>
              <w:rPr>
                <w:noProof/>
                <w:sz w:val="20"/>
              </w:rPr>
            </w:pPr>
            <w:r w:rsidRPr="008B13A5">
              <w:rPr>
                <w:noProof/>
                <w:sz w:val="20"/>
              </w:rPr>
              <w:t>In parallel,</w:t>
            </w:r>
            <w:r w:rsidRPr="008B13A5" w:rsidDel="009E24D2">
              <w:rPr>
                <w:noProof/>
                <w:sz w:val="20"/>
              </w:rPr>
              <w:t xml:space="preserve"> </w:t>
            </w:r>
            <w:r w:rsidRPr="008B13A5">
              <w:rPr>
                <w:noProof/>
                <w:sz w:val="20"/>
              </w:rPr>
              <w:t xml:space="preserve">demand-side measures </w:t>
            </w:r>
            <w:r w:rsidR="009E24D2" w:rsidRPr="008B13A5">
              <w:rPr>
                <w:noProof/>
                <w:sz w:val="20"/>
              </w:rPr>
              <w:t xml:space="preserve">such as innovation procurement </w:t>
            </w:r>
            <w:r w:rsidRPr="008B13A5">
              <w:rPr>
                <w:noProof/>
                <w:sz w:val="20"/>
              </w:rPr>
              <w:t xml:space="preserve">may </w:t>
            </w:r>
            <w:r w:rsidR="009E24D2" w:rsidRPr="008B13A5">
              <w:rPr>
                <w:noProof/>
                <w:sz w:val="20"/>
              </w:rPr>
              <w:t xml:space="preserve">in the short- term </w:t>
            </w:r>
            <w:r w:rsidRPr="008B13A5">
              <w:rPr>
                <w:noProof/>
                <w:sz w:val="20"/>
              </w:rPr>
              <w:t>generate approximately EUR 0.35–0.46 billion in additional design-related demand for EU-based fabless semiconductor firms</w:t>
            </w:r>
            <w:r w:rsidR="00F029B4" w:rsidRPr="008B13A5">
              <w:rPr>
                <w:noProof/>
                <w:sz w:val="20"/>
              </w:rPr>
              <w:t>,</w:t>
            </w:r>
            <w:r w:rsidRPr="008B13A5" w:rsidDel="00F029B4">
              <w:rPr>
                <w:noProof/>
                <w:sz w:val="20"/>
              </w:rPr>
              <w:t xml:space="preserve"> </w:t>
            </w:r>
            <w:r w:rsidRPr="008B13A5">
              <w:rPr>
                <w:noProof/>
                <w:sz w:val="20"/>
              </w:rPr>
              <w:t>with further indirect benefits through learning effects, scaling and improved investment conditions.</w:t>
            </w:r>
          </w:p>
          <w:p w14:paraId="4B32351F" w14:textId="2E4D4C7E" w:rsidR="00657543" w:rsidRPr="008B13A5" w:rsidRDefault="00657543" w:rsidP="00657543">
            <w:pPr>
              <w:spacing w:after="0"/>
              <w:rPr>
                <w:noProof/>
                <w:sz w:val="20"/>
              </w:rPr>
            </w:pPr>
            <w:r w:rsidRPr="008B13A5">
              <w:rPr>
                <w:i/>
                <w:noProof/>
                <w:sz w:val="20"/>
              </w:rPr>
              <w:t>Main beneficiaries: EU industry</w:t>
            </w:r>
            <w:r w:rsidRPr="008B13A5">
              <w:rPr>
                <w:i/>
                <w:iCs/>
                <w:noProof/>
                <w:sz w:val="20"/>
              </w:rPr>
              <w:t xml:space="preserve"> (fabless firms, foundries, end using industry)</w:t>
            </w:r>
            <w:r w:rsidRPr="008B13A5">
              <w:rPr>
                <w:i/>
                <w:noProof/>
                <w:sz w:val="20"/>
              </w:rPr>
              <w:t>, Member States.</w:t>
            </w:r>
          </w:p>
        </w:tc>
      </w:tr>
      <w:tr w:rsidR="00657543" w:rsidRPr="008B13A5" w14:paraId="3256E675" w14:textId="77777777" w:rsidTr="0000292A">
        <w:tc>
          <w:tcPr>
            <w:tcW w:w="2512" w:type="dxa"/>
            <w:tcBorders>
              <w:bottom w:val="double" w:sz="4" w:space="0" w:color="auto"/>
            </w:tcBorders>
          </w:tcPr>
          <w:p w14:paraId="2DE40D5D" w14:textId="3B86E22F" w:rsidR="00657543" w:rsidRPr="008B13A5" w:rsidRDefault="00657543" w:rsidP="00657543">
            <w:pPr>
              <w:spacing w:after="0"/>
              <w:rPr>
                <w:noProof/>
                <w:sz w:val="20"/>
              </w:rPr>
            </w:pPr>
            <w:r w:rsidRPr="008B13A5">
              <w:rPr>
                <w:noProof/>
                <w:sz w:val="20"/>
              </w:rPr>
              <w:t>Enhanced investment viability and capital efficiency for large-scale semiconductor projects</w:t>
            </w:r>
          </w:p>
        </w:tc>
        <w:tc>
          <w:tcPr>
            <w:tcW w:w="2784" w:type="dxa"/>
            <w:tcBorders>
              <w:bottom w:val="double" w:sz="4" w:space="0" w:color="auto"/>
            </w:tcBorders>
            <w:tcMar>
              <w:top w:w="57" w:type="dxa"/>
              <w:left w:w="57" w:type="dxa"/>
              <w:bottom w:w="57" w:type="dxa"/>
              <w:right w:w="57" w:type="dxa"/>
            </w:tcMar>
          </w:tcPr>
          <w:p w14:paraId="65544459" w14:textId="78B6CB66" w:rsidR="00657543" w:rsidRPr="008B13A5" w:rsidRDefault="00657543" w:rsidP="00657543">
            <w:pPr>
              <w:rPr>
                <w:noProof/>
                <w:sz w:val="20"/>
              </w:rPr>
            </w:pPr>
            <w:r w:rsidRPr="008B13A5">
              <w:rPr>
                <w:noProof/>
                <w:sz w:val="20"/>
              </w:rPr>
              <w:t>Quantitative and qualitative; high significance</w:t>
            </w:r>
          </w:p>
          <w:p w14:paraId="20E16E19" w14:textId="220B102C" w:rsidR="00657543" w:rsidRPr="008B13A5" w:rsidRDefault="00657543" w:rsidP="00657543">
            <w:pPr>
              <w:spacing w:after="0"/>
              <w:rPr>
                <w:noProof/>
                <w:sz w:val="20"/>
              </w:rPr>
            </w:pPr>
            <w:r w:rsidRPr="008B13A5">
              <w:rPr>
                <w:noProof/>
                <w:sz w:val="20"/>
              </w:rPr>
              <w:t>Indicative avoided delay costs of ~EUR 600–650 million per EUR 20 billion fab</w:t>
            </w:r>
          </w:p>
        </w:tc>
        <w:tc>
          <w:tcPr>
            <w:tcW w:w="4910" w:type="dxa"/>
            <w:tcBorders>
              <w:bottom w:val="double" w:sz="4" w:space="0" w:color="auto"/>
            </w:tcBorders>
            <w:tcMar>
              <w:top w:w="57" w:type="dxa"/>
              <w:left w:w="57" w:type="dxa"/>
              <w:bottom w:w="57" w:type="dxa"/>
              <w:right w:w="57" w:type="dxa"/>
            </w:tcMar>
          </w:tcPr>
          <w:p w14:paraId="5A840197" w14:textId="00D72153" w:rsidR="00657543" w:rsidRPr="008B13A5" w:rsidRDefault="00657543" w:rsidP="00657543">
            <w:pPr>
              <w:rPr>
                <w:noProof/>
                <w:sz w:val="20"/>
              </w:rPr>
            </w:pPr>
            <w:r w:rsidRPr="008B13A5">
              <w:rPr>
                <w:noProof/>
                <w:sz w:val="20"/>
              </w:rPr>
              <w:t>Under PO2, EU co-funding, alignment of F</w:t>
            </w:r>
            <w:r w:rsidR="00C60C93" w:rsidRPr="008B13A5">
              <w:rPr>
                <w:noProof/>
                <w:sz w:val="20"/>
              </w:rPr>
              <w:t>oa</w:t>
            </w:r>
            <w:r w:rsidRPr="008B13A5">
              <w:rPr>
                <w:noProof/>
                <w:sz w:val="20"/>
              </w:rPr>
              <w:t xml:space="preserve">K/IPF/OEF procedures, fast-track permitting and demand-side measures jointly improve the bankability of </w:t>
            </w:r>
            <w:r w:rsidRPr="008B13A5" w:rsidDel="000D42FB">
              <w:rPr>
                <w:noProof/>
                <w:sz w:val="20"/>
              </w:rPr>
              <w:t>large</w:t>
            </w:r>
            <w:r w:rsidR="000D42FB" w:rsidRPr="008B13A5">
              <w:rPr>
                <w:noProof/>
                <w:sz w:val="20"/>
              </w:rPr>
              <w:t>-scale</w:t>
            </w:r>
            <w:r w:rsidR="006E7FCC" w:rsidRPr="008B13A5">
              <w:rPr>
                <w:noProof/>
                <w:sz w:val="20"/>
              </w:rPr>
              <w:t xml:space="preserve"> </w:t>
            </w:r>
            <w:r w:rsidRPr="008B13A5">
              <w:rPr>
                <w:noProof/>
                <w:sz w:val="20"/>
              </w:rPr>
              <w:t>semiconductor projects.</w:t>
            </w:r>
          </w:p>
          <w:p w14:paraId="153DF1C6" w14:textId="5826152A" w:rsidR="00657543" w:rsidRPr="008B13A5" w:rsidRDefault="00657543" w:rsidP="00657543">
            <w:pPr>
              <w:rPr>
                <w:noProof/>
                <w:sz w:val="20"/>
              </w:rPr>
            </w:pPr>
            <w:r w:rsidRPr="008B13A5">
              <w:rPr>
                <w:noProof/>
                <w:sz w:val="20"/>
              </w:rPr>
              <w:t xml:space="preserve">EU co-funding lowers the effective cost of capital, and shortens time to break even. Demand-side instruments such as innovation-oriented public procurement increase revenue predictability. Empirical evidence suggests that each euro of public demand can generate persistent revenue effects of up to EUR 0.5 and crowd in approximately EUR 0.2 of additional private investment. </w:t>
            </w:r>
          </w:p>
          <w:p w14:paraId="0470EC56" w14:textId="7B88D9E8" w:rsidR="00657543" w:rsidRPr="008B13A5" w:rsidRDefault="00657543" w:rsidP="00657543">
            <w:pPr>
              <w:rPr>
                <w:noProof/>
                <w:sz w:val="20"/>
              </w:rPr>
            </w:pPr>
            <w:r w:rsidRPr="008B13A5">
              <w:rPr>
                <w:noProof/>
                <w:sz w:val="20"/>
              </w:rPr>
              <w:t>Streamlined and faster permitting further reduces delay-related capital costs. Permitting and design phases in the EU are on average around 7.5 months longer than in leading Asian jurisdictions. Assuming that each year of delay increases total project costs by approximately 5%, this corresponds to an additional cost of around 3.1% of total investment, or approximately EUR 625 million for a representative EUR 20 billion advanced fabrication plant.</w:t>
            </w:r>
          </w:p>
          <w:p w14:paraId="7B274394" w14:textId="3D69AFD6" w:rsidR="00657543" w:rsidRPr="008B13A5" w:rsidRDefault="00657543" w:rsidP="00657543">
            <w:pPr>
              <w:rPr>
                <w:noProof/>
                <w:sz w:val="20"/>
              </w:rPr>
            </w:pPr>
            <w:r w:rsidRPr="008B13A5">
              <w:rPr>
                <w:noProof/>
                <w:sz w:val="20"/>
              </w:rPr>
              <w:t>Earlier and more predictable utilisation of new facilities enhances financial viability, particularly for specialised and application-specific production lines.</w:t>
            </w:r>
          </w:p>
          <w:p w14:paraId="0349693C" w14:textId="719C7ACD" w:rsidR="00657543" w:rsidRPr="008B13A5" w:rsidRDefault="00657543" w:rsidP="00657543">
            <w:pPr>
              <w:spacing w:after="0"/>
              <w:rPr>
                <w:noProof/>
                <w:sz w:val="20"/>
              </w:rPr>
            </w:pPr>
            <w:r w:rsidRPr="008B13A5">
              <w:rPr>
                <w:i/>
                <w:noProof/>
                <w:sz w:val="20"/>
              </w:rPr>
              <w:t xml:space="preserve">Main beneficiaries: </w:t>
            </w:r>
            <w:r w:rsidRPr="008B13A5">
              <w:rPr>
                <w:i/>
                <w:iCs/>
                <w:noProof/>
                <w:sz w:val="20"/>
              </w:rPr>
              <w:t>EU Industry (</w:t>
            </w:r>
            <w:r w:rsidRPr="008B13A5">
              <w:rPr>
                <w:i/>
                <w:noProof/>
                <w:sz w:val="20"/>
              </w:rPr>
              <w:t>semiconductor investors</w:t>
            </w:r>
            <w:r w:rsidRPr="008B13A5">
              <w:rPr>
                <w:i/>
                <w:iCs/>
                <w:noProof/>
                <w:sz w:val="20"/>
              </w:rPr>
              <w:t>)</w:t>
            </w:r>
            <w:r w:rsidRPr="008B13A5">
              <w:rPr>
                <w:i/>
                <w:noProof/>
                <w:sz w:val="20"/>
              </w:rPr>
              <w:t>, Member States, regional authorities.</w:t>
            </w:r>
          </w:p>
        </w:tc>
      </w:tr>
      <w:tr w:rsidR="00657543" w:rsidRPr="008B13A5" w14:paraId="0488AD2F" w14:textId="77777777" w:rsidTr="0000292A">
        <w:tc>
          <w:tcPr>
            <w:tcW w:w="2512" w:type="dxa"/>
            <w:tcBorders>
              <w:bottom w:val="double" w:sz="4" w:space="0" w:color="auto"/>
            </w:tcBorders>
          </w:tcPr>
          <w:p w14:paraId="06FD3F55" w14:textId="096631E0" w:rsidR="00657543" w:rsidRPr="008B13A5" w:rsidRDefault="00657543" w:rsidP="00657543">
            <w:pPr>
              <w:spacing w:after="0"/>
              <w:rPr>
                <w:noProof/>
                <w:sz w:val="20"/>
              </w:rPr>
            </w:pPr>
            <w:r w:rsidRPr="008B13A5">
              <w:rPr>
                <w:noProof/>
                <w:sz w:val="20"/>
              </w:rPr>
              <w:t>Enhanced supply chain resilience and crisis preparedness</w:t>
            </w:r>
          </w:p>
        </w:tc>
        <w:tc>
          <w:tcPr>
            <w:tcW w:w="2784" w:type="dxa"/>
            <w:tcBorders>
              <w:bottom w:val="double" w:sz="4" w:space="0" w:color="auto"/>
            </w:tcBorders>
            <w:tcMar>
              <w:top w:w="57" w:type="dxa"/>
              <w:left w:w="57" w:type="dxa"/>
              <w:bottom w:w="57" w:type="dxa"/>
              <w:right w:w="57" w:type="dxa"/>
            </w:tcMar>
          </w:tcPr>
          <w:p w14:paraId="2A02503D" w14:textId="44C8CD27" w:rsidR="00657543" w:rsidRPr="008B13A5" w:rsidRDefault="00657543" w:rsidP="00657543">
            <w:pPr>
              <w:rPr>
                <w:noProof/>
                <w:sz w:val="20"/>
              </w:rPr>
            </w:pPr>
            <w:r w:rsidRPr="008B13A5">
              <w:rPr>
                <w:noProof/>
                <w:sz w:val="20"/>
              </w:rPr>
              <w:t>Qualitative; high economic significance</w:t>
            </w:r>
          </w:p>
          <w:p w14:paraId="3C734D49" w14:textId="69E285FB" w:rsidR="00657543" w:rsidRPr="008B13A5" w:rsidRDefault="00657543" w:rsidP="00657543">
            <w:pPr>
              <w:spacing w:after="0"/>
              <w:rPr>
                <w:noProof/>
                <w:sz w:val="20"/>
              </w:rPr>
            </w:pPr>
            <w:r w:rsidRPr="008B13A5">
              <w:rPr>
                <w:noProof/>
                <w:sz w:val="20"/>
              </w:rPr>
              <w:t>Up to EUR 1.53 trillion in downstream production value exposed in worst-case disruption scenario</w:t>
            </w:r>
          </w:p>
        </w:tc>
        <w:tc>
          <w:tcPr>
            <w:tcW w:w="4910" w:type="dxa"/>
            <w:tcBorders>
              <w:bottom w:val="double" w:sz="4" w:space="0" w:color="auto"/>
            </w:tcBorders>
            <w:tcMar>
              <w:top w:w="57" w:type="dxa"/>
              <w:left w:w="57" w:type="dxa"/>
              <w:bottom w:w="57" w:type="dxa"/>
              <w:right w:w="57" w:type="dxa"/>
            </w:tcMar>
          </w:tcPr>
          <w:p w14:paraId="11E1DE40" w14:textId="4572209A" w:rsidR="00657543" w:rsidRPr="008B13A5" w:rsidRDefault="00657543" w:rsidP="7D78EC0B">
            <w:pPr>
              <w:rPr>
                <w:noProof/>
                <w:sz w:val="20"/>
                <w:szCs w:val="20"/>
              </w:rPr>
            </w:pPr>
            <w:r w:rsidRPr="008B13A5">
              <w:rPr>
                <w:noProof/>
                <w:sz w:val="20"/>
                <w:szCs w:val="20"/>
              </w:rPr>
              <w:t>PO2 strengthens monitoring, demand stability and crisis coordination through the Business</w:t>
            </w:r>
            <w:r w:rsidR="00136D97" w:rsidRPr="008B13A5">
              <w:rPr>
                <w:noProof/>
                <w:sz w:val="20"/>
                <w:szCs w:val="20"/>
              </w:rPr>
              <w:t>-</w:t>
            </w:r>
            <w:r w:rsidRPr="008B13A5">
              <w:rPr>
                <w:noProof/>
                <w:sz w:val="20"/>
                <w:szCs w:val="20"/>
              </w:rPr>
              <w:t>to</w:t>
            </w:r>
            <w:r w:rsidR="00136D97" w:rsidRPr="008B13A5">
              <w:rPr>
                <w:noProof/>
                <w:sz w:val="20"/>
                <w:szCs w:val="20"/>
              </w:rPr>
              <w:t>-</w:t>
            </w:r>
            <w:r w:rsidRPr="008B13A5">
              <w:rPr>
                <w:noProof/>
                <w:sz w:val="20"/>
                <w:szCs w:val="20"/>
              </w:rPr>
              <w:t xml:space="preserve">Business </w:t>
            </w:r>
            <w:r w:rsidR="00136D97" w:rsidRPr="008B13A5">
              <w:rPr>
                <w:noProof/>
                <w:sz w:val="20"/>
                <w:szCs w:val="20"/>
              </w:rPr>
              <w:t>Semiconductor Supply Chain</w:t>
            </w:r>
            <w:r w:rsidRPr="008B13A5">
              <w:rPr>
                <w:noProof/>
                <w:sz w:val="20"/>
                <w:szCs w:val="20"/>
              </w:rPr>
              <w:t xml:space="preserve"> Platform. Improved visibility of structural vulnerabilities enables earlier risk detection and coordinated response, reducing the likelihood and duration of supply bottlenecks.</w:t>
            </w:r>
          </w:p>
          <w:p w14:paraId="2117FD04" w14:textId="3DAA317E" w:rsidR="00657543" w:rsidRPr="008B13A5" w:rsidRDefault="00657543" w:rsidP="00657543">
            <w:pPr>
              <w:rPr>
                <w:noProof/>
                <w:sz w:val="20"/>
              </w:rPr>
            </w:pPr>
            <w:r w:rsidRPr="008B13A5">
              <w:rPr>
                <w:noProof/>
                <w:sz w:val="20"/>
              </w:rPr>
              <w:t>In 2023, motor vehicles and transport equipment (EUR 934 billion) and machinery and equipment (EUR 600 billion) together generated over EUR 1.53 trillion in production value. In the absence of coordinated monitoring and mitigation, this output remains exposed to semiconductor supply shocks.</w:t>
            </w:r>
          </w:p>
          <w:p w14:paraId="30524C09" w14:textId="7E504078" w:rsidR="00657543" w:rsidRPr="008B13A5" w:rsidRDefault="00657543" w:rsidP="00657543">
            <w:pPr>
              <w:rPr>
                <w:noProof/>
                <w:sz w:val="20"/>
              </w:rPr>
            </w:pPr>
            <w:r w:rsidRPr="008B13A5">
              <w:rPr>
                <w:noProof/>
                <w:sz w:val="20"/>
              </w:rPr>
              <w:t>PO2 safeguards the functioning of the Single Market during crises by supporting the free flow and availability of semiconductors needed by critical supply chains.</w:t>
            </w:r>
          </w:p>
          <w:p w14:paraId="2E68C635" w14:textId="75B3DA6D" w:rsidR="00657543" w:rsidRPr="008B13A5" w:rsidRDefault="00657543" w:rsidP="00657543">
            <w:pPr>
              <w:spacing w:after="0"/>
              <w:rPr>
                <w:noProof/>
                <w:sz w:val="20"/>
              </w:rPr>
            </w:pPr>
            <w:r w:rsidRPr="008B13A5">
              <w:rPr>
                <w:i/>
                <w:noProof/>
                <w:sz w:val="20"/>
              </w:rPr>
              <w:t xml:space="preserve">Main beneficiaries: </w:t>
            </w:r>
            <w:r w:rsidRPr="008B13A5">
              <w:rPr>
                <w:i/>
                <w:iCs/>
                <w:noProof/>
                <w:sz w:val="20"/>
              </w:rPr>
              <w:t>End user</w:t>
            </w:r>
            <w:r w:rsidRPr="008B13A5">
              <w:rPr>
                <w:i/>
                <w:noProof/>
                <w:sz w:val="20"/>
              </w:rPr>
              <w:t xml:space="preserve"> industries, Member States</w:t>
            </w:r>
            <w:r w:rsidRPr="008B13A5">
              <w:rPr>
                <w:noProof/>
                <w:sz w:val="20"/>
              </w:rPr>
              <w:t>.</w:t>
            </w:r>
          </w:p>
        </w:tc>
      </w:tr>
      <w:tr w:rsidR="00657543" w:rsidRPr="008B13A5" w14:paraId="27864FA0" w14:textId="77777777" w:rsidTr="0000292A">
        <w:tc>
          <w:tcPr>
            <w:tcW w:w="2512" w:type="dxa"/>
            <w:tcBorders>
              <w:bottom w:val="double" w:sz="4" w:space="0" w:color="auto"/>
            </w:tcBorders>
          </w:tcPr>
          <w:p w14:paraId="0A6893F5" w14:textId="34B2DEE1" w:rsidR="00657543" w:rsidRPr="008B13A5" w:rsidRDefault="00657543" w:rsidP="00657543">
            <w:pPr>
              <w:spacing w:after="0"/>
              <w:rPr>
                <w:noProof/>
                <w:sz w:val="20"/>
              </w:rPr>
            </w:pPr>
            <w:r w:rsidRPr="008B13A5">
              <w:rPr>
                <w:noProof/>
                <w:sz w:val="20"/>
              </w:rPr>
              <w:t xml:space="preserve">Strengthened EU economic </w:t>
            </w:r>
            <w:r w:rsidRPr="00BD008E">
              <w:rPr>
                <w:noProof/>
                <w:sz w:val="20"/>
                <w:szCs w:val="20"/>
              </w:rPr>
              <w:t>security, resilience and crisis management capacity</w:t>
            </w:r>
          </w:p>
        </w:tc>
        <w:tc>
          <w:tcPr>
            <w:tcW w:w="2784" w:type="dxa"/>
            <w:tcBorders>
              <w:bottom w:val="double" w:sz="4" w:space="0" w:color="auto"/>
            </w:tcBorders>
            <w:tcMar>
              <w:top w:w="57" w:type="dxa"/>
              <w:left w:w="57" w:type="dxa"/>
              <w:bottom w:w="57" w:type="dxa"/>
              <w:right w:w="57" w:type="dxa"/>
            </w:tcMar>
          </w:tcPr>
          <w:p w14:paraId="6900D41A" w14:textId="653F8701" w:rsidR="00657543" w:rsidRPr="008B13A5" w:rsidRDefault="00657543" w:rsidP="00657543">
            <w:pPr>
              <w:spacing w:after="0"/>
              <w:rPr>
                <w:noProof/>
                <w:sz w:val="20"/>
              </w:rPr>
            </w:pPr>
            <w:r w:rsidRPr="008B13A5">
              <w:rPr>
                <w:noProof/>
                <w:sz w:val="20"/>
              </w:rPr>
              <w:t>Qualitative; high strategic and societal significance</w:t>
            </w:r>
          </w:p>
        </w:tc>
        <w:tc>
          <w:tcPr>
            <w:tcW w:w="4910" w:type="dxa"/>
            <w:tcBorders>
              <w:bottom w:val="double" w:sz="4" w:space="0" w:color="auto"/>
            </w:tcBorders>
            <w:tcMar>
              <w:top w:w="57" w:type="dxa"/>
              <w:left w:w="57" w:type="dxa"/>
              <w:bottom w:w="57" w:type="dxa"/>
              <w:right w:w="57" w:type="dxa"/>
            </w:tcMar>
          </w:tcPr>
          <w:p w14:paraId="4F3D45EE" w14:textId="4806C5F3" w:rsidR="00657543" w:rsidRPr="008B13A5" w:rsidRDefault="00657543" w:rsidP="7D78EC0B">
            <w:pPr>
              <w:rPr>
                <w:noProof/>
                <w:sz w:val="20"/>
                <w:szCs w:val="20"/>
              </w:rPr>
            </w:pPr>
            <w:r w:rsidRPr="008B13A5">
              <w:rPr>
                <w:noProof/>
                <w:sz w:val="20"/>
                <w:szCs w:val="20"/>
              </w:rPr>
              <w:t>By promoting d</w:t>
            </w:r>
            <w:r w:rsidR="0026304F" w:rsidRPr="008B13A5">
              <w:rPr>
                <w:noProof/>
                <w:sz w:val="20"/>
                <w:szCs w:val="20"/>
              </w:rPr>
              <w:t>ual</w:t>
            </w:r>
            <w:r w:rsidRPr="008B13A5">
              <w:rPr>
                <w:noProof/>
                <w:sz w:val="20"/>
                <w:szCs w:val="20"/>
              </w:rPr>
              <w:t xml:space="preserve"> semiconductor sourcing</w:t>
            </w:r>
            <w:r w:rsidR="00B86A6A" w:rsidRPr="008B13A5">
              <w:rPr>
                <w:noProof/>
                <w:sz w:val="20"/>
                <w:szCs w:val="20"/>
              </w:rPr>
              <w:t xml:space="preserve"> from domestic undertakings</w:t>
            </w:r>
            <w:r w:rsidRPr="008B13A5">
              <w:rPr>
                <w:noProof/>
                <w:sz w:val="20"/>
                <w:szCs w:val="20"/>
              </w:rPr>
              <w:t>, PO2 reduces the risk of embedded vulnerabilities, malicious interference and geopolitical coercion in critical systems. This enhances the integrity of defence, telecommunications, healthcare, energy and digital infrastructure.</w:t>
            </w:r>
          </w:p>
          <w:p w14:paraId="7CB0A39C" w14:textId="523883EF" w:rsidR="00657543" w:rsidRPr="008B13A5" w:rsidRDefault="00657543" w:rsidP="00657543">
            <w:pPr>
              <w:rPr>
                <w:noProof/>
                <w:sz w:val="20"/>
              </w:rPr>
            </w:pPr>
            <w:r w:rsidRPr="008B13A5">
              <w:rPr>
                <w:noProof/>
                <w:sz w:val="20"/>
              </w:rPr>
              <w:t xml:space="preserve">Reduced reliance on externally concentrated supply chains lowers exposure to supply weaponisation and strengthens the EU’s strategic autonomy in </w:t>
            </w:r>
            <w:r w:rsidR="004B2CB0" w:rsidRPr="008B13A5">
              <w:rPr>
                <w:noProof/>
                <w:sz w:val="20"/>
              </w:rPr>
              <w:t xml:space="preserve">vital </w:t>
            </w:r>
            <w:r w:rsidRPr="008B13A5">
              <w:rPr>
                <w:noProof/>
                <w:sz w:val="20"/>
              </w:rPr>
              <w:t>technologies</w:t>
            </w:r>
            <w:r w:rsidR="004B2CB0" w:rsidRPr="008B13A5">
              <w:rPr>
                <w:noProof/>
                <w:sz w:val="20"/>
              </w:rPr>
              <w:t xml:space="preserve"> for competitiveness, security and defence. </w:t>
            </w:r>
            <w:r w:rsidRPr="008B13A5">
              <w:rPr>
                <w:noProof/>
                <w:sz w:val="20"/>
              </w:rPr>
              <w:t xml:space="preserve">. </w:t>
            </w:r>
          </w:p>
          <w:p w14:paraId="1F8183F2" w14:textId="57433436" w:rsidR="00657543" w:rsidRPr="008B13A5" w:rsidRDefault="00657543" w:rsidP="00657543">
            <w:pPr>
              <w:rPr>
                <w:noProof/>
                <w:sz w:val="20"/>
              </w:rPr>
            </w:pPr>
            <w:r w:rsidRPr="008B13A5">
              <w:rPr>
                <w:noProof/>
                <w:sz w:val="20"/>
              </w:rPr>
              <w:t>In severe disruption scenarios, improved semiconductor availability may contribute to protecting public safety and mitigating life-threatening risks.</w:t>
            </w:r>
          </w:p>
          <w:p w14:paraId="5FD5C8D4" w14:textId="623766AC" w:rsidR="00657543" w:rsidRPr="008B13A5" w:rsidRDefault="00657543" w:rsidP="00657543">
            <w:pPr>
              <w:spacing w:after="0"/>
              <w:rPr>
                <w:noProof/>
                <w:sz w:val="20"/>
              </w:rPr>
            </w:pPr>
            <w:r w:rsidRPr="008B13A5">
              <w:rPr>
                <w:i/>
                <w:noProof/>
                <w:sz w:val="20"/>
              </w:rPr>
              <w:t xml:space="preserve">Main beneficiaries: citizens, public authorities, </w:t>
            </w:r>
            <w:r w:rsidRPr="008B13A5">
              <w:rPr>
                <w:i/>
                <w:iCs/>
                <w:noProof/>
                <w:sz w:val="20"/>
              </w:rPr>
              <w:t>e</w:t>
            </w:r>
            <w:r w:rsidRPr="008B13A5">
              <w:rPr>
                <w:i/>
                <w:noProof/>
                <w:sz w:val="20"/>
              </w:rPr>
              <w:t>nd user industries (</w:t>
            </w:r>
            <w:r w:rsidR="00610AD0" w:rsidRPr="008B13A5">
              <w:rPr>
                <w:i/>
                <w:noProof/>
                <w:sz w:val="20"/>
              </w:rPr>
              <w:t xml:space="preserve">e.g. </w:t>
            </w:r>
            <w:r w:rsidRPr="008B13A5">
              <w:rPr>
                <w:i/>
                <w:noProof/>
                <w:sz w:val="20"/>
              </w:rPr>
              <w:t>defence and telecom sectors)</w:t>
            </w:r>
            <w:r w:rsidRPr="008B13A5">
              <w:rPr>
                <w:i/>
                <w:iCs/>
                <w:noProof/>
                <w:sz w:val="20"/>
              </w:rPr>
              <w:t>, and EU industry in general</w:t>
            </w:r>
            <w:r w:rsidRPr="008B13A5">
              <w:rPr>
                <w:i/>
                <w:noProof/>
                <w:sz w:val="20"/>
              </w:rPr>
              <w:t>.</w:t>
            </w:r>
          </w:p>
        </w:tc>
      </w:tr>
      <w:tr w:rsidR="00657543" w:rsidRPr="008B13A5" w14:paraId="567B9A86" w14:textId="77777777" w:rsidTr="0000292A">
        <w:tc>
          <w:tcPr>
            <w:tcW w:w="2512" w:type="dxa"/>
            <w:tcBorders>
              <w:bottom w:val="double" w:sz="4" w:space="0" w:color="auto"/>
            </w:tcBorders>
          </w:tcPr>
          <w:p w14:paraId="43D8B2AA" w14:textId="41933DA8" w:rsidR="00657543" w:rsidRPr="008B13A5" w:rsidRDefault="00657543" w:rsidP="00657543">
            <w:pPr>
              <w:spacing w:after="0"/>
              <w:rPr>
                <w:noProof/>
                <w:sz w:val="20"/>
              </w:rPr>
            </w:pPr>
            <w:r w:rsidRPr="008B13A5">
              <w:rPr>
                <w:noProof/>
                <w:sz w:val="20"/>
              </w:rPr>
              <w:t>Strengthened semiconductor EU innovation ecosystem and accelerated industrial deployment</w:t>
            </w:r>
          </w:p>
        </w:tc>
        <w:tc>
          <w:tcPr>
            <w:tcW w:w="2784" w:type="dxa"/>
            <w:tcBorders>
              <w:bottom w:val="double" w:sz="4" w:space="0" w:color="auto"/>
            </w:tcBorders>
            <w:tcMar>
              <w:top w:w="57" w:type="dxa"/>
              <w:left w:w="57" w:type="dxa"/>
              <w:bottom w:w="57" w:type="dxa"/>
              <w:right w:w="57" w:type="dxa"/>
            </w:tcMar>
            <w:vAlign w:val="center"/>
          </w:tcPr>
          <w:p w14:paraId="6B4AF5CD" w14:textId="1FDAABD8" w:rsidR="00657543" w:rsidRPr="008B13A5" w:rsidRDefault="00657543" w:rsidP="00BD008E">
            <w:pPr>
              <w:spacing w:after="0"/>
              <w:jc w:val="left"/>
              <w:rPr>
                <w:noProof/>
                <w:sz w:val="20"/>
              </w:rPr>
            </w:pPr>
            <w:r w:rsidRPr="008B13A5">
              <w:rPr>
                <w:noProof/>
                <w:sz w:val="20"/>
              </w:rPr>
              <w:t>Qualitative; medium–high significance</w:t>
            </w:r>
          </w:p>
        </w:tc>
        <w:tc>
          <w:tcPr>
            <w:tcW w:w="4910" w:type="dxa"/>
            <w:tcBorders>
              <w:bottom w:val="double" w:sz="4" w:space="0" w:color="auto"/>
            </w:tcBorders>
            <w:tcMar>
              <w:top w:w="57" w:type="dxa"/>
              <w:left w:w="57" w:type="dxa"/>
              <w:bottom w:w="57" w:type="dxa"/>
              <w:right w:w="57" w:type="dxa"/>
            </w:tcMar>
          </w:tcPr>
          <w:p w14:paraId="0968F4A0" w14:textId="0042F5D4" w:rsidR="00657543" w:rsidRPr="008B13A5" w:rsidRDefault="00657543" w:rsidP="00657543">
            <w:pPr>
              <w:rPr>
                <w:noProof/>
                <w:sz w:val="20"/>
              </w:rPr>
            </w:pPr>
            <w:r w:rsidRPr="008B13A5">
              <w:rPr>
                <w:noProof/>
                <w:sz w:val="20"/>
              </w:rPr>
              <w:t>PO2 enhances R&amp;D and innovation outputs through expanded pilot lines, a strengthened Chips Fund, and R&amp;D components embedded within Strategic Projects. Increased co-location of research and manufacturing improves knowledge transfer, scale-up capacity and innovation intensity across the value chain.</w:t>
            </w:r>
          </w:p>
          <w:p w14:paraId="571776F1" w14:textId="591D9305" w:rsidR="00657543" w:rsidRPr="008B13A5" w:rsidRDefault="00657543" w:rsidP="00657543">
            <w:pPr>
              <w:rPr>
                <w:noProof/>
                <w:sz w:val="20"/>
              </w:rPr>
            </w:pPr>
            <w:r w:rsidRPr="008B13A5">
              <w:rPr>
                <w:noProof/>
                <w:sz w:val="20"/>
              </w:rPr>
              <w:t xml:space="preserve">Innovation-oriented public procurement further stimulates technological development. Empirical evidence </w:t>
            </w:r>
            <w:r w:rsidR="00EF7885">
              <w:rPr>
                <w:noProof/>
                <w:sz w:val="20"/>
              </w:rPr>
              <w:t>(see</w:t>
            </w:r>
            <w:r w:rsidR="00026E7E">
              <w:rPr>
                <w:noProof/>
                <w:sz w:val="20"/>
              </w:rPr>
              <w:t xml:space="preserve"> Annex 4 Section 6)</w:t>
            </w:r>
            <w:r w:rsidR="00EF7885">
              <w:rPr>
                <w:noProof/>
                <w:sz w:val="20"/>
              </w:rPr>
              <w:t xml:space="preserve"> </w:t>
            </w:r>
            <w:r w:rsidRPr="008B13A5">
              <w:rPr>
                <w:noProof/>
                <w:sz w:val="20"/>
              </w:rPr>
              <w:t>suggests that firms participating in such procurement experience 10–20 percentage point higher probabilities of product innovation and approximately 6 percentage point higher probabilities of process innovation compared to otherwise similar firms.</w:t>
            </w:r>
          </w:p>
          <w:p w14:paraId="3A3AD564" w14:textId="4560F9C0" w:rsidR="00657543" w:rsidRPr="008B13A5" w:rsidRDefault="00657543" w:rsidP="00657543">
            <w:pPr>
              <w:rPr>
                <w:noProof/>
                <w:sz w:val="20"/>
              </w:rPr>
            </w:pPr>
            <w:r w:rsidRPr="008B13A5">
              <w:rPr>
                <w:noProof/>
                <w:sz w:val="20"/>
              </w:rPr>
              <w:t>Shorter and more secure design-to-fabrication cycles within the EU reduce lead times, improve protection of sensitive intellectual property and increase customer trust. This particularly benefits SMEs and start-ups seeking to scale innovative semiconductor solutions.</w:t>
            </w:r>
          </w:p>
          <w:p w14:paraId="35C4B5B4" w14:textId="72B897F2" w:rsidR="00657543" w:rsidRPr="008B13A5" w:rsidRDefault="00657543" w:rsidP="00657543">
            <w:pPr>
              <w:spacing w:after="0"/>
              <w:rPr>
                <w:noProof/>
                <w:sz w:val="20"/>
              </w:rPr>
            </w:pPr>
            <w:r w:rsidRPr="008B13A5">
              <w:rPr>
                <w:i/>
                <w:noProof/>
                <w:sz w:val="20"/>
              </w:rPr>
              <w:t xml:space="preserve">Main beneficiaries: universities, RTOs, </w:t>
            </w:r>
            <w:r w:rsidRPr="008B13A5">
              <w:rPr>
                <w:i/>
                <w:iCs/>
                <w:noProof/>
                <w:sz w:val="20"/>
              </w:rPr>
              <w:t>EU Industry (</w:t>
            </w:r>
            <w:r w:rsidRPr="008B13A5">
              <w:rPr>
                <w:i/>
                <w:noProof/>
                <w:sz w:val="20"/>
              </w:rPr>
              <w:t>SMEs, start-ups, semiconductor firms</w:t>
            </w:r>
            <w:r w:rsidRPr="008B13A5">
              <w:rPr>
                <w:i/>
                <w:iCs/>
                <w:noProof/>
                <w:sz w:val="20"/>
              </w:rPr>
              <w:t>)</w:t>
            </w:r>
            <w:r w:rsidRPr="008B13A5">
              <w:rPr>
                <w:i/>
                <w:noProof/>
                <w:sz w:val="20"/>
              </w:rPr>
              <w:t>.</w:t>
            </w:r>
          </w:p>
        </w:tc>
      </w:tr>
      <w:tr w:rsidR="00657543" w:rsidRPr="008B13A5" w14:paraId="4D82BADC" w14:textId="77777777" w:rsidTr="0000292A">
        <w:tc>
          <w:tcPr>
            <w:tcW w:w="2512" w:type="dxa"/>
            <w:tcBorders>
              <w:bottom w:val="double" w:sz="4" w:space="0" w:color="auto"/>
            </w:tcBorders>
          </w:tcPr>
          <w:p w14:paraId="5EE3E23E" w14:textId="17DD6E41" w:rsidR="00657543" w:rsidRPr="008B13A5" w:rsidRDefault="00657543" w:rsidP="00657543">
            <w:pPr>
              <w:spacing w:after="0"/>
              <w:rPr>
                <w:noProof/>
                <w:sz w:val="20"/>
              </w:rPr>
            </w:pPr>
            <w:r w:rsidRPr="008B13A5">
              <w:rPr>
                <w:noProof/>
                <w:sz w:val="20"/>
              </w:rPr>
              <w:t>Structural expansion and rebalancing of the EU semiconductor industrial base</w:t>
            </w:r>
          </w:p>
        </w:tc>
        <w:tc>
          <w:tcPr>
            <w:tcW w:w="2784" w:type="dxa"/>
            <w:tcBorders>
              <w:bottom w:val="double" w:sz="4" w:space="0" w:color="auto"/>
            </w:tcBorders>
            <w:tcMar>
              <w:top w:w="57" w:type="dxa"/>
              <w:left w:w="57" w:type="dxa"/>
              <w:bottom w:w="57" w:type="dxa"/>
              <w:right w:w="57" w:type="dxa"/>
            </w:tcMar>
          </w:tcPr>
          <w:p w14:paraId="017586A2" w14:textId="18E0E3BF" w:rsidR="00657543" w:rsidRPr="008B13A5" w:rsidRDefault="00657543" w:rsidP="00657543">
            <w:pPr>
              <w:rPr>
                <w:noProof/>
                <w:sz w:val="20"/>
              </w:rPr>
            </w:pPr>
            <w:r w:rsidRPr="008B13A5">
              <w:rPr>
                <w:noProof/>
                <w:sz w:val="20"/>
              </w:rPr>
              <w:t>Qualitative and quantitative; high strategic significance</w:t>
            </w:r>
          </w:p>
          <w:p w14:paraId="676B3D03" w14:textId="063836A6" w:rsidR="00657543" w:rsidRPr="008B13A5" w:rsidRDefault="00657543" w:rsidP="00657543">
            <w:pPr>
              <w:spacing w:after="0"/>
              <w:rPr>
                <w:noProof/>
                <w:sz w:val="20"/>
              </w:rPr>
            </w:pPr>
            <w:r w:rsidRPr="008B13A5">
              <w:rPr>
                <w:noProof/>
                <w:sz w:val="20"/>
              </w:rPr>
              <w:t>EUR 6.6–11.5 billion additional annual manufacturing revenue; up to EUR 7–9 billion potential design revenues</w:t>
            </w:r>
          </w:p>
        </w:tc>
        <w:tc>
          <w:tcPr>
            <w:tcW w:w="4910" w:type="dxa"/>
            <w:tcBorders>
              <w:bottom w:val="double" w:sz="4" w:space="0" w:color="auto"/>
            </w:tcBorders>
            <w:tcMar>
              <w:top w:w="57" w:type="dxa"/>
              <w:left w:w="57" w:type="dxa"/>
              <w:bottom w:w="57" w:type="dxa"/>
              <w:right w:w="57" w:type="dxa"/>
            </w:tcMar>
          </w:tcPr>
          <w:p w14:paraId="56C75C79" w14:textId="24F7CF6B" w:rsidR="00657543" w:rsidRPr="008B13A5" w:rsidRDefault="00657543" w:rsidP="00657543">
            <w:pPr>
              <w:rPr>
                <w:noProof/>
                <w:sz w:val="20"/>
              </w:rPr>
            </w:pPr>
            <w:r w:rsidRPr="008B13A5">
              <w:rPr>
                <w:noProof/>
                <w:sz w:val="20"/>
              </w:rPr>
              <w:t>PO2 increases EU semiconductor manufacturing capacity through Strategic Projects, generating an estimated EUR 6.6–11.5 billion in additional annual revenue depending on the technology mix. With EUR 15 billion in public support, capacity expansion is estimated at approximately 108,000 to 222,000 wafers per month, in comparison, under the baseline conditions additional capacity of 321,500 wafers per month is announced to date (projections till 2030).</w:t>
            </w:r>
          </w:p>
          <w:p w14:paraId="39337AB7" w14:textId="6067A23E" w:rsidR="00657543" w:rsidRPr="008B13A5" w:rsidRDefault="00657543" w:rsidP="00657543">
            <w:pPr>
              <w:rPr>
                <w:noProof/>
                <w:sz w:val="20"/>
              </w:rPr>
            </w:pPr>
            <w:r w:rsidRPr="008B13A5">
              <w:rPr>
                <w:noProof/>
                <w:sz w:val="20"/>
              </w:rPr>
              <w:t xml:space="preserve">In addition, expanded manufacturing capacity generates recurring fiscal returns for Member States. Applying a value-added ratio of 34% and an average fiscal capture rate of 16.5%, annual direct tax revenues are estimated at EUR 380–662 million </w:t>
            </w:r>
            <w:r w:rsidR="004503FC" w:rsidRPr="008B13A5">
              <w:rPr>
                <w:noProof/>
                <w:sz w:val="20"/>
              </w:rPr>
              <w:t xml:space="preserve">should </w:t>
            </w:r>
            <w:r w:rsidR="00331177" w:rsidRPr="008B13A5">
              <w:rPr>
                <w:noProof/>
                <w:sz w:val="20"/>
              </w:rPr>
              <w:t xml:space="preserve">the aforementioned </w:t>
            </w:r>
            <w:r w:rsidR="004503FC" w:rsidRPr="008B13A5">
              <w:rPr>
                <w:noProof/>
                <w:sz w:val="20"/>
              </w:rPr>
              <w:t>projects be realised</w:t>
            </w:r>
            <w:r w:rsidRPr="008B13A5">
              <w:rPr>
                <w:noProof/>
                <w:sz w:val="20"/>
              </w:rPr>
              <w:t>.</w:t>
            </w:r>
          </w:p>
          <w:p w14:paraId="181089CA" w14:textId="01241902" w:rsidR="00657543" w:rsidRPr="008B13A5" w:rsidRDefault="00657543" w:rsidP="00657543">
            <w:pPr>
              <w:spacing w:after="0"/>
              <w:rPr>
                <w:noProof/>
                <w:sz w:val="20"/>
              </w:rPr>
            </w:pPr>
            <w:r w:rsidRPr="008B13A5">
              <w:rPr>
                <w:i/>
                <w:noProof/>
                <w:sz w:val="20"/>
              </w:rPr>
              <w:t>Main beneficiaries: EU industry</w:t>
            </w:r>
            <w:r w:rsidRPr="008B13A5">
              <w:rPr>
                <w:i/>
                <w:iCs/>
                <w:noProof/>
                <w:sz w:val="20"/>
              </w:rPr>
              <w:t xml:space="preserve"> (fabless firms, foundries, end using industry)</w:t>
            </w:r>
            <w:r w:rsidRPr="008B13A5">
              <w:rPr>
                <w:i/>
                <w:noProof/>
                <w:sz w:val="20"/>
              </w:rPr>
              <w:t>, Member States.</w:t>
            </w:r>
          </w:p>
        </w:tc>
      </w:tr>
      <w:tr w:rsidR="00657543" w:rsidRPr="008B13A5" w14:paraId="42D32C8C" w14:textId="77777777" w:rsidTr="0000292A">
        <w:tc>
          <w:tcPr>
            <w:tcW w:w="2512" w:type="dxa"/>
            <w:tcBorders>
              <w:bottom w:val="double" w:sz="4" w:space="0" w:color="auto"/>
            </w:tcBorders>
          </w:tcPr>
          <w:p w14:paraId="2B4777C5" w14:textId="46EA6500" w:rsidR="00657543" w:rsidRPr="008B13A5" w:rsidRDefault="00657543" w:rsidP="00657543">
            <w:pPr>
              <w:spacing w:after="0"/>
              <w:rPr>
                <w:noProof/>
                <w:sz w:val="20"/>
              </w:rPr>
            </w:pPr>
            <w:r w:rsidRPr="008B13A5">
              <w:rPr>
                <w:noProof/>
                <w:sz w:val="20"/>
              </w:rPr>
              <w:t>Enhanced investment viability and capital efficiency for large-scale semiconductor projects</w:t>
            </w:r>
          </w:p>
        </w:tc>
        <w:tc>
          <w:tcPr>
            <w:tcW w:w="2784" w:type="dxa"/>
            <w:tcBorders>
              <w:bottom w:val="double" w:sz="4" w:space="0" w:color="auto"/>
            </w:tcBorders>
            <w:tcMar>
              <w:top w:w="57" w:type="dxa"/>
              <w:left w:w="57" w:type="dxa"/>
              <w:bottom w:w="57" w:type="dxa"/>
              <w:right w:w="57" w:type="dxa"/>
            </w:tcMar>
          </w:tcPr>
          <w:p w14:paraId="50616F0E" w14:textId="41A61655" w:rsidR="00657543" w:rsidRPr="008B13A5" w:rsidRDefault="00657543" w:rsidP="00657543">
            <w:pPr>
              <w:rPr>
                <w:noProof/>
                <w:sz w:val="20"/>
              </w:rPr>
            </w:pPr>
            <w:r w:rsidRPr="008B13A5">
              <w:rPr>
                <w:noProof/>
                <w:sz w:val="20"/>
              </w:rPr>
              <w:t>Quantitative and qualitative; high significance</w:t>
            </w:r>
          </w:p>
          <w:p w14:paraId="6FCA7EFB" w14:textId="3D499C51" w:rsidR="00657543" w:rsidRPr="008B13A5" w:rsidRDefault="00657543" w:rsidP="00657543">
            <w:pPr>
              <w:spacing w:after="0"/>
              <w:rPr>
                <w:noProof/>
                <w:sz w:val="20"/>
              </w:rPr>
            </w:pPr>
            <w:r w:rsidRPr="008B13A5">
              <w:rPr>
                <w:noProof/>
                <w:sz w:val="20"/>
              </w:rPr>
              <w:t>Indicative avoided delay costs of ~EUR 600–650 million per EUR 20 billion fab</w:t>
            </w:r>
          </w:p>
        </w:tc>
        <w:tc>
          <w:tcPr>
            <w:tcW w:w="4910" w:type="dxa"/>
            <w:tcBorders>
              <w:bottom w:val="double" w:sz="4" w:space="0" w:color="auto"/>
            </w:tcBorders>
            <w:tcMar>
              <w:top w:w="57" w:type="dxa"/>
              <w:left w:w="57" w:type="dxa"/>
              <w:bottom w:w="57" w:type="dxa"/>
              <w:right w:w="57" w:type="dxa"/>
            </w:tcMar>
          </w:tcPr>
          <w:p w14:paraId="059B5427" w14:textId="289DFC54" w:rsidR="00657543" w:rsidRPr="008B13A5" w:rsidRDefault="00657543" w:rsidP="00657543">
            <w:pPr>
              <w:rPr>
                <w:noProof/>
                <w:sz w:val="20"/>
              </w:rPr>
            </w:pPr>
            <w:r w:rsidRPr="008B13A5">
              <w:rPr>
                <w:noProof/>
                <w:sz w:val="20"/>
              </w:rPr>
              <w:t>Under PO2, EU co-funding, alignment of FOAK/IPF/OEF procedures, fast-track permitting and demand-side measures jointly improve the bankability of large semiconductor projects.</w:t>
            </w:r>
          </w:p>
          <w:p w14:paraId="32F7FD36" w14:textId="5588B844" w:rsidR="00657543" w:rsidRPr="008B13A5" w:rsidRDefault="00657543" w:rsidP="00657543">
            <w:pPr>
              <w:rPr>
                <w:noProof/>
                <w:sz w:val="20"/>
              </w:rPr>
            </w:pPr>
            <w:r w:rsidRPr="008B13A5">
              <w:rPr>
                <w:noProof/>
                <w:sz w:val="20"/>
              </w:rPr>
              <w:t xml:space="preserve">EU co-funding lowers the effective cost of capital, stabilises expected utilisation rates and shortens time to break even. Demand-side instruments such as innovation-oriented public procurement increase revenue predictability. Empirical evidence suggests that each euro of public demand can generate persistent revenue effects of up to EUR 0.5 and crowd in approximately EUR 0.2 of additional private investment. </w:t>
            </w:r>
          </w:p>
          <w:p w14:paraId="6EB9DE6D" w14:textId="7B1C73F4" w:rsidR="00657543" w:rsidRPr="008B13A5" w:rsidRDefault="00657543" w:rsidP="00657543">
            <w:pPr>
              <w:rPr>
                <w:noProof/>
                <w:sz w:val="20"/>
              </w:rPr>
            </w:pPr>
            <w:r w:rsidRPr="008B13A5">
              <w:rPr>
                <w:noProof/>
                <w:sz w:val="20"/>
              </w:rPr>
              <w:t>Streamlined and faster permitting further reduces delay-related capital costs. Permitting and design phases in the EU are on average around 7.5 months longer than in leading Asian jurisdictions. Assuming that each year of delay increases total project costs by approximately 5%, this corresponds to an additional cost of around 3.1% of total investment, or approximately EUR 625 million for a representative EUR 20 billion advanced fabrication plant.</w:t>
            </w:r>
          </w:p>
          <w:p w14:paraId="467648C9" w14:textId="4BFF7326" w:rsidR="00657543" w:rsidRPr="008B13A5" w:rsidRDefault="00657543" w:rsidP="00657543">
            <w:pPr>
              <w:spacing w:after="0"/>
              <w:rPr>
                <w:noProof/>
                <w:sz w:val="20"/>
              </w:rPr>
            </w:pPr>
            <w:r w:rsidRPr="008B13A5">
              <w:rPr>
                <w:i/>
                <w:noProof/>
                <w:sz w:val="20"/>
              </w:rPr>
              <w:t xml:space="preserve">Main beneficiaries: </w:t>
            </w:r>
            <w:r w:rsidRPr="008B13A5">
              <w:rPr>
                <w:i/>
                <w:iCs/>
                <w:noProof/>
                <w:sz w:val="20"/>
              </w:rPr>
              <w:t>EU Industry (</w:t>
            </w:r>
            <w:r w:rsidRPr="008B13A5">
              <w:rPr>
                <w:i/>
                <w:noProof/>
                <w:sz w:val="20"/>
              </w:rPr>
              <w:t>semiconductor investors</w:t>
            </w:r>
            <w:r w:rsidRPr="008B13A5">
              <w:rPr>
                <w:i/>
                <w:iCs/>
                <w:noProof/>
                <w:sz w:val="20"/>
              </w:rPr>
              <w:t>)</w:t>
            </w:r>
            <w:r w:rsidRPr="008B13A5">
              <w:rPr>
                <w:i/>
                <w:noProof/>
                <w:sz w:val="20"/>
              </w:rPr>
              <w:t>, Member States, regional authorities.</w:t>
            </w:r>
          </w:p>
        </w:tc>
      </w:tr>
      <w:tr w:rsidR="00801268" w:rsidRPr="008B13A5" w14:paraId="3FD7E739" w14:textId="77777777" w:rsidTr="7D78EC0B">
        <w:tc>
          <w:tcPr>
            <w:tcW w:w="10206" w:type="dxa"/>
            <w:gridSpan w:val="3"/>
            <w:shd w:val="clear" w:color="auto" w:fill="F2F2F2" w:themeFill="background1" w:themeFillShade="F2"/>
          </w:tcPr>
          <w:p w14:paraId="4AD3F12B" w14:textId="44077E13" w:rsidR="00801268" w:rsidRPr="008B13A5" w:rsidRDefault="00801268" w:rsidP="009D4C15">
            <w:pPr>
              <w:spacing w:after="0"/>
              <w:jc w:val="center"/>
              <w:rPr>
                <w:b/>
                <w:i/>
                <w:noProof/>
                <w:sz w:val="20"/>
              </w:rPr>
            </w:pPr>
            <w:r w:rsidRPr="008B13A5">
              <w:rPr>
                <w:b/>
                <w:i/>
                <w:noProof/>
                <w:sz w:val="20"/>
              </w:rPr>
              <w:t>Indirect benefits</w:t>
            </w:r>
          </w:p>
        </w:tc>
      </w:tr>
      <w:tr w:rsidR="00086CCA" w:rsidRPr="008B13A5" w14:paraId="0B293CCE" w14:textId="77777777" w:rsidTr="0000292A">
        <w:tc>
          <w:tcPr>
            <w:tcW w:w="2512" w:type="dxa"/>
            <w:tcBorders>
              <w:top w:val="double" w:sz="4" w:space="0" w:color="auto"/>
            </w:tcBorders>
          </w:tcPr>
          <w:p w14:paraId="58CE3F10" w14:textId="252DE13D" w:rsidR="00086CCA" w:rsidRPr="008B13A5" w:rsidRDefault="00086CCA" w:rsidP="00086CCA">
            <w:pPr>
              <w:spacing w:after="0"/>
              <w:rPr>
                <w:noProof/>
                <w:sz w:val="20"/>
              </w:rPr>
            </w:pPr>
            <w:r w:rsidRPr="008B13A5">
              <w:rPr>
                <w:noProof/>
                <w:sz w:val="20"/>
              </w:rPr>
              <w:t>Job creation across the semiconductor value chain</w:t>
            </w:r>
          </w:p>
        </w:tc>
        <w:tc>
          <w:tcPr>
            <w:tcW w:w="2784" w:type="dxa"/>
            <w:tcBorders>
              <w:top w:val="double" w:sz="4" w:space="0" w:color="auto"/>
            </w:tcBorders>
            <w:tcMar>
              <w:top w:w="57" w:type="dxa"/>
              <w:left w:w="57" w:type="dxa"/>
              <w:bottom w:w="57" w:type="dxa"/>
              <w:right w:w="57" w:type="dxa"/>
            </w:tcMar>
          </w:tcPr>
          <w:p w14:paraId="24FAB795" w14:textId="018C330E" w:rsidR="00086CCA" w:rsidRPr="008B13A5" w:rsidRDefault="00086CCA" w:rsidP="00086CCA">
            <w:pPr>
              <w:rPr>
                <w:noProof/>
                <w:sz w:val="20"/>
              </w:rPr>
            </w:pPr>
            <w:r w:rsidRPr="008B13A5">
              <w:rPr>
                <w:noProof/>
                <w:sz w:val="20"/>
              </w:rPr>
              <w:t xml:space="preserve">Around 4,700 to 7,300 direct jobs </w:t>
            </w:r>
          </w:p>
          <w:p w14:paraId="7B561BFB" w14:textId="3429BE0F" w:rsidR="00086CCA" w:rsidRPr="008B13A5" w:rsidRDefault="00086CCA" w:rsidP="00086CCA">
            <w:pPr>
              <w:spacing w:after="0"/>
              <w:rPr>
                <w:noProof/>
                <w:sz w:val="20"/>
              </w:rPr>
            </w:pPr>
            <w:r w:rsidRPr="008B13A5">
              <w:rPr>
                <w:noProof/>
                <w:sz w:val="20"/>
              </w:rPr>
              <w:t>Approximately 10,000 to 36,500 indirect and induced jobs</w:t>
            </w:r>
          </w:p>
        </w:tc>
        <w:tc>
          <w:tcPr>
            <w:tcW w:w="4910" w:type="dxa"/>
            <w:tcBorders>
              <w:top w:val="double" w:sz="4" w:space="0" w:color="auto"/>
            </w:tcBorders>
            <w:tcMar>
              <w:top w:w="57" w:type="dxa"/>
              <w:left w:w="57" w:type="dxa"/>
              <w:bottom w:w="57" w:type="dxa"/>
              <w:right w:w="57" w:type="dxa"/>
            </w:tcMar>
          </w:tcPr>
          <w:p w14:paraId="5C9AA848" w14:textId="4F8ADC59" w:rsidR="00086CCA" w:rsidRPr="008B13A5" w:rsidRDefault="00086CCA" w:rsidP="00086CCA">
            <w:pPr>
              <w:rPr>
                <w:noProof/>
                <w:sz w:val="20"/>
              </w:rPr>
            </w:pPr>
            <w:r w:rsidRPr="008B13A5">
              <w:rPr>
                <w:noProof/>
                <w:sz w:val="20"/>
              </w:rPr>
              <w:t>Employment grows due to construction, operation of new fabs, supply chain expansion, and design-centred SME activity. Stabilised supply reduces disruption-related job losses in dependent industries</w:t>
            </w:r>
          </w:p>
          <w:p w14:paraId="3436B9C8" w14:textId="17D0C001" w:rsidR="00086CCA" w:rsidRPr="008B13A5" w:rsidRDefault="00086CCA" w:rsidP="00086CCA">
            <w:pPr>
              <w:rPr>
                <w:noProof/>
                <w:sz w:val="20"/>
              </w:rPr>
            </w:pPr>
            <w:r w:rsidRPr="008B13A5">
              <w:rPr>
                <w:noProof/>
                <w:sz w:val="20"/>
              </w:rPr>
              <w:t xml:space="preserve">Strategic Projects are estimated to create </w:t>
            </w:r>
            <w:r w:rsidRPr="008B13A5">
              <w:rPr>
                <w:b/>
                <w:noProof/>
                <w:sz w:val="20"/>
              </w:rPr>
              <w:t>around 4,700 to 7,300 direct jobs,</w:t>
            </w:r>
            <w:r w:rsidRPr="008B13A5">
              <w:rPr>
                <w:noProof/>
                <w:sz w:val="20"/>
              </w:rPr>
              <w:t xml:space="preserve"> depending on the technology mix</w:t>
            </w:r>
            <w:r w:rsidR="00F274DD" w:rsidRPr="008B13A5">
              <w:rPr>
                <w:noProof/>
                <w:sz w:val="20"/>
              </w:rPr>
              <w:t xml:space="preserve"> </w:t>
            </w:r>
            <w:r w:rsidRPr="008B13A5">
              <w:rPr>
                <w:noProof/>
                <w:sz w:val="20"/>
              </w:rPr>
              <w:t>(</w:t>
            </w:r>
            <w:r w:rsidRPr="008B13A5">
              <w:rPr>
                <w:rStyle w:val="FootnoteReference"/>
                <w:noProof/>
                <w:sz w:val="20"/>
              </w:rPr>
              <w:footnoteReference w:id="4"/>
            </w:r>
            <w:r w:rsidRPr="008B13A5">
              <w:rPr>
                <w:noProof/>
                <w:sz w:val="20"/>
              </w:rPr>
              <w:t xml:space="preserve">). Applying conservative employment multipliers consistent with open and globalised value chains, this corresponds to approximately </w:t>
            </w:r>
            <w:r w:rsidRPr="008B13A5">
              <w:rPr>
                <w:b/>
                <w:noProof/>
                <w:sz w:val="20"/>
              </w:rPr>
              <w:t>10,000 to 36,500 indirect and induced jobs</w:t>
            </w:r>
            <w:r w:rsidRPr="008B13A5">
              <w:rPr>
                <w:noProof/>
                <w:sz w:val="20"/>
              </w:rPr>
              <w:t>. Higher employment outcomes are associated with capacity expansion following the current wafer mix, while leading-edge manufacturing delivers fewer but more capital- and skill-intensive direct jobs.</w:t>
            </w:r>
          </w:p>
          <w:p w14:paraId="317C5DDA" w14:textId="17A93A8D" w:rsidR="00086CCA" w:rsidRPr="008B13A5" w:rsidRDefault="00086CCA" w:rsidP="00086CCA">
            <w:pPr>
              <w:spacing w:after="0"/>
              <w:rPr>
                <w:noProof/>
                <w:sz w:val="20"/>
              </w:rPr>
            </w:pPr>
            <w:r w:rsidRPr="008B13A5">
              <w:rPr>
                <w:i/>
                <w:noProof/>
                <w:sz w:val="20"/>
              </w:rPr>
              <w:t>Main beneficiaries: workers, regional labour markets.</w:t>
            </w:r>
          </w:p>
        </w:tc>
      </w:tr>
      <w:tr w:rsidR="00086CCA" w:rsidRPr="008B13A5" w14:paraId="0491242E" w14:textId="77777777" w:rsidTr="0000292A">
        <w:tc>
          <w:tcPr>
            <w:tcW w:w="2512" w:type="dxa"/>
          </w:tcPr>
          <w:p w14:paraId="480E5EB0" w14:textId="1D785C1C" w:rsidR="00086CCA" w:rsidRPr="008B13A5" w:rsidRDefault="00086CCA" w:rsidP="00086CCA">
            <w:pPr>
              <w:spacing w:after="0"/>
              <w:rPr>
                <w:noProof/>
                <w:sz w:val="20"/>
              </w:rPr>
            </w:pPr>
            <w:r w:rsidRPr="008B13A5">
              <w:rPr>
                <w:noProof/>
                <w:sz w:val="20"/>
              </w:rPr>
              <w:t xml:space="preserve">Broader economic spillovers </w:t>
            </w:r>
          </w:p>
        </w:tc>
        <w:tc>
          <w:tcPr>
            <w:tcW w:w="2784" w:type="dxa"/>
            <w:tcMar>
              <w:top w:w="57" w:type="dxa"/>
              <w:left w:w="57" w:type="dxa"/>
              <w:bottom w:w="57" w:type="dxa"/>
              <w:right w:w="57" w:type="dxa"/>
            </w:tcMar>
          </w:tcPr>
          <w:p w14:paraId="6B251EC6" w14:textId="420910AB" w:rsidR="00086CCA" w:rsidRPr="008B13A5" w:rsidRDefault="00086CCA" w:rsidP="00086CCA">
            <w:pPr>
              <w:rPr>
                <w:noProof/>
                <w:sz w:val="20"/>
              </w:rPr>
            </w:pPr>
            <w:r w:rsidRPr="008B13A5">
              <w:rPr>
                <w:noProof/>
                <w:sz w:val="20"/>
              </w:rPr>
              <w:t>Qualitative and quantitative; medium–high significance</w:t>
            </w:r>
          </w:p>
          <w:p w14:paraId="0A1A8ADE" w14:textId="77777777" w:rsidR="00086CCA" w:rsidRPr="008B13A5" w:rsidRDefault="00086CCA" w:rsidP="00086CCA">
            <w:pPr>
              <w:rPr>
                <w:noProof/>
                <w:sz w:val="20"/>
              </w:rPr>
            </w:pPr>
          </w:p>
          <w:p w14:paraId="6A535416" w14:textId="77777777" w:rsidR="00086CCA" w:rsidRPr="008B13A5" w:rsidRDefault="00086CCA" w:rsidP="00086CCA">
            <w:pPr>
              <w:spacing w:after="0"/>
              <w:rPr>
                <w:noProof/>
                <w:sz w:val="20"/>
              </w:rPr>
            </w:pPr>
          </w:p>
        </w:tc>
        <w:tc>
          <w:tcPr>
            <w:tcW w:w="4910" w:type="dxa"/>
            <w:tcMar>
              <w:top w:w="57" w:type="dxa"/>
              <w:left w:w="57" w:type="dxa"/>
              <w:bottom w:w="57" w:type="dxa"/>
              <w:right w:w="57" w:type="dxa"/>
            </w:tcMar>
          </w:tcPr>
          <w:p w14:paraId="374E20B8" w14:textId="7A8F3FA1" w:rsidR="00086CCA" w:rsidRPr="008B13A5" w:rsidRDefault="00086CCA" w:rsidP="00086CCA">
            <w:pPr>
              <w:rPr>
                <w:noProof/>
                <w:sz w:val="20"/>
              </w:rPr>
            </w:pPr>
            <w:r w:rsidRPr="008B13A5">
              <w:rPr>
                <w:noProof/>
                <w:sz w:val="20"/>
              </w:rPr>
              <w:t xml:space="preserve">Investment in semiconductor capacity generates wider spillovers across </w:t>
            </w:r>
            <w:r w:rsidR="00743AFA" w:rsidRPr="008B13A5">
              <w:rPr>
                <w:noProof/>
                <w:sz w:val="20"/>
              </w:rPr>
              <w:t xml:space="preserve">the value chain, including for </w:t>
            </w:r>
            <w:r w:rsidRPr="008B13A5">
              <w:rPr>
                <w:noProof/>
                <w:sz w:val="20"/>
              </w:rPr>
              <w:t>equipment</w:t>
            </w:r>
            <w:r w:rsidR="00743AFA" w:rsidRPr="008B13A5">
              <w:rPr>
                <w:noProof/>
                <w:sz w:val="20"/>
              </w:rPr>
              <w:t xml:space="preserve"> manufacturers</w:t>
            </w:r>
            <w:r w:rsidRPr="008B13A5">
              <w:rPr>
                <w:noProof/>
                <w:sz w:val="20"/>
              </w:rPr>
              <w:t>, material</w:t>
            </w:r>
            <w:r w:rsidR="00743AFA" w:rsidRPr="008B13A5">
              <w:rPr>
                <w:noProof/>
                <w:sz w:val="20"/>
              </w:rPr>
              <w:t>s suppliers</w:t>
            </w:r>
            <w:r w:rsidRPr="008B13A5">
              <w:rPr>
                <w:noProof/>
                <w:sz w:val="20"/>
              </w:rPr>
              <w:t xml:space="preserve">, engineering services and </w:t>
            </w:r>
            <w:r w:rsidR="00743AFA" w:rsidRPr="008B13A5">
              <w:rPr>
                <w:noProof/>
                <w:sz w:val="20"/>
              </w:rPr>
              <w:t xml:space="preserve">other </w:t>
            </w:r>
            <w:r w:rsidRPr="008B13A5">
              <w:rPr>
                <w:noProof/>
                <w:sz w:val="20"/>
              </w:rPr>
              <w:t>specialised suppliers. Regional economies benefit from clustering effects, technology diffusion and increased productivity in downstream sectors.</w:t>
            </w:r>
          </w:p>
          <w:p w14:paraId="4B4A03EA" w14:textId="41A42F24" w:rsidR="00086CCA" w:rsidRPr="008B13A5" w:rsidRDefault="00086CCA" w:rsidP="00086CCA">
            <w:pPr>
              <w:rPr>
                <w:noProof/>
                <w:sz w:val="20"/>
              </w:rPr>
            </w:pPr>
            <w:r w:rsidRPr="008B13A5">
              <w:rPr>
                <w:noProof/>
                <w:sz w:val="20"/>
              </w:rPr>
              <w:t>Over time, these spillovers contribute to sustained value creation and tax revenues beyond the directly supported projects.</w:t>
            </w:r>
          </w:p>
          <w:p w14:paraId="71851660" w14:textId="209E4ED9" w:rsidR="00086CCA" w:rsidRPr="008B13A5" w:rsidRDefault="00086CCA" w:rsidP="00086CCA">
            <w:pPr>
              <w:rPr>
                <w:i/>
                <w:noProof/>
                <w:sz w:val="20"/>
              </w:rPr>
            </w:pPr>
            <w:r w:rsidRPr="008B13A5">
              <w:rPr>
                <w:i/>
                <w:noProof/>
                <w:sz w:val="20"/>
              </w:rPr>
              <w:t>Main beneficiaries: Member States, upstream and downstream industries.</w:t>
            </w:r>
          </w:p>
          <w:p w14:paraId="19CDBB24" w14:textId="77777777" w:rsidR="00086CCA" w:rsidRPr="008B13A5" w:rsidRDefault="00086CCA" w:rsidP="00086CCA">
            <w:pPr>
              <w:spacing w:after="0"/>
              <w:rPr>
                <w:noProof/>
                <w:sz w:val="20"/>
              </w:rPr>
            </w:pPr>
          </w:p>
        </w:tc>
      </w:tr>
      <w:tr w:rsidR="006424E4" w:rsidRPr="008B13A5" w14:paraId="4D440E9E" w14:textId="77777777" w:rsidTr="7D78EC0B">
        <w:tc>
          <w:tcPr>
            <w:tcW w:w="10206" w:type="dxa"/>
            <w:gridSpan w:val="3"/>
          </w:tcPr>
          <w:p w14:paraId="58F86B95" w14:textId="71FF4A08" w:rsidR="006424E4" w:rsidRPr="008B13A5" w:rsidRDefault="006424E4" w:rsidP="006424E4">
            <w:pPr>
              <w:jc w:val="center"/>
              <w:rPr>
                <w:noProof/>
                <w:sz w:val="20"/>
              </w:rPr>
            </w:pPr>
            <w:r w:rsidRPr="008B13A5">
              <w:rPr>
                <w:b/>
                <w:i/>
                <w:noProof/>
                <w:sz w:val="20"/>
              </w:rPr>
              <w:t>Administrative cost savings related to the ‘one in, one out’ approach</w:t>
            </w:r>
          </w:p>
        </w:tc>
      </w:tr>
      <w:tr w:rsidR="00A14543" w:rsidRPr="008B13A5" w14:paraId="02ED2F4A" w14:textId="77777777" w:rsidTr="0000292A">
        <w:tc>
          <w:tcPr>
            <w:tcW w:w="2512" w:type="dxa"/>
          </w:tcPr>
          <w:p w14:paraId="46F194EC" w14:textId="2EF8BCD8" w:rsidR="00A14543" w:rsidRPr="008B13A5" w:rsidRDefault="00A14543" w:rsidP="00A14543">
            <w:pPr>
              <w:spacing w:after="0"/>
              <w:rPr>
                <w:noProof/>
                <w:sz w:val="20"/>
              </w:rPr>
            </w:pPr>
            <w:r w:rsidRPr="008B13A5">
              <w:rPr>
                <w:noProof/>
                <w:sz w:val="20"/>
              </w:rPr>
              <w:t>Administrative cost savings due to the Strategic Projects (simplification effects)</w:t>
            </w:r>
          </w:p>
        </w:tc>
        <w:tc>
          <w:tcPr>
            <w:tcW w:w="2784" w:type="dxa"/>
            <w:tcMar>
              <w:top w:w="57" w:type="dxa"/>
              <w:left w:w="57" w:type="dxa"/>
              <w:bottom w:w="57" w:type="dxa"/>
              <w:right w:w="57" w:type="dxa"/>
            </w:tcMar>
          </w:tcPr>
          <w:p w14:paraId="3CEAED30" w14:textId="4B295FEA" w:rsidR="00A14543" w:rsidRPr="008B13A5" w:rsidRDefault="00A14543" w:rsidP="00A14543">
            <w:pPr>
              <w:rPr>
                <w:noProof/>
                <w:sz w:val="20"/>
              </w:rPr>
            </w:pPr>
            <w:r w:rsidRPr="008B13A5">
              <w:rPr>
                <w:noProof/>
                <w:sz w:val="20"/>
              </w:rPr>
              <w:t>Qualitative (administrative efficiency gain)</w:t>
            </w:r>
          </w:p>
        </w:tc>
        <w:tc>
          <w:tcPr>
            <w:tcW w:w="4910" w:type="dxa"/>
            <w:tcMar>
              <w:top w:w="57" w:type="dxa"/>
              <w:left w:w="57" w:type="dxa"/>
              <w:bottom w:w="57" w:type="dxa"/>
              <w:right w:w="57" w:type="dxa"/>
            </w:tcMar>
          </w:tcPr>
          <w:p w14:paraId="0F1EEF9F" w14:textId="1504AC39" w:rsidR="00A14543" w:rsidRPr="008B13A5" w:rsidRDefault="00A14543" w:rsidP="00A14543">
            <w:pPr>
              <w:rPr>
                <w:noProof/>
                <w:sz w:val="20"/>
              </w:rPr>
            </w:pPr>
            <w:r w:rsidRPr="008B13A5">
              <w:rPr>
                <w:noProof/>
                <w:sz w:val="20"/>
              </w:rPr>
              <w:t xml:space="preserve">Semiconductor firms and national authorities benefit from reduced duplication of administrative steps </w:t>
            </w:r>
            <w:r w:rsidR="005E1D25" w:rsidRPr="008B13A5">
              <w:rPr>
                <w:noProof/>
                <w:sz w:val="20"/>
              </w:rPr>
              <w:t xml:space="preserve">when </w:t>
            </w:r>
            <w:r w:rsidRPr="008B13A5">
              <w:rPr>
                <w:noProof/>
                <w:sz w:val="20"/>
              </w:rPr>
              <w:t>compared to fragmented national processes under the baseline. Strategic Projects create a coordinated EU-level project pipeline, simplifying interactions and streamlining procedural handling</w:t>
            </w:r>
            <w:r w:rsidR="00A4156E" w:rsidRPr="008B13A5">
              <w:rPr>
                <w:noProof/>
                <w:sz w:val="20"/>
              </w:rPr>
              <w:t xml:space="preserve"> for a select number of projects that qualify as Strategic Projects</w:t>
            </w:r>
            <w:r w:rsidRPr="008B13A5">
              <w:rPr>
                <w:noProof/>
                <w:sz w:val="20"/>
              </w:rPr>
              <w:t>.</w:t>
            </w:r>
          </w:p>
          <w:p w14:paraId="1B9A20E8" w14:textId="3BA27245" w:rsidR="00A14543" w:rsidRPr="008B13A5" w:rsidRDefault="00A14543" w:rsidP="00A14543">
            <w:pPr>
              <w:rPr>
                <w:noProof/>
                <w:sz w:val="20"/>
              </w:rPr>
            </w:pPr>
            <w:r w:rsidRPr="008B13A5">
              <w:rPr>
                <w:i/>
                <w:iCs/>
                <w:noProof/>
                <w:sz w:val="20"/>
              </w:rPr>
              <w:t>Main beneficiaries: EU industry, public authorities.</w:t>
            </w:r>
          </w:p>
        </w:tc>
      </w:tr>
      <w:tr w:rsidR="00A14543" w:rsidRPr="008B13A5" w14:paraId="166E6452" w14:textId="77777777" w:rsidTr="0000292A">
        <w:tc>
          <w:tcPr>
            <w:tcW w:w="2512" w:type="dxa"/>
          </w:tcPr>
          <w:p w14:paraId="603BD68A" w14:textId="39F98FD3" w:rsidR="00A14543" w:rsidRPr="008B13A5" w:rsidRDefault="00A14543" w:rsidP="00A14543">
            <w:pPr>
              <w:spacing w:after="0"/>
              <w:rPr>
                <w:noProof/>
                <w:sz w:val="20"/>
              </w:rPr>
            </w:pPr>
            <w:r w:rsidRPr="008B13A5">
              <w:rPr>
                <w:noProof/>
                <w:sz w:val="20"/>
              </w:rPr>
              <w:t>Administrative cost savings due to faster and more predictable permitting processes</w:t>
            </w:r>
          </w:p>
        </w:tc>
        <w:tc>
          <w:tcPr>
            <w:tcW w:w="2784" w:type="dxa"/>
            <w:tcMar>
              <w:top w:w="57" w:type="dxa"/>
              <w:left w:w="57" w:type="dxa"/>
              <w:bottom w:w="57" w:type="dxa"/>
              <w:right w:w="57" w:type="dxa"/>
            </w:tcMar>
          </w:tcPr>
          <w:p w14:paraId="72A24FDD" w14:textId="0244DE03" w:rsidR="00A14543" w:rsidRPr="008B13A5" w:rsidRDefault="00A14543" w:rsidP="00A14543">
            <w:pPr>
              <w:rPr>
                <w:noProof/>
                <w:sz w:val="20"/>
              </w:rPr>
            </w:pPr>
            <w:r w:rsidRPr="008B13A5">
              <w:rPr>
                <w:noProof/>
                <w:sz w:val="20"/>
              </w:rPr>
              <w:t>Qualitative (reduced administrative effort)</w:t>
            </w:r>
          </w:p>
        </w:tc>
        <w:tc>
          <w:tcPr>
            <w:tcW w:w="4910" w:type="dxa"/>
            <w:tcMar>
              <w:top w:w="57" w:type="dxa"/>
              <w:left w:w="57" w:type="dxa"/>
              <w:bottom w:w="57" w:type="dxa"/>
              <w:right w:w="57" w:type="dxa"/>
            </w:tcMar>
          </w:tcPr>
          <w:p w14:paraId="1A76A96F" w14:textId="72C1DC5C" w:rsidR="00A14543" w:rsidRPr="008B13A5" w:rsidRDefault="00A14543" w:rsidP="00A14543">
            <w:pPr>
              <w:rPr>
                <w:noProof/>
                <w:sz w:val="20"/>
              </w:rPr>
            </w:pPr>
            <w:r w:rsidRPr="008B13A5">
              <w:rPr>
                <w:noProof/>
                <w:sz w:val="20"/>
              </w:rPr>
              <w:t>Firms benefit from fewer iterative exchanges with permitting authorities and clearer procedural timelines. While not removing obligations, PO2 reduces the time and administrative workload associated with managing complex investment dossiers.</w:t>
            </w:r>
          </w:p>
          <w:p w14:paraId="57DEB90F" w14:textId="7A99E211" w:rsidR="00A14543" w:rsidRPr="008B13A5" w:rsidRDefault="00A14543" w:rsidP="00A14543">
            <w:pPr>
              <w:rPr>
                <w:noProof/>
                <w:sz w:val="20"/>
              </w:rPr>
            </w:pPr>
            <w:r w:rsidRPr="008B13A5">
              <w:rPr>
                <w:i/>
                <w:iCs/>
                <w:noProof/>
                <w:sz w:val="20"/>
              </w:rPr>
              <w:t>Main beneficiaries: EU industry, public authorities.</w:t>
            </w:r>
          </w:p>
        </w:tc>
      </w:tr>
      <w:tr w:rsidR="00A14543" w:rsidRPr="008B13A5" w14:paraId="0E708C8C" w14:textId="77777777" w:rsidTr="0000292A">
        <w:tc>
          <w:tcPr>
            <w:tcW w:w="2512" w:type="dxa"/>
          </w:tcPr>
          <w:p w14:paraId="417F0643" w14:textId="424DCD1C" w:rsidR="00A14543" w:rsidRPr="008B13A5" w:rsidRDefault="00A14543" w:rsidP="00A14543">
            <w:pPr>
              <w:spacing w:after="0"/>
              <w:rPr>
                <w:noProof/>
                <w:sz w:val="20"/>
              </w:rPr>
            </w:pPr>
            <w:r w:rsidRPr="008B13A5">
              <w:rPr>
                <w:noProof/>
                <w:sz w:val="20"/>
              </w:rPr>
              <w:t>Administrative cost savings due to reduced ad hoc crisis information requests</w:t>
            </w:r>
          </w:p>
        </w:tc>
        <w:tc>
          <w:tcPr>
            <w:tcW w:w="2784" w:type="dxa"/>
            <w:tcMar>
              <w:top w:w="57" w:type="dxa"/>
              <w:left w:w="57" w:type="dxa"/>
              <w:bottom w:w="57" w:type="dxa"/>
              <w:right w:w="57" w:type="dxa"/>
            </w:tcMar>
          </w:tcPr>
          <w:p w14:paraId="411FFF4C" w14:textId="287BFBD9" w:rsidR="00A14543" w:rsidRPr="008B13A5" w:rsidRDefault="00A14543" w:rsidP="00A14543">
            <w:pPr>
              <w:rPr>
                <w:noProof/>
                <w:sz w:val="20"/>
              </w:rPr>
            </w:pPr>
            <w:r w:rsidRPr="008B13A5">
              <w:rPr>
                <w:noProof/>
                <w:sz w:val="20"/>
              </w:rPr>
              <w:t>Qualitative (reduction of repeated, urgent data calls)</w:t>
            </w:r>
          </w:p>
        </w:tc>
        <w:tc>
          <w:tcPr>
            <w:tcW w:w="4910" w:type="dxa"/>
            <w:tcMar>
              <w:top w:w="57" w:type="dxa"/>
              <w:left w:w="57" w:type="dxa"/>
              <w:bottom w:w="57" w:type="dxa"/>
              <w:right w:w="57" w:type="dxa"/>
            </w:tcMar>
          </w:tcPr>
          <w:p w14:paraId="7A00B52A" w14:textId="0FB351E1" w:rsidR="00A14543" w:rsidRPr="008B13A5" w:rsidRDefault="00A14543" w:rsidP="7D78EC0B">
            <w:pPr>
              <w:rPr>
                <w:noProof/>
                <w:sz w:val="20"/>
                <w:szCs w:val="20"/>
              </w:rPr>
            </w:pPr>
            <w:r w:rsidRPr="008B13A5">
              <w:rPr>
                <w:noProof/>
                <w:sz w:val="20"/>
                <w:szCs w:val="20"/>
              </w:rPr>
              <w:t xml:space="preserve">Through the Business-to-Business </w:t>
            </w:r>
            <w:r w:rsidR="00136D97" w:rsidRPr="008B13A5">
              <w:rPr>
                <w:noProof/>
                <w:sz w:val="20"/>
                <w:szCs w:val="20"/>
              </w:rPr>
              <w:t xml:space="preserve">Semiconductor Supply Chain </w:t>
            </w:r>
            <w:r w:rsidRPr="008B13A5">
              <w:rPr>
                <w:noProof/>
                <w:sz w:val="20"/>
                <w:szCs w:val="20"/>
              </w:rPr>
              <w:t>Platform, companies and national authorities face fewer uncoordinated, last-minute requests. The structured, recurrent mechanism replaces fragmented information demands that currently generate high administrative burden.</w:t>
            </w:r>
          </w:p>
          <w:p w14:paraId="0391E0FA" w14:textId="06A20A26" w:rsidR="00A14543" w:rsidRPr="008B13A5" w:rsidRDefault="00A14543" w:rsidP="00A14543">
            <w:pPr>
              <w:rPr>
                <w:noProof/>
                <w:sz w:val="20"/>
              </w:rPr>
            </w:pPr>
            <w:r w:rsidRPr="008B13A5">
              <w:rPr>
                <w:i/>
                <w:iCs/>
                <w:noProof/>
                <w:sz w:val="20"/>
              </w:rPr>
              <w:t>Main beneficiaries: EU industry, public authorities.</w:t>
            </w:r>
          </w:p>
        </w:tc>
      </w:tr>
    </w:tbl>
    <w:p w14:paraId="544943BD" w14:textId="77777777" w:rsidR="00293BD8" w:rsidRPr="008B13A5" w:rsidRDefault="00293BD8" w:rsidP="00BA5F12">
      <w:pPr>
        <w:rPr>
          <w:noProof/>
        </w:rPr>
        <w:sectPr w:rsidR="00293BD8" w:rsidRPr="008B13A5" w:rsidSect="00AA3F22">
          <w:pgSz w:w="11906" w:h="16838"/>
          <w:pgMar w:top="1134" w:right="1418" w:bottom="1418" w:left="1134" w:header="601" w:footer="1077" w:gutter="0"/>
          <w:cols w:space="720"/>
          <w:titlePg/>
        </w:sectPr>
      </w:pPr>
    </w:p>
    <w:tbl>
      <w:tblPr>
        <w:tblStyle w:val="TableGrid"/>
        <w:tblW w:w="14768" w:type="dxa"/>
        <w:tblBorders>
          <w:top w:val="double" w:sz="4" w:space="0" w:color="auto"/>
          <w:left w:val="double" w:sz="4" w:space="0" w:color="auto"/>
          <w:bottom w:val="double" w:sz="4" w:space="0" w:color="auto"/>
          <w:right w:val="double" w:sz="4" w:space="0" w:color="auto"/>
        </w:tblBorders>
        <w:tblLayout w:type="fixed"/>
        <w:tblCellMar>
          <w:left w:w="0" w:type="dxa"/>
          <w:right w:w="0" w:type="dxa"/>
        </w:tblCellMar>
        <w:tblLook w:val="04A0" w:firstRow="1" w:lastRow="0" w:firstColumn="1" w:lastColumn="0" w:noHBand="0" w:noVBand="1"/>
      </w:tblPr>
      <w:tblGrid>
        <w:gridCol w:w="681"/>
        <w:gridCol w:w="1571"/>
        <w:gridCol w:w="1403"/>
        <w:gridCol w:w="992"/>
        <w:gridCol w:w="2342"/>
        <w:gridCol w:w="2408"/>
        <w:gridCol w:w="2445"/>
        <w:gridCol w:w="2926"/>
      </w:tblGrid>
      <w:tr w:rsidR="00BA5F12" w:rsidRPr="008B13A5" w14:paraId="5D838175" w14:textId="77777777" w:rsidTr="7D78EC0B">
        <w:trPr>
          <w:trHeight w:val="300"/>
        </w:trPr>
        <w:tc>
          <w:tcPr>
            <w:tcW w:w="14768" w:type="dxa"/>
            <w:gridSpan w:val="8"/>
            <w:shd w:val="clear" w:color="auto" w:fill="C6D9F1" w:themeFill="text2" w:themeFillTint="33"/>
            <w:tcMar>
              <w:top w:w="57" w:type="dxa"/>
              <w:left w:w="57" w:type="dxa"/>
              <w:bottom w:w="57" w:type="dxa"/>
              <w:right w:w="57" w:type="dxa"/>
            </w:tcMar>
          </w:tcPr>
          <w:p w14:paraId="4010BF31" w14:textId="5A4E000C" w:rsidR="00BA5F12" w:rsidRPr="008B13A5" w:rsidRDefault="00BA5F12">
            <w:pPr>
              <w:rPr>
                <w:b/>
                <w:noProof/>
                <w:sz w:val="20"/>
              </w:rPr>
            </w:pPr>
            <w:r w:rsidRPr="008B13A5">
              <w:rPr>
                <w:b/>
                <w:noProof/>
                <w:sz w:val="20"/>
              </w:rPr>
              <w:t>II. Overview of costs – Preferred option</w:t>
            </w:r>
          </w:p>
        </w:tc>
      </w:tr>
      <w:tr w:rsidR="00BA5F12" w:rsidRPr="008B13A5" w14:paraId="568A18C8" w14:textId="77777777" w:rsidTr="7D78EC0B">
        <w:trPr>
          <w:trHeight w:val="300"/>
        </w:trPr>
        <w:tc>
          <w:tcPr>
            <w:tcW w:w="2252" w:type="dxa"/>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190A4A5C" w14:textId="77777777" w:rsidR="00BA5F12" w:rsidRPr="008B13A5" w:rsidRDefault="00BA5F12">
            <w:pPr>
              <w:rPr>
                <w:b/>
                <w:noProof/>
                <w:sz w:val="20"/>
              </w:rPr>
            </w:pPr>
          </w:p>
        </w:tc>
        <w:tc>
          <w:tcPr>
            <w:tcW w:w="2395" w:type="dxa"/>
            <w:gridSpan w:val="2"/>
            <w:tcBorders>
              <w:left w:val="double" w:sz="4" w:space="0" w:color="auto"/>
            </w:tcBorders>
            <w:tcMar>
              <w:top w:w="57" w:type="dxa"/>
              <w:left w:w="57" w:type="dxa"/>
              <w:bottom w:w="57" w:type="dxa"/>
              <w:right w:w="57" w:type="dxa"/>
            </w:tcMar>
          </w:tcPr>
          <w:p w14:paraId="3AD371A1" w14:textId="77777777" w:rsidR="00BA5F12" w:rsidRPr="008B13A5" w:rsidRDefault="00BA5F12">
            <w:pPr>
              <w:jc w:val="center"/>
              <w:rPr>
                <w:b/>
                <w:noProof/>
                <w:sz w:val="20"/>
              </w:rPr>
            </w:pPr>
            <w:r w:rsidRPr="008B13A5">
              <w:rPr>
                <w:b/>
                <w:noProof/>
                <w:sz w:val="20"/>
              </w:rPr>
              <w:t>Citizens/Consumers</w:t>
            </w:r>
          </w:p>
        </w:tc>
        <w:tc>
          <w:tcPr>
            <w:tcW w:w="4750" w:type="dxa"/>
            <w:gridSpan w:val="2"/>
            <w:tcMar>
              <w:top w:w="57" w:type="dxa"/>
              <w:left w:w="57" w:type="dxa"/>
              <w:bottom w:w="57" w:type="dxa"/>
              <w:right w:w="57" w:type="dxa"/>
            </w:tcMar>
          </w:tcPr>
          <w:p w14:paraId="5CBB0EE5" w14:textId="77777777" w:rsidR="00BA5F12" w:rsidRPr="008B13A5" w:rsidRDefault="00BA5F12">
            <w:pPr>
              <w:jc w:val="center"/>
              <w:rPr>
                <w:b/>
                <w:noProof/>
                <w:sz w:val="20"/>
              </w:rPr>
            </w:pPr>
            <w:r w:rsidRPr="008B13A5">
              <w:rPr>
                <w:b/>
                <w:noProof/>
                <w:sz w:val="20"/>
              </w:rPr>
              <w:t>Businesses</w:t>
            </w:r>
          </w:p>
        </w:tc>
        <w:tc>
          <w:tcPr>
            <w:tcW w:w="5371" w:type="dxa"/>
            <w:gridSpan w:val="2"/>
            <w:tcMar>
              <w:top w:w="57" w:type="dxa"/>
              <w:left w:w="57" w:type="dxa"/>
              <w:bottom w:w="57" w:type="dxa"/>
              <w:right w:w="57" w:type="dxa"/>
            </w:tcMar>
          </w:tcPr>
          <w:p w14:paraId="0F374621" w14:textId="77777777" w:rsidR="00BA5F12" w:rsidRPr="008B13A5" w:rsidRDefault="00BA5F12">
            <w:pPr>
              <w:jc w:val="center"/>
              <w:rPr>
                <w:b/>
                <w:noProof/>
                <w:sz w:val="20"/>
              </w:rPr>
            </w:pPr>
            <w:r w:rsidRPr="008B13A5">
              <w:rPr>
                <w:b/>
                <w:noProof/>
                <w:sz w:val="20"/>
              </w:rPr>
              <w:t>Administrations</w:t>
            </w:r>
          </w:p>
        </w:tc>
      </w:tr>
      <w:tr w:rsidR="00BA5F12" w:rsidRPr="008B13A5" w14:paraId="3F4F3035" w14:textId="77777777" w:rsidTr="7D78EC0B">
        <w:trPr>
          <w:trHeight w:val="300"/>
        </w:trPr>
        <w:tc>
          <w:tcPr>
            <w:tcW w:w="2252" w:type="dxa"/>
            <w:gridSpan w:val="2"/>
            <w:vMerge/>
            <w:tcBorders>
              <w:tl2br w:val="double" w:sz="4" w:space="0" w:color="auto"/>
            </w:tcBorders>
            <w:tcMar>
              <w:top w:w="57" w:type="dxa"/>
              <w:left w:w="57" w:type="dxa"/>
              <w:bottom w:w="57" w:type="dxa"/>
              <w:right w:w="57" w:type="dxa"/>
            </w:tcMar>
          </w:tcPr>
          <w:p w14:paraId="0AE5A4B9" w14:textId="77777777" w:rsidR="00BA5F12" w:rsidRPr="008B13A5" w:rsidRDefault="00BA5F12">
            <w:pPr>
              <w:rPr>
                <w:b/>
                <w:noProof/>
                <w:sz w:val="20"/>
              </w:rPr>
            </w:pPr>
          </w:p>
        </w:tc>
        <w:tc>
          <w:tcPr>
            <w:tcW w:w="1403" w:type="dxa"/>
            <w:tcBorders>
              <w:left w:val="double" w:sz="4" w:space="0" w:color="auto"/>
              <w:bottom w:val="double" w:sz="4" w:space="0" w:color="auto"/>
            </w:tcBorders>
            <w:tcMar>
              <w:top w:w="57" w:type="dxa"/>
              <w:left w:w="57" w:type="dxa"/>
              <w:bottom w:w="57" w:type="dxa"/>
              <w:right w:w="57" w:type="dxa"/>
            </w:tcMar>
          </w:tcPr>
          <w:p w14:paraId="26ED0E8C" w14:textId="77777777" w:rsidR="00BA5F12" w:rsidRPr="008B13A5" w:rsidRDefault="00BA5F12">
            <w:pPr>
              <w:jc w:val="center"/>
              <w:rPr>
                <w:b/>
                <w:noProof/>
                <w:sz w:val="20"/>
              </w:rPr>
            </w:pPr>
            <w:r w:rsidRPr="008B13A5">
              <w:rPr>
                <w:b/>
                <w:noProof/>
                <w:sz w:val="20"/>
              </w:rPr>
              <w:t>One-off</w:t>
            </w:r>
          </w:p>
        </w:tc>
        <w:tc>
          <w:tcPr>
            <w:tcW w:w="992" w:type="dxa"/>
            <w:tcBorders>
              <w:bottom w:val="double" w:sz="4" w:space="0" w:color="auto"/>
            </w:tcBorders>
            <w:tcMar>
              <w:top w:w="57" w:type="dxa"/>
              <w:left w:w="57" w:type="dxa"/>
              <w:bottom w:w="57" w:type="dxa"/>
              <w:right w:w="57" w:type="dxa"/>
            </w:tcMar>
          </w:tcPr>
          <w:p w14:paraId="6F53D351" w14:textId="77777777" w:rsidR="00BA5F12" w:rsidRPr="008B13A5" w:rsidRDefault="00BA5F12">
            <w:pPr>
              <w:jc w:val="center"/>
              <w:rPr>
                <w:b/>
                <w:noProof/>
                <w:sz w:val="20"/>
              </w:rPr>
            </w:pPr>
            <w:r w:rsidRPr="008B13A5">
              <w:rPr>
                <w:b/>
                <w:noProof/>
                <w:sz w:val="20"/>
              </w:rPr>
              <w:t>Recurrent</w:t>
            </w:r>
          </w:p>
        </w:tc>
        <w:tc>
          <w:tcPr>
            <w:tcW w:w="2342" w:type="dxa"/>
            <w:tcBorders>
              <w:bottom w:val="double" w:sz="4" w:space="0" w:color="auto"/>
            </w:tcBorders>
            <w:tcMar>
              <w:top w:w="57" w:type="dxa"/>
              <w:left w:w="57" w:type="dxa"/>
              <w:bottom w:w="57" w:type="dxa"/>
              <w:right w:w="57" w:type="dxa"/>
            </w:tcMar>
          </w:tcPr>
          <w:p w14:paraId="7DDECF0C" w14:textId="77777777" w:rsidR="00BA5F12" w:rsidRPr="008B13A5" w:rsidRDefault="00BA5F12">
            <w:pPr>
              <w:jc w:val="center"/>
              <w:rPr>
                <w:b/>
                <w:noProof/>
                <w:sz w:val="20"/>
              </w:rPr>
            </w:pPr>
            <w:r w:rsidRPr="008B13A5">
              <w:rPr>
                <w:b/>
                <w:noProof/>
                <w:sz w:val="20"/>
              </w:rPr>
              <w:t>One-off</w:t>
            </w:r>
          </w:p>
        </w:tc>
        <w:tc>
          <w:tcPr>
            <w:tcW w:w="2408" w:type="dxa"/>
            <w:tcBorders>
              <w:bottom w:val="double" w:sz="4" w:space="0" w:color="auto"/>
            </w:tcBorders>
            <w:tcMar>
              <w:top w:w="57" w:type="dxa"/>
              <w:left w:w="57" w:type="dxa"/>
              <w:bottom w:w="57" w:type="dxa"/>
              <w:right w:w="57" w:type="dxa"/>
            </w:tcMar>
          </w:tcPr>
          <w:p w14:paraId="67B9ECAD" w14:textId="77777777" w:rsidR="00BA5F12" w:rsidRPr="008B13A5" w:rsidRDefault="00BA5F12">
            <w:pPr>
              <w:jc w:val="center"/>
              <w:rPr>
                <w:b/>
                <w:noProof/>
                <w:sz w:val="20"/>
              </w:rPr>
            </w:pPr>
            <w:r w:rsidRPr="008B13A5">
              <w:rPr>
                <w:b/>
                <w:noProof/>
                <w:sz w:val="20"/>
              </w:rPr>
              <w:t>Recurrent</w:t>
            </w:r>
          </w:p>
        </w:tc>
        <w:tc>
          <w:tcPr>
            <w:tcW w:w="2445" w:type="dxa"/>
            <w:tcBorders>
              <w:bottom w:val="double" w:sz="4" w:space="0" w:color="auto"/>
            </w:tcBorders>
            <w:tcMar>
              <w:top w:w="57" w:type="dxa"/>
              <w:left w:w="57" w:type="dxa"/>
              <w:bottom w:w="57" w:type="dxa"/>
              <w:right w:w="57" w:type="dxa"/>
            </w:tcMar>
          </w:tcPr>
          <w:p w14:paraId="62B9A9A6" w14:textId="77777777" w:rsidR="00BA5F12" w:rsidRPr="008B13A5" w:rsidRDefault="00BA5F12">
            <w:pPr>
              <w:jc w:val="center"/>
              <w:rPr>
                <w:b/>
                <w:noProof/>
                <w:sz w:val="20"/>
              </w:rPr>
            </w:pPr>
            <w:r w:rsidRPr="008B13A5">
              <w:rPr>
                <w:b/>
                <w:noProof/>
                <w:sz w:val="20"/>
              </w:rPr>
              <w:t>One-off</w:t>
            </w:r>
          </w:p>
        </w:tc>
        <w:tc>
          <w:tcPr>
            <w:tcW w:w="2926" w:type="dxa"/>
            <w:tcBorders>
              <w:bottom w:val="double" w:sz="4" w:space="0" w:color="auto"/>
            </w:tcBorders>
            <w:tcMar>
              <w:top w:w="57" w:type="dxa"/>
              <w:left w:w="57" w:type="dxa"/>
              <w:bottom w:w="57" w:type="dxa"/>
              <w:right w:w="57" w:type="dxa"/>
            </w:tcMar>
          </w:tcPr>
          <w:p w14:paraId="07AE285D" w14:textId="77777777" w:rsidR="00BA5F12" w:rsidRPr="008B13A5" w:rsidRDefault="00BA5F12">
            <w:pPr>
              <w:jc w:val="center"/>
              <w:rPr>
                <w:b/>
                <w:noProof/>
                <w:sz w:val="20"/>
              </w:rPr>
            </w:pPr>
            <w:r w:rsidRPr="008B13A5">
              <w:rPr>
                <w:b/>
                <w:noProof/>
                <w:sz w:val="20"/>
              </w:rPr>
              <w:t>Recurrent</w:t>
            </w:r>
          </w:p>
        </w:tc>
      </w:tr>
      <w:tr w:rsidR="00926AD5" w:rsidRPr="008B13A5" w14:paraId="73C04020" w14:textId="77777777" w:rsidTr="5F29F250">
        <w:trPr>
          <w:trHeight w:val="307"/>
        </w:trPr>
        <w:tc>
          <w:tcPr>
            <w:tcW w:w="681" w:type="dxa"/>
            <w:vMerge w:val="restart"/>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vAlign w:val="center"/>
          </w:tcPr>
          <w:p w14:paraId="5BF9327A" w14:textId="66F27677" w:rsidR="00BA5F12" w:rsidRPr="008B13A5" w:rsidRDefault="00BA5F12">
            <w:pPr>
              <w:rPr>
                <w:noProof/>
                <w:sz w:val="20"/>
              </w:rPr>
            </w:pPr>
            <w:r w:rsidRPr="008B13A5">
              <w:rPr>
                <w:noProof/>
                <w:sz w:val="20"/>
              </w:rPr>
              <w:t xml:space="preserve">Action (a)  </w:t>
            </w:r>
          </w:p>
        </w:tc>
        <w:tc>
          <w:tcPr>
            <w:tcW w:w="1571"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vAlign w:val="center"/>
          </w:tcPr>
          <w:p w14:paraId="02124844" w14:textId="2C87F0F9" w:rsidR="00BA5F12" w:rsidRPr="008B13A5" w:rsidRDefault="00BA5F12">
            <w:pPr>
              <w:jc w:val="left"/>
              <w:rPr>
                <w:noProof/>
                <w:sz w:val="20"/>
              </w:rPr>
            </w:pPr>
            <w:r w:rsidRPr="008B13A5">
              <w:rPr>
                <w:noProof/>
                <w:sz w:val="20"/>
              </w:rPr>
              <w:t>Direct adjustment costs</w:t>
            </w:r>
          </w:p>
        </w:tc>
        <w:tc>
          <w:tcPr>
            <w:tcW w:w="1403"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vAlign w:val="center"/>
          </w:tcPr>
          <w:p w14:paraId="126B194B" w14:textId="574E359C" w:rsidR="00BA5F12" w:rsidRPr="008B13A5" w:rsidRDefault="00BA5F12" w:rsidP="005E3F8A">
            <w:pPr>
              <w:jc w:val="left"/>
              <w:rPr>
                <w:noProof/>
                <w:sz w:val="20"/>
              </w:rPr>
            </w:pPr>
            <w:r w:rsidRPr="008B13A5">
              <w:rPr>
                <w:noProof/>
                <w:sz w:val="20"/>
              </w:rPr>
              <w:t>None</w:t>
            </w:r>
          </w:p>
        </w:tc>
        <w:tc>
          <w:tcPr>
            <w:tcW w:w="992"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vAlign w:val="center"/>
          </w:tcPr>
          <w:p w14:paraId="31B61BC1" w14:textId="77777777" w:rsidR="00BA5F12" w:rsidRPr="008B13A5" w:rsidRDefault="00BA5F12" w:rsidP="005E3F8A">
            <w:pPr>
              <w:jc w:val="left"/>
              <w:rPr>
                <w:noProof/>
                <w:sz w:val="20"/>
              </w:rPr>
            </w:pPr>
            <w:r w:rsidRPr="008B13A5">
              <w:rPr>
                <w:noProof/>
                <w:sz w:val="20"/>
              </w:rPr>
              <w:t>None</w:t>
            </w:r>
          </w:p>
        </w:tc>
        <w:tc>
          <w:tcPr>
            <w:tcW w:w="2342"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vAlign w:val="center"/>
          </w:tcPr>
          <w:p w14:paraId="32538CDC" w14:textId="77777777" w:rsidR="00BA5F12" w:rsidRPr="008B13A5" w:rsidRDefault="00BA5F12" w:rsidP="005E3F8A">
            <w:pPr>
              <w:jc w:val="left"/>
              <w:rPr>
                <w:noProof/>
                <w:sz w:val="20"/>
              </w:rPr>
            </w:pPr>
            <w:r w:rsidRPr="008B13A5">
              <w:rPr>
                <w:noProof/>
                <w:sz w:val="20"/>
              </w:rPr>
              <w:t>None</w:t>
            </w:r>
          </w:p>
        </w:tc>
        <w:tc>
          <w:tcPr>
            <w:tcW w:w="2408"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vAlign w:val="center"/>
          </w:tcPr>
          <w:p w14:paraId="4A4FB448" w14:textId="77777777" w:rsidR="00BA5F12" w:rsidRPr="008B13A5" w:rsidRDefault="00BA5F12" w:rsidP="005E3F8A">
            <w:pPr>
              <w:jc w:val="left"/>
              <w:rPr>
                <w:noProof/>
                <w:sz w:val="20"/>
              </w:rPr>
            </w:pPr>
            <w:r w:rsidRPr="008B13A5">
              <w:rPr>
                <w:noProof/>
                <w:sz w:val="20"/>
              </w:rPr>
              <w:t>None</w:t>
            </w:r>
          </w:p>
        </w:tc>
        <w:tc>
          <w:tcPr>
            <w:tcW w:w="2445"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6EC3F842" w14:textId="674FB296" w:rsidR="00BA5F12" w:rsidRPr="008B13A5" w:rsidRDefault="00BA5F12">
            <w:pPr>
              <w:jc w:val="left"/>
              <w:rPr>
                <w:noProof/>
                <w:sz w:val="20"/>
              </w:rPr>
            </w:pPr>
            <w:r w:rsidRPr="008B13A5">
              <w:rPr>
                <w:noProof/>
                <w:sz w:val="20"/>
              </w:rPr>
              <w:t xml:space="preserve">Administrative capacity upgrades </w:t>
            </w:r>
            <w:r w:rsidR="00C028B6" w:rsidRPr="008B13A5">
              <w:rPr>
                <w:noProof/>
                <w:sz w:val="20"/>
              </w:rPr>
              <w:t>for</w:t>
            </w:r>
            <w:r w:rsidRPr="008B13A5">
              <w:rPr>
                <w:noProof/>
                <w:sz w:val="20"/>
              </w:rPr>
              <w:t xml:space="preserve"> </w:t>
            </w:r>
            <w:r w:rsidR="00C028B6" w:rsidRPr="008B13A5">
              <w:rPr>
                <w:noProof/>
                <w:sz w:val="20"/>
              </w:rPr>
              <w:t>a</w:t>
            </w:r>
            <w:r w:rsidRPr="008B13A5">
              <w:rPr>
                <w:noProof/>
                <w:sz w:val="20"/>
              </w:rPr>
              <w:t>ccelerated permitting</w:t>
            </w:r>
            <w:r w:rsidR="00C028B6" w:rsidRPr="008B13A5">
              <w:rPr>
                <w:noProof/>
                <w:sz w:val="20"/>
              </w:rPr>
              <w:t xml:space="preserve"> (</w:t>
            </w:r>
            <w:r w:rsidR="00C028B6" w:rsidRPr="00BD008E">
              <w:rPr>
                <w:b/>
                <w:noProof/>
                <w:sz w:val="20"/>
              </w:rPr>
              <w:t>PM3</w:t>
            </w:r>
            <w:r w:rsidRPr="008B13A5" w:rsidDel="00C028B6">
              <w:rPr>
                <w:noProof/>
                <w:sz w:val="20"/>
              </w:rPr>
              <w:t>)</w:t>
            </w:r>
          </w:p>
          <w:p w14:paraId="6F17EE77" w14:textId="7D6B1EBE" w:rsidR="00BA5F12" w:rsidRPr="008B13A5" w:rsidRDefault="00BA5F12" w:rsidP="00F47256">
            <w:pPr>
              <w:pStyle w:val="ListParagraph"/>
              <w:numPr>
                <w:ilvl w:val="0"/>
                <w:numId w:val="19"/>
              </w:numPr>
              <w:spacing w:after="120"/>
              <w:ind w:left="425"/>
              <w:jc w:val="left"/>
              <w:rPr>
                <w:noProof/>
                <w:sz w:val="20"/>
              </w:rPr>
            </w:pPr>
            <w:r w:rsidRPr="008B13A5">
              <w:rPr>
                <w:noProof/>
                <w:sz w:val="20"/>
              </w:rPr>
              <w:t>Expected to be largely absorbed within existing structures</w:t>
            </w:r>
          </w:p>
          <w:p w14:paraId="7CD3D112" w14:textId="72644477" w:rsidR="00BA5F12" w:rsidRPr="00BD008E" w:rsidRDefault="00BA5F12" w:rsidP="00BD008E">
            <w:pPr>
              <w:pStyle w:val="ListParagraph"/>
              <w:numPr>
                <w:ilvl w:val="0"/>
                <w:numId w:val="19"/>
              </w:numPr>
              <w:spacing w:after="120"/>
              <w:ind w:left="425"/>
              <w:jc w:val="left"/>
              <w:rPr>
                <w:noProof/>
                <w:sz w:val="20"/>
              </w:rPr>
            </w:pPr>
            <w:r w:rsidRPr="008B13A5">
              <w:rPr>
                <w:noProof/>
                <w:sz w:val="20"/>
                <w:szCs w:val="20"/>
              </w:rPr>
              <w:t>Includes: temporary staff reinforcement, digitalisation of permitting procedures, streamlining and planning workflows.</w:t>
            </w:r>
          </w:p>
          <w:p w14:paraId="6508A343" w14:textId="618770D2" w:rsidR="00BA5F12" w:rsidRPr="008B13A5" w:rsidRDefault="00BA5F12">
            <w:pPr>
              <w:jc w:val="left"/>
              <w:rPr>
                <w:noProof/>
                <w:sz w:val="20"/>
              </w:rPr>
            </w:pPr>
            <w:r w:rsidRPr="008B13A5">
              <w:rPr>
                <w:noProof/>
                <w:sz w:val="20"/>
              </w:rPr>
              <w:t>Establishment of governance and procedural systems for Strategic Projects (PM8)</w:t>
            </w:r>
          </w:p>
          <w:p w14:paraId="154E57A0" w14:textId="330BC3C7" w:rsidR="00BA5F12" w:rsidRPr="00BD008E" w:rsidRDefault="001C4BF0" w:rsidP="00BD008E">
            <w:pPr>
              <w:pStyle w:val="ListParagraph"/>
              <w:numPr>
                <w:ilvl w:val="0"/>
                <w:numId w:val="18"/>
              </w:numPr>
              <w:spacing w:after="120"/>
              <w:ind w:left="457"/>
              <w:jc w:val="left"/>
              <w:rPr>
                <w:noProof/>
                <w:sz w:val="20"/>
              </w:rPr>
            </w:pPr>
            <w:r w:rsidRPr="008B13A5">
              <w:rPr>
                <w:noProof/>
                <w:sz w:val="20"/>
                <w:szCs w:val="20"/>
              </w:rPr>
              <w:t xml:space="preserve">Costs related to the </w:t>
            </w:r>
            <w:r w:rsidR="00BA5F12" w:rsidRPr="00BD008E">
              <w:rPr>
                <w:noProof/>
                <w:sz w:val="20"/>
              </w:rPr>
              <w:t>development of selection procedures, evaluation criteria, monitoring frameworks, reporting templates</w:t>
            </w:r>
            <w:r w:rsidRPr="00BD008E">
              <w:rPr>
                <w:noProof/>
                <w:sz w:val="20"/>
              </w:rPr>
              <w:t xml:space="preserve"> etc.</w:t>
            </w:r>
            <w:r w:rsidR="00BA5F12" w:rsidRPr="008B13A5">
              <w:rPr>
                <w:noProof/>
                <w:sz w:val="20"/>
              </w:rPr>
              <w:t xml:space="preserve">. </w:t>
            </w:r>
          </w:p>
          <w:p w14:paraId="7984558F" w14:textId="73403038" w:rsidR="00BA5F12" w:rsidRPr="008B13A5" w:rsidRDefault="00BA5F12">
            <w:pPr>
              <w:jc w:val="left"/>
              <w:rPr>
                <w:noProof/>
                <w:sz w:val="20"/>
              </w:rPr>
            </w:pPr>
            <w:r w:rsidRPr="008B13A5">
              <w:rPr>
                <w:noProof/>
                <w:sz w:val="20"/>
              </w:rPr>
              <w:t>Platform development and initial IT infrastructure (PM5)</w:t>
            </w:r>
          </w:p>
          <w:p w14:paraId="57FE098E" w14:textId="50A5C493" w:rsidR="00BA5F12" w:rsidRPr="008B13A5" w:rsidRDefault="00BA5F12" w:rsidP="00BD008E">
            <w:pPr>
              <w:pStyle w:val="ListParagraph"/>
              <w:numPr>
                <w:ilvl w:val="0"/>
                <w:numId w:val="18"/>
              </w:numPr>
              <w:spacing w:after="120"/>
              <w:ind w:left="457"/>
              <w:jc w:val="left"/>
              <w:rPr>
                <w:noProof/>
              </w:rPr>
            </w:pPr>
            <w:r w:rsidRPr="008B13A5">
              <w:rPr>
                <w:noProof/>
                <w:sz w:val="20"/>
                <w:szCs w:val="20"/>
              </w:rPr>
              <w:t xml:space="preserve">EUR </w:t>
            </w:r>
            <w:r w:rsidR="3A4F02C4" w:rsidRPr="008B13A5">
              <w:rPr>
                <w:noProof/>
                <w:sz w:val="20"/>
                <w:szCs w:val="20"/>
              </w:rPr>
              <w:t>7</w:t>
            </w:r>
            <w:r w:rsidRPr="008B13A5">
              <w:rPr>
                <w:noProof/>
                <w:sz w:val="20"/>
                <w:szCs w:val="20"/>
              </w:rPr>
              <w:t>0 m</w:t>
            </w:r>
            <w:r w:rsidR="002C0876" w:rsidRPr="008B13A5">
              <w:rPr>
                <w:noProof/>
                <w:sz w:val="20"/>
                <w:szCs w:val="20"/>
              </w:rPr>
              <w:t>illion</w:t>
            </w:r>
            <w:r w:rsidR="00CC4328" w:rsidRPr="008B13A5">
              <w:rPr>
                <w:noProof/>
                <w:sz w:val="20"/>
                <w:szCs w:val="20"/>
              </w:rPr>
              <w:t xml:space="preserve"> for</w:t>
            </w:r>
            <w:r w:rsidRPr="008B13A5">
              <w:rPr>
                <w:noProof/>
                <w:sz w:val="20"/>
                <w:szCs w:val="20"/>
              </w:rPr>
              <w:t xml:space="preserve"> </w:t>
            </w:r>
            <w:r w:rsidRPr="00BD008E">
              <w:rPr>
                <w:noProof/>
                <w:sz w:val="20"/>
                <w:szCs w:val="20"/>
              </w:rPr>
              <w:t>platform</w:t>
            </w:r>
            <w:r w:rsidRPr="008B13A5">
              <w:rPr>
                <w:noProof/>
                <w:sz w:val="20"/>
                <w:szCs w:val="20"/>
              </w:rPr>
              <w:t xml:space="preserve"> setup and development</w:t>
            </w:r>
            <w:r w:rsidR="001C4BF0" w:rsidRPr="008B13A5">
              <w:rPr>
                <w:noProof/>
                <w:sz w:val="20"/>
                <w:szCs w:val="20"/>
              </w:rPr>
              <w:t xml:space="preserve"> </w:t>
            </w:r>
            <w:r w:rsidR="001C4BF0" w:rsidRPr="008B13A5">
              <w:rPr>
                <w:noProof/>
                <w:sz w:val="20"/>
              </w:rPr>
              <w:t>which includes the</w:t>
            </w:r>
            <w:r w:rsidRPr="00BD008E">
              <w:rPr>
                <w:noProof/>
                <w:sz w:val="20"/>
              </w:rPr>
              <w:t xml:space="preserve"> development and deployment of the platform and IT infrastructure, security infrastructure and interoperability tools.</w:t>
            </w:r>
          </w:p>
        </w:tc>
        <w:tc>
          <w:tcPr>
            <w:tcW w:w="2926"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47C17F27" w14:textId="5594B61A" w:rsidR="00BA5F12" w:rsidRPr="008B13A5" w:rsidRDefault="00BA5F12">
            <w:pPr>
              <w:jc w:val="left"/>
              <w:rPr>
                <w:noProof/>
                <w:sz w:val="20"/>
              </w:rPr>
            </w:pPr>
            <w:r w:rsidRPr="00BD008E">
              <w:rPr>
                <w:noProof/>
                <w:sz w:val="22"/>
                <w:szCs w:val="22"/>
              </w:rPr>
              <w:t>EU</w:t>
            </w:r>
            <w:r w:rsidRPr="008B13A5">
              <w:rPr>
                <w:noProof/>
                <w:sz w:val="20"/>
              </w:rPr>
              <w:t>-level</w:t>
            </w:r>
            <w:r w:rsidR="00F70A8B" w:rsidRPr="008B13A5">
              <w:rPr>
                <w:noProof/>
                <w:sz w:val="20"/>
              </w:rPr>
              <w:t>/Member State</w:t>
            </w:r>
            <w:r w:rsidRPr="008B13A5">
              <w:rPr>
                <w:noProof/>
                <w:sz w:val="20"/>
              </w:rPr>
              <w:t xml:space="preserve"> co-funding for Strategic Projects (</w:t>
            </w:r>
            <w:r w:rsidRPr="00BD008E">
              <w:rPr>
                <w:b/>
                <w:noProof/>
                <w:sz w:val="20"/>
              </w:rPr>
              <w:t>PM8</w:t>
            </w:r>
            <w:r w:rsidRPr="008B13A5">
              <w:rPr>
                <w:noProof/>
                <w:sz w:val="20"/>
              </w:rPr>
              <w:t xml:space="preserve">) </w:t>
            </w:r>
          </w:p>
          <w:p w14:paraId="2863F160" w14:textId="337B5967" w:rsidR="00BA5F12" w:rsidRPr="00BD008E" w:rsidRDefault="005714B5" w:rsidP="005714B5">
            <w:pPr>
              <w:pStyle w:val="ListParagraph"/>
              <w:numPr>
                <w:ilvl w:val="0"/>
                <w:numId w:val="18"/>
              </w:numPr>
              <w:spacing w:after="120"/>
              <w:ind w:left="457"/>
              <w:jc w:val="left"/>
              <w:rPr>
                <w:noProof/>
                <w:sz w:val="20"/>
              </w:rPr>
            </w:pPr>
            <w:r w:rsidRPr="008B13A5">
              <w:rPr>
                <w:noProof/>
                <w:sz w:val="20"/>
              </w:rPr>
              <w:t>R</w:t>
            </w:r>
            <w:r w:rsidR="00BA5F12" w:rsidRPr="00BD008E">
              <w:rPr>
                <w:noProof/>
                <w:sz w:val="20"/>
              </w:rPr>
              <w:t>equires Union and Member States contribution</w:t>
            </w:r>
            <w:r w:rsidRPr="008B13A5">
              <w:rPr>
                <w:noProof/>
                <w:sz w:val="20"/>
              </w:rPr>
              <w:t>s</w:t>
            </w:r>
            <w:r w:rsidR="00BA5F12" w:rsidRPr="00BD008E">
              <w:rPr>
                <w:noProof/>
                <w:sz w:val="20"/>
              </w:rPr>
              <w:t xml:space="preserve"> of at least EUR 15 billion to co-fund Strategic Projects</w:t>
            </w:r>
            <w:r w:rsidR="002873A0" w:rsidRPr="00BD008E">
              <w:rPr>
                <w:noProof/>
                <w:sz w:val="20"/>
              </w:rPr>
              <w:t xml:space="preserve"> of importance to Europe’s technological sovereignty</w:t>
            </w:r>
            <w:r w:rsidR="00BA5F12" w:rsidRPr="00BD008E">
              <w:rPr>
                <w:noProof/>
                <w:sz w:val="20"/>
              </w:rPr>
              <w:t>, including leading-edge fabs, packaging hubs, design facilities and supply chain resilience investments.</w:t>
            </w:r>
          </w:p>
          <w:p w14:paraId="1D2FC6A5" w14:textId="77777777" w:rsidR="00BA5F12" w:rsidRPr="008B13A5" w:rsidRDefault="00BA5F12">
            <w:pPr>
              <w:jc w:val="left"/>
              <w:rPr>
                <w:noProof/>
                <w:sz w:val="20"/>
              </w:rPr>
            </w:pPr>
          </w:p>
          <w:p w14:paraId="591E200C" w14:textId="77777777" w:rsidR="00BA5F12" w:rsidRPr="008B13A5" w:rsidRDefault="00BA5F12" w:rsidP="00F70A8B">
            <w:pPr>
              <w:jc w:val="left"/>
              <w:rPr>
                <w:noProof/>
                <w:sz w:val="20"/>
              </w:rPr>
            </w:pPr>
          </w:p>
        </w:tc>
      </w:tr>
      <w:tr w:rsidR="009E058B" w:rsidRPr="008B13A5" w14:paraId="215F8B71" w14:textId="77777777" w:rsidTr="5F29F250">
        <w:trPr>
          <w:trHeight w:val="307"/>
        </w:trPr>
        <w:tc>
          <w:tcPr>
            <w:tcW w:w="681" w:type="dxa"/>
            <w:vMerge/>
            <w:tcMar>
              <w:top w:w="57" w:type="dxa"/>
              <w:left w:w="57" w:type="dxa"/>
              <w:bottom w:w="57" w:type="dxa"/>
              <w:right w:w="57" w:type="dxa"/>
            </w:tcMar>
            <w:vAlign w:val="center"/>
          </w:tcPr>
          <w:p w14:paraId="31690EAD" w14:textId="77777777" w:rsidR="00BA5F12" w:rsidRPr="008B13A5" w:rsidRDefault="00BA5F12">
            <w:pPr>
              <w:rPr>
                <w:noProof/>
                <w:sz w:val="20"/>
              </w:rPr>
            </w:pPr>
          </w:p>
        </w:tc>
        <w:tc>
          <w:tcPr>
            <w:tcW w:w="1571"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vAlign w:val="center"/>
          </w:tcPr>
          <w:p w14:paraId="2664D0DA" w14:textId="3B227065" w:rsidR="00BA5F12" w:rsidRPr="008B13A5" w:rsidRDefault="00BA5F12">
            <w:pPr>
              <w:jc w:val="left"/>
              <w:rPr>
                <w:noProof/>
                <w:sz w:val="20"/>
              </w:rPr>
            </w:pPr>
            <w:r w:rsidRPr="008B13A5">
              <w:rPr>
                <w:noProof/>
                <w:sz w:val="20"/>
              </w:rPr>
              <w:t>Direct administrative costs (to the ‘one in, one out’ approach)</w:t>
            </w:r>
          </w:p>
        </w:tc>
        <w:tc>
          <w:tcPr>
            <w:tcW w:w="1403"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vAlign w:val="center"/>
          </w:tcPr>
          <w:p w14:paraId="04ACF20C" w14:textId="77777777" w:rsidR="00BA5F12" w:rsidRPr="008B13A5" w:rsidRDefault="00BA5F12">
            <w:pPr>
              <w:rPr>
                <w:noProof/>
                <w:sz w:val="20"/>
              </w:rPr>
            </w:pPr>
            <w:r w:rsidRPr="008B13A5">
              <w:rPr>
                <w:noProof/>
                <w:sz w:val="20"/>
              </w:rPr>
              <w:t>None</w:t>
            </w:r>
          </w:p>
        </w:tc>
        <w:tc>
          <w:tcPr>
            <w:tcW w:w="992"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vAlign w:val="center"/>
          </w:tcPr>
          <w:p w14:paraId="79CE6855" w14:textId="77777777" w:rsidR="00BA5F12" w:rsidRPr="008B13A5" w:rsidRDefault="00BA5F12">
            <w:pPr>
              <w:rPr>
                <w:noProof/>
                <w:sz w:val="20"/>
              </w:rPr>
            </w:pPr>
            <w:r w:rsidRPr="008B13A5">
              <w:rPr>
                <w:noProof/>
                <w:sz w:val="20"/>
              </w:rPr>
              <w:t>None</w:t>
            </w:r>
          </w:p>
        </w:tc>
        <w:tc>
          <w:tcPr>
            <w:tcW w:w="2342"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7E858AFF" w14:textId="73CB93F9" w:rsidR="00BA5F12" w:rsidRPr="00BD008E" w:rsidRDefault="00BA5F12">
            <w:pPr>
              <w:jc w:val="left"/>
              <w:rPr>
                <w:noProof/>
                <w:sz w:val="20"/>
              </w:rPr>
            </w:pPr>
            <w:r w:rsidRPr="00BD008E">
              <w:rPr>
                <w:noProof/>
                <w:sz w:val="20"/>
              </w:rPr>
              <w:t xml:space="preserve">Technical IT integration with the </w:t>
            </w:r>
            <w:r w:rsidRPr="008B13A5" w:rsidDel="00AA6244">
              <w:rPr>
                <w:noProof/>
                <w:sz w:val="20"/>
              </w:rPr>
              <w:t>Business</w:t>
            </w:r>
            <w:r w:rsidR="00AA6244" w:rsidRPr="008B13A5">
              <w:rPr>
                <w:noProof/>
                <w:sz w:val="20"/>
              </w:rPr>
              <w:t>-to-Business</w:t>
            </w:r>
            <w:r w:rsidRPr="008B13A5">
              <w:rPr>
                <w:noProof/>
                <w:sz w:val="20"/>
              </w:rPr>
              <w:t xml:space="preserve"> </w:t>
            </w:r>
            <w:r w:rsidRPr="00BD008E">
              <w:rPr>
                <w:noProof/>
                <w:sz w:val="20"/>
              </w:rPr>
              <w:t>Platform (PM5)</w:t>
            </w:r>
          </w:p>
          <w:p w14:paraId="7B55F88A" w14:textId="752EF72A" w:rsidR="00BA5F12" w:rsidRPr="00BD008E" w:rsidRDefault="003A6DED" w:rsidP="00BD008E">
            <w:pPr>
              <w:pStyle w:val="ListParagraph"/>
              <w:numPr>
                <w:ilvl w:val="0"/>
                <w:numId w:val="15"/>
              </w:numPr>
              <w:spacing w:after="120"/>
              <w:ind w:left="382"/>
              <w:jc w:val="left"/>
              <w:rPr>
                <w:noProof/>
                <w:sz w:val="20"/>
              </w:rPr>
            </w:pPr>
            <w:r w:rsidRPr="00BD008E">
              <w:rPr>
                <w:noProof/>
                <w:sz w:val="20"/>
              </w:rPr>
              <w:t>Voluntary c</w:t>
            </w:r>
            <w:r w:rsidR="00AA6244" w:rsidRPr="00BD008E">
              <w:rPr>
                <w:noProof/>
                <w:sz w:val="20"/>
              </w:rPr>
              <w:t>ost</w:t>
            </w:r>
            <w:r w:rsidR="00BA5F12" w:rsidRPr="00BD008E">
              <w:rPr>
                <w:noProof/>
                <w:sz w:val="20"/>
              </w:rPr>
              <w:t xml:space="preserve"> for</w:t>
            </w:r>
            <w:r w:rsidR="00BA5F12" w:rsidRPr="00BD008E" w:rsidDel="00AA6244">
              <w:rPr>
                <w:noProof/>
                <w:sz w:val="20"/>
              </w:rPr>
              <w:t xml:space="preserve"> </w:t>
            </w:r>
            <w:r w:rsidR="00BA5F12" w:rsidRPr="00BD008E">
              <w:rPr>
                <w:noProof/>
                <w:sz w:val="20"/>
              </w:rPr>
              <w:t xml:space="preserve">large companies themselves would be ~€ 100K for the initial year </w:t>
            </w:r>
            <w:r w:rsidR="00BA5F12" w:rsidRPr="00BD008E" w:rsidDel="00AA6244">
              <w:rPr>
                <w:noProof/>
                <w:sz w:val="20"/>
              </w:rPr>
              <w:t>(</w:t>
            </w:r>
            <w:r w:rsidR="00BA5F12" w:rsidRPr="00BD008E">
              <w:rPr>
                <w:rStyle w:val="FootnoteReference"/>
                <w:noProof/>
                <w:sz w:val="20"/>
              </w:rPr>
              <w:footnoteReference w:id="5"/>
            </w:r>
            <w:r w:rsidR="00BA5F12" w:rsidRPr="00BD008E">
              <w:rPr>
                <w:noProof/>
                <w:sz w:val="20"/>
              </w:rPr>
              <w:t>)</w:t>
            </w:r>
          </w:p>
          <w:p w14:paraId="2C2CB0AF" w14:textId="4DC7ACB1" w:rsidR="00BA5F12" w:rsidRPr="008B13A5" w:rsidRDefault="00BA5F12">
            <w:pPr>
              <w:jc w:val="left"/>
              <w:rPr>
                <w:noProof/>
                <w:sz w:val="20"/>
              </w:rPr>
            </w:pPr>
            <w:r w:rsidRPr="008B13A5">
              <w:rPr>
                <w:noProof/>
                <w:sz w:val="20"/>
              </w:rPr>
              <w:t>Administrative onboarding and integration with the Platform (PM5)</w:t>
            </w:r>
          </w:p>
          <w:p w14:paraId="3E1BF9BD" w14:textId="6B89260F" w:rsidR="00BA5F12" w:rsidRPr="00BD008E" w:rsidRDefault="003A6DED" w:rsidP="00BD008E">
            <w:pPr>
              <w:pStyle w:val="ListParagraph"/>
              <w:numPr>
                <w:ilvl w:val="0"/>
                <w:numId w:val="15"/>
              </w:numPr>
              <w:spacing w:after="120"/>
              <w:ind w:left="382"/>
              <w:jc w:val="left"/>
              <w:rPr>
                <w:noProof/>
                <w:sz w:val="20"/>
                <w:szCs w:val="20"/>
              </w:rPr>
            </w:pPr>
            <w:r w:rsidRPr="008B13A5">
              <w:rPr>
                <w:b/>
                <w:bCs/>
                <w:noProof/>
                <w:sz w:val="20"/>
              </w:rPr>
              <w:t>Voluntary low</w:t>
            </w:r>
            <w:r w:rsidR="00BA5F12" w:rsidRPr="008B13A5">
              <w:rPr>
                <w:b/>
                <w:bCs/>
                <w:noProof/>
                <w:sz w:val="20"/>
              </w:rPr>
              <w:t>-medium cost</w:t>
            </w:r>
            <w:r w:rsidR="002C3C11" w:rsidRPr="008B13A5">
              <w:rPr>
                <w:b/>
                <w:noProof/>
                <w:sz w:val="20"/>
              </w:rPr>
              <w:t xml:space="preserve"> of</w:t>
            </w:r>
            <w:r w:rsidR="00BA5F12" w:rsidRPr="008B13A5">
              <w:rPr>
                <w:b/>
                <w:noProof/>
                <w:sz w:val="20"/>
              </w:rPr>
              <w:t xml:space="preserve"> circa 3 person</w:t>
            </w:r>
            <w:r w:rsidRPr="008B13A5">
              <w:rPr>
                <w:b/>
                <w:noProof/>
                <w:sz w:val="20"/>
              </w:rPr>
              <w:t>-</w:t>
            </w:r>
            <w:r w:rsidR="00BA5F12" w:rsidRPr="008B13A5">
              <w:rPr>
                <w:b/>
                <w:noProof/>
                <w:sz w:val="20"/>
              </w:rPr>
              <w:t>days</w:t>
            </w:r>
            <w:r w:rsidR="00434861" w:rsidRPr="008B13A5">
              <w:rPr>
                <w:noProof/>
                <w:sz w:val="20"/>
                <w:szCs w:val="20"/>
              </w:rPr>
              <w:t xml:space="preserve"> which are r</w:t>
            </w:r>
            <w:r w:rsidR="00BA5F12" w:rsidRPr="00BD008E">
              <w:rPr>
                <w:noProof/>
                <w:sz w:val="20"/>
                <w:szCs w:val="20"/>
              </w:rPr>
              <w:t>equired to establish compliance with new regulatory obligations. Involves account creation, internal procedural setup, and alignment of data formats.</w:t>
            </w:r>
          </w:p>
        </w:tc>
        <w:tc>
          <w:tcPr>
            <w:tcW w:w="2408"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52489476" w14:textId="6816D5B1" w:rsidR="00BA5F12" w:rsidRPr="008B13A5" w:rsidRDefault="00BA5F12">
            <w:pPr>
              <w:jc w:val="left"/>
              <w:rPr>
                <w:noProof/>
                <w:sz w:val="20"/>
              </w:rPr>
            </w:pPr>
            <w:r w:rsidRPr="008B13A5">
              <w:rPr>
                <w:noProof/>
                <w:sz w:val="20"/>
              </w:rPr>
              <w:t>Mandatory disclosures of supply chain vulnerabilities base</w:t>
            </w:r>
            <w:r w:rsidR="00AA6244" w:rsidRPr="008B13A5">
              <w:rPr>
                <w:noProof/>
                <w:sz w:val="20"/>
              </w:rPr>
              <w:t>d</w:t>
            </w:r>
            <w:r w:rsidRPr="008B13A5">
              <w:rPr>
                <w:noProof/>
                <w:sz w:val="20"/>
              </w:rPr>
              <w:t xml:space="preserve"> on qualitative assessment (PM6)</w:t>
            </w:r>
          </w:p>
          <w:p w14:paraId="1ABAE167" w14:textId="79D0FAAE" w:rsidR="00BA5F12" w:rsidRPr="00BD008E" w:rsidRDefault="00B96BFA" w:rsidP="00237512">
            <w:pPr>
              <w:pStyle w:val="ListParagraph"/>
              <w:numPr>
                <w:ilvl w:val="0"/>
                <w:numId w:val="9"/>
              </w:numPr>
              <w:spacing w:after="120"/>
              <w:ind w:left="353"/>
              <w:jc w:val="left"/>
              <w:rPr>
                <w:noProof/>
                <w:sz w:val="20"/>
                <w:szCs w:val="20"/>
              </w:rPr>
            </w:pPr>
            <w:r w:rsidRPr="008B13A5">
              <w:rPr>
                <w:noProof/>
                <w:sz w:val="20"/>
                <w:szCs w:val="20"/>
              </w:rPr>
              <w:t>Approximately</w:t>
            </w:r>
            <w:r w:rsidR="00BA5F12" w:rsidRPr="008B13A5">
              <w:rPr>
                <w:b/>
                <w:bCs/>
                <w:noProof/>
                <w:sz w:val="20"/>
                <w:szCs w:val="20"/>
              </w:rPr>
              <w:t xml:space="preserve"> 10 person</w:t>
            </w:r>
            <w:r w:rsidR="003A6DED" w:rsidRPr="008B13A5">
              <w:rPr>
                <w:b/>
                <w:bCs/>
                <w:noProof/>
                <w:sz w:val="20"/>
                <w:szCs w:val="20"/>
              </w:rPr>
              <w:t>-</w:t>
            </w:r>
            <w:r w:rsidR="00BA5F12" w:rsidRPr="008B13A5">
              <w:rPr>
                <w:b/>
                <w:bCs/>
                <w:noProof/>
                <w:sz w:val="20"/>
                <w:szCs w:val="20"/>
              </w:rPr>
              <w:t xml:space="preserve">days </w:t>
            </w:r>
            <w:r w:rsidRPr="00BD008E">
              <w:rPr>
                <w:noProof/>
                <w:sz w:val="20"/>
                <w:szCs w:val="20"/>
              </w:rPr>
              <w:t xml:space="preserve">are required </w:t>
            </w:r>
            <w:r w:rsidR="00BA5F12" w:rsidRPr="008B13A5">
              <w:rPr>
                <w:noProof/>
                <w:sz w:val="20"/>
                <w:szCs w:val="20"/>
              </w:rPr>
              <w:t>for large firms for reporting</w:t>
            </w:r>
            <w:r w:rsidR="00F274DD" w:rsidRPr="008B13A5">
              <w:rPr>
                <w:noProof/>
                <w:sz w:val="20"/>
                <w:szCs w:val="20"/>
              </w:rPr>
              <w:t xml:space="preserve"> </w:t>
            </w:r>
            <w:r w:rsidR="00BA5F12" w:rsidRPr="008B13A5">
              <w:rPr>
                <w:noProof/>
                <w:sz w:val="20"/>
                <w:szCs w:val="20"/>
              </w:rPr>
              <w:t>(</w:t>
            </w:r>
            <w:r w:rsidR="00BA5F12" w:rsidRPr="008B13A5">
              <w:rPr>
                <w:noProof/>
                <w:sz w:val="20"/>
                <w:szCs w:val="20"/>
                <w:vertAlign w:val="superscript"/>
              </w:rPr>
              <w:footnoteReference w:id="6"/>
            </w:r>
            <w:r w:rsidR="00BA5F12" w:rsidRPr="008B13A5">
              <w:rPr>
                <w:noProof/>
                <w:sz w:val="20"/>
                <w:szCs w:val="20"/>
              </w:rPr>
              <w:t xml:space="preserve">). </w:t>
            </w:r>
            <w:r w:rsidR="00237512" w:rsidRPr="008B13A5">
              <w:rPr>
                <w:noProof/>
                <w:sz w:val="20"/>
                <w:szCs w:val="20"/>
              </w:rPr>
              <w:t>Which</w:t>
            </w:r>
            <w:r w:rsidR="00BA5F12" w:rsidRPr="00BD008E">
              <w:rPr>
                <w:noProof/>
                <w:sz w:val="20"/>
                <w:szCs w:val="20"/>
              </w:rPr>
              <w:t xml:space="preserve"> </w:t>
            </w:r>
            <w:r w:rsidR="00C00B44" w:rsidRPr="008B13A5">
              <w:rPr>
                <w:noProof/>
                <w:sz w:val="20"/>
                <w:szCs w:val="20"/>
              </w:rPr>
              <w:t xml:space="preserve">can </w:t>
            </w:r>
            <w:r w:rsidR="00BA5F12" w:rsidRPr="00BD008E">
              <w:rPr>
                <w:noProof/>
                <w:sz w:val="20"/>
                <w:szCs w:val="20"/>
              </w:rPr>
              <w:t xml:space="preserve">be translated into </w:t>
            </w:r>
            <w:r w:rsidR="00BA5F12" w:rsidRPr="00BD008E">
              <w:rPr>
                <w:b/>
                <w:noProof/>
                <w:sz w:val="20"/>
                <w:szCs w:val="20"/>
              </w:rPr>
              <w:t>EUR 2782,</w:t>
            </w:r>
            <w:r w:rsidR="00BA5F12" w:rsidRPr="00BD008E">
              <w:rPr>
                <w:noProof/>
                <w:sz w:val="20"/>
                <w:szCs w:val="20"/>
              </w:rPr>
              <w:t xml:space="preserve"> per year</w:t>
            </w:r>
            <w:r w:rsidR="00F274DD" w:rsidRPr="00BD008E">
              <w:rPr>
                <w:noProof/>
                <w:sz w:val="20"/>
                <w:szCs w:val="20"/>
              </w:rPr>
              <w:t xml:space="preserve"> </w:t>
            </w:r>
            <w:r w:rsidR="00BA5F12" w:rsidRPr="00BD008E">
              <w:rPr>
                <w:noProof/>
                <w:sz w:val="20"/>
                <w:szCs w:val="20"/>
              </w:rPr>
              <w:t>(</w:t>
            </w:r>
            <w:r w:rsidR="00BA5F12" w:rsidRPr="008B13A5">
              <w:rPr>
                <w:rStyle w:val="FootnoteReference"/>
                <w:noProof/>
                <w:sz w:val="20"/>
                <w:szCs w:val="20"/>
              </w:rPr>
              <w:footnoteReference w:id="7"/>
            </w:r>
            <w:r w:rsidR="00BA5F12" w:rsidRPr="00BD008E">
              <w:rPr>
                <w:noProof/>
                <w:sz w:val="20"/>
                <w:szCs w:val="20"/>
              </w:rPr>
              <w:t xml:space="preserve">) </w:t>
            </w:r>
          </w:p>
          <w:p w14:paraId="754845FD" w14:textId="0A9F7FE7" w:rsidR="00BA5F12" w:rsidRPr="008B13A5" w:rsidRDefault="00BA5F12">
            <w:pPr>
              <w:jc w:val="left"/>
              <w:rPr>
                <w:b/>
                <w:bCs/>
                <w:noProof/>
                <w:sz w:val="20"/>
              </w:rPr>
            </w:pPr>
            <w:r w:rsidRPr="008B13A5">
              <w:rPr>
                <w:noProof/>
                <w:sz w:val="20"/>
              </w:rPr>
              <w:t xml:space="preserve">In the case of anticipated crisis and assuming </w:t>
            </w:r>
            <w:r w:rsidRPr="008B13A5">
              <w:rPr>
                <w:b/>
                <w:bCs/>
                <w:noProof/>
                <w:sz w:val="20"/>
              </w:rPr>
              <w:t>all companies</w:t>
            </w:r>
            <w:r w:rsidRPr="008B13A5">
              <w:rPr>
                <w:noProof/>
                <w:sz w:val="20"/>
              </w:rPr>
              <w:t xml:space="preserve"> are requested to submit data the total effort might cost up to </w:t>
            </w:r>
            <w:r w:rsidRPr="008B13A5">
              <w:rPr>
                <w:b/>
                <w:bCs/>
                <w:noProof/>
                <w:sz w:val="20"/>
              </w:rPr>
              <w:t>EUR 1.34 million per request</w:t>
            </w:r>
            <w:r w:rsidR="00C1554C" w:rsidRPr="008B13A5">
              <w:rPr>
                <w:noProof/>
                <w:sz w:val="20"/>
              </w:rPr>
              <w:t xml:space="preserve"> across the entire value chain in Europe</w:t>
            </w:r>
            <w:r w:rsidRPr="008B13A5">
              <w:rPr>
                <w:noProof/>
                <w:sz w:val="20"/>
              </w:rPr>
              <w:t>.</w:t>
            </w:r>
          </w:p>
          <w:p w14:paraId="70B1FEC8" w14:textId="3016832A" w:rsidR="00BA5F12" w:rsidRPr="008B13A5" w:rsidRDefault="00BA5F12">
            <w:pPr>
              <w:jc w:val="left"/>
              <w:rPr>
                <w:noProof/>
                <w:sz w:val="20"/>
              </w:rPr>
            </w:pPr>
            <w:r w:rsidRPr="008B13A5">
              <w:rPr>
                <w:noProof/>
                <w:sz w:val="20"/>
              </w:rPr>
              <w:t>Annual Platform operational participation costs (PM5)</w:t>
            </w:r>
          </w:p>
          <w:p w14:paraId="778832DE" w14:textId="2C69C723" w:rsidR="00BA5F12" w:rsidRPr="008B13A5" w:rsidRDefault="00BA5F12" w:rsidP="00F47256">
            <w:pPr>
              <w:pStyle w:val="ListParagraph"/>
              <w:numPr>
                <w:ilvl w:val="0"/>
                <w:numId w:val="15"/>
              </w:numPr>
              <w:spacing w:after="120"/>
              <w:ind w:left="382"/>
              <w:jc w:val="left"/>
              <w:rPr>
                <w:noProof/>
                <w:sz w:val="20"/>
              </w:rPr>
            </w:pPr>
            <w:r w:rsidRPr="00BD008E">
              <w:rPr>
                <w:noProof/>
                <w:sz w:val="20"/>
              </w:rPr>
              <w:t>The cost for the large companies themselves would be ~€ 50K for the yearly operations.</w:t>
            </w:r>
            <w:r w:rsidR="00F274DD" w:rsidRPr="00BD008E">
              <w:rPr>
                <w:noProof/>
                <w:sz w:val="20"/>
              </w:rPr>
              <w:t xml:space="preserve"> </w:t>
            </w:r>
            <w:r w:rsidRPr="00BD008E">
              <w:rPr>
                <w:noProof/>
                <w:sz w:val="20"/>
              </w:rPr>
              <w:t>(</w:t>
            </w:r>
            <w:r w:rsidRPr="00BD008E">
              <w:rPr>
                <w:rStyle w:val="FootnoteReference"/>
                <w:noProof/>
                <w:sz w:val="20"/>
              </w:rPr>
              <w:footnoteReference w:id="8"/>
            </w:r>
            <w:r w:rsidRPr="00BD008E">
              <w:rPr>
                <w:noProof/>
                <w:sz w:val="20"/>
              </w:rPr>
              <w:t>)</w:t>
            </w:r>
          </w:p>
          <w:p w14:paraId="0C5B050D" w14:textId="6CEC70D6" w:rsidR="00BA5F12" w:rsidRPr="00BD008E" w:rsidRDefault="00BA5F12" w:rsidP="00BD008E">
            <w:pPr>
              <w:pStyle w:val="ListParagraph"/>
              <w:numPr>
                <w:ilvl w:val="0"/>
                <w:numId w:val="15"/>
              </w:numPr>
              <w:spacing w:after="120"/>
              <w:ind w:left="382"/>
              <w:jc w:val="left"/>
              <w:rPr>
                <w:b/>
                <w:noProof/>
                <w:sz w:val="20"/>
              </w:rPr>
            </w:pPr>
            <w:r w:rsidRPr="00BD008E">
              <w:rPr>
                <w:noProof/>
                <w:sz w:val="20"/>
              </w:rPr>
              <w:t xml:space="preserve">The cost covers ongoing data sharing; system maintenance; and internal monitoring alignment. </w:t>
            </w:r>
          </w:p>
          <w:p w14:paraId="1ADD7F38" w14:textId="45B1AF4A" w:rsidR="00BA5F12" w:rsidRPr="008B13A5" w:rsidRDefault="00BA5F12">
            <w:pPr>
              <w:jc w:val="left"/>
              <w:rPr>
                <w:noProof/>
                <w:sz w:val="20"/>
              </w:rPr>
            </w:pPr>
            <w:r w:rsidRPr="008B13A5">
              <w:rPr>
                <w:noProof/>
                <w:sz w:val="20"/>
              </w:rPr>
              <w:t>Administrative reporting linked to Strategic Projects and F</w:t>
            </w:r>
            <w:r w:rsidR="004E40BD" w:rsidRPr="008B13A5">
              <w:rPr>
                <w:noProof/>
                <w:sz w:val="20"/>
              </w:rPr>
              <w:t>oa</w:t>
            </w:r>
            <w:r w:rsidRPr="008B13A5">
              <w:rPr>
                <w:noProof/>
                <w:sz w:val="20"/>
              </w:rPr>
              <w:t>K (PM8, PM2)</w:t>
            </w:r>
          </w:p>
          <w:p w14:paraId="658EED4A" w14:textId="0CEEBB56" w:rsidR="00BA5F12" w:rsidRPr="008B13A5" w:rsidRDefault="00BA5F12" w:rsidP="00BD008E">
            <w:pPr>
              <w:pStyle w:val="ListParagraph"/>
              <w:numPr>
                <w:ilvl w:val="0"/>
                <w:numId w:val="15"/>
              </w:numPr>
              <w:spacing w:after="120"/>
              <w:ind w:left="382"/>
              <w:jc w:val="left"/>
              <w:rPr>
                <w:noProof/>
              </w:rPr>
            </w:pPr>
            <w:r w:rsidRPr="00BD008E">
              <w:rPr>
                <w:noProof/>
                <w:sz w:val="20"/>
                <w:szCs w:val="20"/>
              </w:rPr>
              <w:t>1–3 FTE/year, corresponding to 1-2% of the project value</w:t>
            </w:r>
            <w:r w:rsidR="00F274DD" w:rsidRPr="00BD008E">
              <w:rPr>
                <w:noProof/>
                <w:sz w:val="20"/>
              </w:rPr>
              <w:t xml:space="preserve"> </w:t>
            </w:r>
            <w:r w:rsidRPr="00BD008E">
              <w:rPr>
                <w:noProof/>
                <w:sz w:val="20"/>
              </w:rPr>
              <w:t>(</w:t>
            </w:r>
            <w:r w:rsidRPr="00BD008E">
              <w:rPr>
                <w:rStyle w:val="FootnoteReference"/>
                <w:noProof/>
                <w:sz w:val="20"/>
              </w:rPr>
              <w:footnoteReference w:id="9"/>
            </w:r>
            <w:r w:rsidRPr="00BD008E">
              <w:rPr>
                <w:noProof/>
                <w:sz w:val="20"/>
              </w:rPr>
              <w:t>).</w:t>
            </w:r>
            <w:r w:rsidR="004E40BD" w:rsidRPr="00BD008E">
              <w:rPr>
                <w:noProof/>
                <w:sz w:val="20"/>
              </w:rPr>
              <w:t xml:space="preserve">Here, </w:t>
            </w:r>
            <w:r w:rsidR="00EE1CC7" w:rsidRPr="008B13A5">
              <w:rPr>
                <w:noProof/>
                <w:sz w:val="20"/>
                <w:szCs w:val="20"/>
              </w:rPr>
              <w:t>c</w:t>
            </w:r>
            <w:r w:rsidRPr="00BD008E">
              <w:rPr>
                <w:noProof/>
                <w:sz w:val="20"/>
                <w:szCs w:val="20"/>
              </w:rPr>
              <w:t xml:space="preserve">ost includes </w:t>
            </w:r>
            <w:r w:rsidR="004E40BD" w:rsidRPr="008B13A5">
              <w:rPr>
                <w:noProof/>
                <w:sz w:val="20"/>
                <w:szCs w:val="20"/>
              </w:rPr>
              <w:t>m</w:t>
            </w:r>
            <w:r w:rsidRPr="00BD008E">
              <w:rPr>
                <w:noProof/>
                <w:sz w:val="20"/>
                <w:szCs w:val="20"/>
              </w:rPr>
              <w:t>onitoring reports, compliance documentation, EU-level coordination reporting</w:t>
            </w:r>
          </w:p>
          <w:p w14:paraId="373228E5" w14:textId="748FDB36" w:rsidR="00BA5F12" w:rsidRPr="008B13A5" w:rsidRDefault="00BA5F12">
            <w:pPr>
              <w:jc w:val="left"/>
              <w:rPr>
                <w:noProof/>
                <w:sz w:val="20"/>
              </w:rPr>
            </w:pPr>
            <w:r w:rsidRPr="008B13A5">
              <w:rPr>
                <w:noProof/>
                <w:sz w:val="20"/>
              </w:rPr>
              <w:t>Administrative participation costs under innovation procurement (PM9)</w:t>
            </w:r>
          </w:p>
          <w:p w14:paraId="0D3D4891" w14:textId="71E779F7" w:rsidR="00BA5F12" w:rsidRPr="008B13A5" w:rsidRDefault="00BA5F12" w:rsidP="00BD008E">
            <w:pPr>
              <w:pStyle w:val="ListParagraph"/>
              <w:numPr>
                <w:ilvl w:val="0"/>
                <w:numId w:val="17"/>
              </w:numPr>
              <w:spacing w:after="120"/>
              <w:ind w:left="451"/>
              <w:jc w:val="left"/>
              <w:rPr>
                <w:noProof/>
              </w:rPr>
            </w:pPr>
            <w:r w:rsidRPr="008B13A5">
              <w:rPr>
                <w:noProof/>
                <w:sz w:val="20"/>
                <w:szCs w:val="20"/>
              </w:rPr>
              <w:t>Approx. 1.05% of contract value</w:t>
            </w:r>
            <w:r w:rsidR="00F274DD" w:rsidRPr="008B13A5">
              <w:rPr>
                <w:noProof/>
                <w:sz w:val="20"/>
                <w:szCs w:val="20"/>
              </w:rPr>
              <w:t xml:space="preserve"> </w:t>
            </w:r>
            <w:r w:rsidRPr="008B13A5">
              <w:rPr>
                <w:noProof/>
                <w:sz w:val="20"/>
                <w:szCs w:val="20"/>
              </w:rPr>
              <w:t>(</w:t>
            </w:r>
            <w:r w:rsidRPr="008B13A5">
              <w:rPr>
                <w:rStyle w:val="FootnoteReference"/>
                <w:noProof/>
                <w:sz w:val="20"/>
              </w:rPr>
              <w:footnoteReference w:id="10"/>
            </w:r>
            <w:r w:rsidRPr="008B13A5">
              <w:rPr>
                <w:noProof/>
                <w:sz w:val="20"/>
                <w:szCs w:val="20"/>
              </w:rPr>
              <w:t>)</w:t>
            </w:r>
            <w:r w:rsidRPr="008B13A5">
              <w:rPr>
                <w:noProof/>
                <w:sz w:val="20"/>
                <w:szCs w:val="20"/>
                <w:vertAlign w:val="superscript"/>
              </w:rPr>
              <w:t>,</w:t>
            </w:r>
            <w:r w:rsidR="00F274DD" w:rsidRPr="008B13A5">
              <w:rPr>
                <w:noProof/>
                <w:sz w:val="20"/>
                <w:szCs w:val="20"/>
                <w:vertAlign w:val="superscript"/>
              </w:rPr>
              <w:t xml:space="preserve"> </w:t>
            </w:r>
            <w:r w:rsidRPr="008B13A5">
              <w:rPr>
                <w:noProof/>
                <w:sz w:val="20"/>
                <w:szCs w:val="20"/>
                <w:vertAlign w:val="superscript"/>
              </w:rPr>
              <w:t>(</w:t>
            </w:r>
            <w:r w:rsidRPr="008B13A5">
              <w:rPr>
                <w:rStyle w:val="FootnoteReference"/>
                <w:noProof/>
                <w:sz w:val="20"/>
              </w:rPr>
              <w:footnoteReference w:id="11"/>
            </w:r>
            <w:r w:rsidRPr="008B13A5">
              <w:rPr>
                <w:noProof/>
                <w:sz w:val="20"/>
                <w:szCs w:val="20"/>
                <w:vertAlign w:val="superscript"/>
              </w:rPr>
              <w:t>)</w:t>
            </w:r>
            <w:r w:rsidR="00FE79CF" w:rsidRPr="008B13A5">
              <w:rPr>
                <w:noProof/>
                <w:sz w:val="20"/>
                <w:szCs w:val="20"/>
                <w:vertAlign w:val="superscript"/>
              </w:rPr>
              <w:t xml:space="preserve"> </w:t>
            </w:r>
            <w:r w:rsidR="00FE79CF" w:rsidRPr="008B13A5">
              <w:rPr>
                <w:noProof/>
                <w:sz w:val="20"/>
                <w:szCs w:val="20"/>
              </w:rPr>
              <w:t xml:space="preserve">which </w:t>
            </w:r>
            <w:r w:rsidR="00FE79CF" w:rsidRPr="008B13A5">
              <w:rPr>
                <w:noProof/>
                <w:sz w:val="20"/>
              </w:rPr>
              <w:t>i</w:t>
            </w:r>
            <w:r w:rsidRPr="00BD008E">
              <w:rPr>
                <w:noProof/>
                <w:sz w:val="20"/>
              </w:rPr>
              <w:t>ncludes: bid preparation, compliance documentation.</w:t>
            </w:r>
          </w:p>
          <w:p w14:paraId="32718B92" w14:textId="24463BDB" w:rsidR="00BA5F12" w:rsidRPr="008B13A5" w:rsidRDefault="00BA5F12" w:rsidP="7D78EC0B">
            <w:pPr>
              <w:spacing w:after="120"/>
              <w:jc w:val="left"/>
              <w:rPr>
                <w:noProof/>
                <w:sz w:val="20"/>
                <w:szCs w:val="20"/>
              </w:rPr>
            </w:pPr>
            <w:r w:rsidRPr="008B13A5">
              <w:rPr>
                <w:noProof/>
                <w:sz w:val="20"/>
                <w:szCs w:val="20"/>
              </w:rPr>
              <w:t xml:space="preserve"> </w:t>
            </w:r>
          </w:p>
        </w:tc>
        <w:tc>
          <w:tcPr>
            <w:tcW w:w="2445"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vAlign w:val="center"/>
          </w:tcPr>
          <w:p w14:paraId="49042798" w14:textId="583EE959" w:rsidR="00BA5F12" w:rsidRPr="008B13A5" w:rsidRDefault="00BA5F12" w:rsidP="00363700">
            <w:pPr>
              <w:jc w:val="left"/>
              <w:rPr>
                <w:noProof/>
                <w:sz w:val="20"/>
              </w:rPr>
            </w:pPr>
            <w:r w:rsidRPr="008B13A5" w:rsidDel="00363700">
              <w:rPr>
                <w:noProof/>
                <w:sz w:val="20"/>
              </w:rPr>
              <w:t>None</w:t>
            </w:r>
          </w:p>
        </w:tc>
        <w:tc>
          <w:tcPr>
            <w:tcW w:w="2926"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3F6FDDF7" w14:textId="5144AF0C" w:rsidR="00BA5F12" w:rsidRPr="008B13A5" w:rsidRDefault="00BA5F12">
            <w:pPr>
              <w:jc w:val="left"/>
              <w:rPr>
                <w:noProof/>
                <w:sz w:val="20"/>
              </w:rPr>
            </w:pPr>
            <w:r w:rsidRPr="008B13A5">
              <w:rPr>
                <w:noProof/>
                <w:sz w:val="20"/>
              </w:rPr>
              <w:t>Processing and validating mandatory information submissions (PM5, PM6)</w:t>
            </w:r>
          </w:p>
          <w:p w14:paraId="6363D05A" w14:textId="001B48B8" w:rsidR="00BA5F12" w:rsidRPr="00BD008E" w:rsidRDefault="007D37C9" w:rsidP="00BD008E">
            <w:pPr>
              <w:pStyle w:val="ListParagraph"/>
              <w:numPr>
                <w:ilvl w:val="0"/>
                <w:numId w:val="11"/>
              </w:numPr>
              <w:spacing w:after="120"/>
              <w:ind w:left="438"/>
              <w:jc w:val="left"/>
              <w:rPr>
                <w:noProof/>
                <w:sz w:val="20"/>
              </w:rPr>
            </w:pPr>
            <w:r w:rsidRPr="008B13A5">
              <w:rPr>
                <w:noProof/>
                <w:sz w:val="20"/>
                <w:szCs w:val="20"/>
              </w:rPr>
              <w:t xml:space="preserve">Moderate costs </w:t>
            </w:r>
            <w:r w:rsidR="00170CCB" w:rsidRPr="008B13A5">
              <w:rPr>
                <w:noProof/>
                <w:sz w:val="20"/>
                <w:szCs w:val="20"/>
              </w:rPr>
              <w:t>to sustain the capacity of</w:t>
            </w:r>
            <w:r w:rsidRPr="008B13A5">
              <w:rPr>
                <w:noProof/>
                <w:sz w:val="20"/>
                <w:szCs w:val="20"/>
              </w:rPr>
              <w:t xml:space="preserve"> the C</w:t>
            </w:r>
            <w:r w:rsidR="00BA5F12" w:rsidRPr="008B13A5">
              <w:rPr>
                <w:noProof/>
                <w:sz w:val="20"/>
                <w:szCs w:val="20"/>
              </w:rPr>
              <w:t xml:space="preserve">ommission and national competent authorities </w:t>
            </w:r>
            <w:r w:rsidR="00170CCB" w:rsidRPr="008B13A5">
              <w:rPr>
                <w:noProof/>
                <w:sz w:val="20"/>
                <w:szCs w:val="20"/>
              </w:rPr>
              <w:t xml:space="preserve">to </w:t>
            </w:r>
            <w:r w:rsidR="00BA5F12" w:rsidRPr="008B13A5">
              <w:rPr>
                <w:noProof/>
                <w:sz w:val="20"/>
                <w:szCs w:val="20"/>
              </w:rPr>
              <w:t>review, classify, and validate firm-level vulnerability data on a continuous basis.</w:t>
            </w:r>
          </w:p>
          <w:p w14:paraId="073D0123" w14:textId="5B51C9F9" w:rsidR="00BA5F12" w:rsidRPr="008B13A5" w:rsidRDefault="00BA5F12">
            <w:pPr>
              <w:jc w:val="left"/>
              <w:rPr>
                <w:noProof/>
                <w:sz w:val="20"/>
              </w:rPr>
            </w:pPr>
            <w:r w:rsidRPr="008B13A5">
              <w:rPr>
                <w:noProof/>
                <w:sz w:val="20"/>
              </w:rPr>
              <w:t xml:space="preserve">Administrative coordination under the Platform (PM5). </w:t>
            </w:r>
          </w:p>
          <w:p w14:paraId="1036FC43" w14:textId="69C2E39C" w:rsidR="00BA5F12" w:rsidRPr="008B13A5" w:rsidRDefault="00BA5F12" w:rsidP="00BD008E">
            <w:pPr>
              <w:pStyle w:val="ListParagraph"/>
              <w:numPr>
                <w:ilvl w:val="0"/>
                <w:numId w:val="11"/>
              </w:numPr>
              <w:spacing w:after="120"/>
              <w:ind w:left="438"/>
              <w:jc w:val="left"/>
              <w:rPr>
                <w:noProof/>
              </w:rPr>
            </w:pPr>
            <w:r w:rsidRPr="008B13A5">
              <w:rPr>
                <w:noProof/>
                <w:sz w:val="20"/>
                <w:szCs w:val="20"/>
              </w:rPr>
              <w:t>Low-medium cost</w:t>
            </w:r>
            <w:r w:rsidR="00BA3DDA" w:rsidRPr="008B13A5">
              <w:rPr>
                <w:noProof/>
                <w:sz w:val="20"/>
                <w:szCs w:val="20"/>
              </w:rPr>
              <w:t xml:space="preserve"> for r</w:t>
            </w:r>
            <w:r w:rsidRPr="00BD008E">
              <w:rPr>
                <w:noProof/>
                <w:sz w:val="20"/>
                <w:szCs w:val="20"/>
              </w:rPr>
              <w:t>egular coordination between Member States and the Commission to manage queries, update procedures, and issue formal information requests.</w:t>
            </w:r>
          </w:p>
          <w:p w14:paraId="28784B8A" w14:textId="0A9ABB9C" w:rsidR="00BA5F12" w:rsidRPr="008B13A5" w:rsidRDefault="00BA5F12">
            <w:pPr>
              <w:jc w:val="left"/>
              <w:rPr>
                <w:noProof/>
                <w:sz w:val="20"/>
              </w:rPr>
            </w:pPr>
            <w:r w:rsidRPr="008B13A5">
              <w:rPr>
                <w:noProof/>
                <w:sz w:val="20"/>
              </w:rPr>
              <w:t>Administrative reporting and coordination for Strategic Projects (PM8)</w:t>
            </w:r>
          </w:p>
          <w:p w14:paraId="7B085274" w14:textId="1CDF2D2B" w:rsidR="00BA5F12" w:rsidRPr="00BD008E" w:rsidRDefault="0052671E" w:rsidP="00BD008E">
            <w:pPr>
              <w:pStyle w:val="ListParagraph"/>
              <w:numPr>
                <w:ilvl w:val="0"/>
                <w:numId w:val="17"/>
              </w:numPr>
              <w:spacing w:after="120"/>
              <w:ind w:left="451"/>
              <w:jc w:val="left"/>
              <w:rPr>
                <w:noProof/>
                <w:sz w:val="20"/>
                <w:szCs w:val="20"/>
              </w:rPr>
            </w:pPr>
            <w:r>
              <w:rPr>
                <w:noProof/>
                <w:sz w:val="20"/>
                <w:szCs w:val="20"/>
              </w:rPr>
              <w:t>12</w:t>
            </w:r>
            <w:r w:rsidR="00BA5F12" w:rsidRPr="008B13A5">
              <w:rPr>
                <w:noProof/>
                <w:sz w:val="20"/>
                <w:szCs w:val="20"/>
              </w:rPr>
              <w:t xml:space="preserve"> FTE</w:t>
            </w:r>
            <w:r w:rsidR="00B9613F" w:rsidRPr="008B13A5">
              <w:rPr>
                <w:noProof/>
                <w:sz w:val="20"/>
                <w:szCs w:val="20"/>
              </w:rPr>
              <w:t>s</w:t>
            </w:r>
            <w:r w:rsidR="00BA5F12" w:rsidRPr="008B13A5">
              <w:rPr>
                <w:noProof/>
                <w:sz w:val="20"/>
                <w:szCs w:val="20"/>
              </w:rPr>
              <w:t xml:space="preserve"> at EU level to supervise Strategic Projects</w:t>
            </w:r>
            <w:r w:rsidR="00EE1CC7" w:rsidRPr="008B13A5">
              <w:rPr>
                <w:noProof/>
                <w:sz w:val="20"/>
                <w:szCs w:val="20"/>
              </w:rPr>
              <w:t xml:space="preserve"> which c</w:t>
            </w:r>
            <w:r w:rsidR="00BA5F12" w:rsidRPr="00BD008E">
              <w:rPr>
                <w:noProof/>
                <w:sz w:val="20"/>
                <w:szCs w:val="20"/>
              </w:rPr>
              <w:t>overs administrative (non-fiscal) tasks such as monitoring, reporting, compliance checks, and cross-border coordination linked to Strategic Projects</w:t>
            </w:r>
            <w:r w:rsidR="00F274DD" w:rsidRPr="00BD008E">
              <w:rPr>
                <w:noProof/>
                <w:sz w:val="20"/>
                <w:szCs w:val="20"/>
              </w:rPr>
              <w:t xml:space="preserve"> </w:t>
            </w:r>
            <w:r w:rsidR="00BA5F12" w:rsidRPr="00BD008E">
              <w:rPr>
                <w:noProof/>
                <w:sz w:val="20"/>
                <w:szCs w:val="20"/>
              </w:rPr>
              <w:t>(</w:t>
            </w:r>
            <w:r w:rsidR="00BA5F12" w:rsidRPr="00BD008E">
              <w:rPr>
                <w:noProof/>
              </w:rPr>
              <w:footnoteReference w:id="12"/>
            </w:r>
            <w:r w:rsidR="00BA5F12" w:rsidRPr="00BD008E">
              <w:rPr>
                <w:noProof/>
                <w:sz w:val="20"/>
                <w:szCs w:val="20"/>
              </w:rPr>
              <w:t>).</w:t>
            </w:r>
          </w:p>
          <w:p w14:paraId="634F02E3" w14:textId="02E13130" w:rsidR="00BA5F12" w:rsidRPr="00BD008E" w:rsidRDefault="00BA5F12" w:rsidP="00BD008E">
            <w:pPr>
              <w:pStyle w:val="ListParagraph"/>
              <w:numPr>
                <w:ilvl w:val="0"/>
                <w:numId w:val="17"/>
              </w:numPr>
              <w:spacing w:after="120"/>
              <w:ind w:left="451"/>
              <w:jc w:val="left"/>
              <w:rPr>
                <w:noProof/>
                <w:sz w:val="20"/>
              </w:rPr>
            </w:pPr>
            <w:r w:rsidRPr="008B13A5">
              <w:rPr>
                <w:noProof/>
                <w:sz w:val="20"/>
                <w:szCs w:val="20"/>
              </w:rPr>
              <w:t xml:space="preserve">Total costs: EUR </w:t>
            </w:r>
            <w:r w:rsidR="00EB386B">
              <w:rPr>
                <w:noProof/>
                <w:sz w:val="20"/>
                <w:szCs w:val="20"/>
              </w:rPr>
              <w:t>2</w:t>
            </w:r>
            <w:r w:rsidR="007C492B">
              <w:rPr>
                <w:noProof/>
                <w:sz w:val="20"/>
                <w:szCs w:val="20"/>
              </w:rPr>
              <w:t xml:space="preserve"> </w:t>
            </w:r>
            <w:r w:rsidR="00EB386B">
              <w:rPr>
                <w:noProof/>
                <w:sz w:val="20"/>
                <w:szCs w:val="20"/>
              </w:rPr>
              <w:t>328</w:t>
            </w:r>
            <w:r w:rsidR="007C492B">
              <w:rPr>
                <w:noProof/>
                <w:sz w:val="20"/>
                <w:szCs w:val="20"/>
              </w:rPr>
              <w:t xml:space="preserve"> 000</w:t>
            </w:r>
          </w:p>
          <w:p w14:paraId="692EAA36" w14:textId="38E93525" w:rsidR="00BA5F12" w:rsidRPr="008B13A5" w:rsidRDefault="00BA5F12">
            <w:pPr>
              <w:jc w:val="left"/>
              <w:rPr>
                <w:noProof/>
                <w:sz w:val="20"/>
              </w:rPr>
            </w:pPr>
            <w:r w:rsidRPr="008B13A5">
              <w:rPr>
                <w:noProof/>
                <w:sz w:val="20"/>
              </w:rPr>
              <w:t xml:space="preserve">Increased administrative burden from demand-side instruments (PM9) </w:t>
            </w:r>
          </w:p>
          <w:p w14:paraId="0F9C0597" w14:textId="6756AF8E" w:rsidR="00BA5F12" w:rsidRPr="00BD008E" w:rsidRDefault="00BA5F12" w:rsidP="00BD008E">
            <w:pPr>
              <w:pStyle w:val="ListParagraph"/>
              <w:spacing w:after="120"/>
              <w:ind w:left="451"/>
              <w:jc w:val="left"/>
              <w:rPr>
                <w:noProof/>
                <w:sz w:val="20"/>
              </w:rPr>
            </w:pPr>
            <w:r w:rsidRPr="008B13A5">
              <w:rPr>
                <w:noProof/>
                <w:sz w:val="20"/>
              </w:rPr>
              <w:t>Medium cost to the EU and other administrations</w:t>
            </w:r>
            <w:r w:rsidR="009C0AD1" w:rsidRPr="008B13A5">
              <w:rPr>
                <w:noProof/>
                <w:sz w:val="20"/>
              </w:rPr>
              <w:t xml:space="preserve"> for the a</w:t>
            </w:r>
            <w:r w:rsidRPr="008B13A5">
              <w:rPr>
                <w:noProof/>
                <w:sz w:val="20"/>
              </w:rPr>
              <w:t>dministration of innovation procurement, early-stage offtake programmes and Chip Innovation Partnerships requires additional staffing and contracting capacity.</w:t>
            </w:r>
          </w:p>
          <w:p w14:paraId="6F8F19A4" w14:textId="0399D2ED" w:rsidR="00BA5F12" w:rsidRPr="008B13A5" w:rsidRDefault="00BA5F12">
            <w:pPr>
              <w:jc w:val="left"/>
              <w:rPr>
                <w:noProof/>
                <w:sz w:val="20"/>
              </w:rPr>
            </w:pPr>
            <w:r w:rsidRPr="008B13A5">
              <w:rPr>
                <w:noProof/>
                <w:sz w:val="20"/>
              </w:rPr>
              <w:t>Operating the Business-to-</w:t>
            </w:r>
            <w:r w:rsidRPr="008B13A5" w:rsidDel="00363700">
              <w:rPr>
                <w:noProof/>
                <w:sz w:val="20"/>
              </w:rPr>
              <w:t xml:space="preserve">Business </w:t>
            </w:r>
            <w:r w:rsidR="00363700" w:rsidRPr="008B13A5">
              <w:rPr>
                <w:noProof/>
                <w:sz w:val="20"/>
              </w:rPr>
              <w:t>Platform</w:t>
            </w:r>
            <w:r w:rsidRPr="008B13A5">
              <w:rPr>
                <w:noProof/>
                <w:sz w:val="20"/>
              </w:rPr>
              <w:t xml:space="preserve"> (PM5)</w:t>
            </w:r>
          </w:p>
          <w:p w14:paraId="6C4B16D1" w14:textId="7EBFF57B" w:rsidR="00BA5F12" w:rsidRPr="00BD008E" w:rsidRDefault="00BA5F12" w:rsidP="009C0AD1">
            <w:pPr>
              <w:pStyle w:val="ListParagraph"/>
              <w:numPr>
                <w:ilvl w:val="0"/>
                <w:numId w:val="17"/>
              </w:numPr>
              <w:spacing w:after="120"/>
              <w:ind w:left="451"/>
              <w:jc w:val="left"/>
              <w:rPr>
                <w:noProof/>
                <w:sz w:val="20"/>
                <w:szCs w:val="20"/>
              </w:rPr>
            </w:pPr>
            <w:r w:rsidRPr="008B13A5">
              <w:rPr>
                <w:noProof/>
                <w:sz w:val="20"/>
                <w:szCs w:val="20"/>
              </w:rPr>
              <w:t xml:space="preserve">EU-level </w:t>
            </w:r>
            <w:r w:rsidR="009C0AD1" w:rsidRPr="008B13A5">
              <w:rPr>
                <w:noProof/>
                <w:sz w:val="20"/>
                <w:szCs w:val="20"/>
              </w:rPr>
              <w:t xml:space="preserve">cost of </w:t>
            </w:r>
            <w:r w:rsidRPr="008B13A5">
              <w:rPr>
                <w:noProof/>
                <w:sz w:val="20"/>
                <w:szCs w:val="20"/>
              </w:rPr>
              <w:t>6 FTEs</w:t>
            </w:r>
            <w:r w:rsidR="009C0AD1" w:rsidRPr="008B13A5">
              <w:rPr>
                <w:noProof/>
                <w:sz w:val="20"/>
                <w:szCs w:val="20"/>
              </w:rPr>
              <w:t xml:space="preserve"> for</w:t>
            </w:r>
            <w:r w:rsidRPr="008B13A5" w:rsidDel="009C0AD1">
              <w:rPr>
                <w:noProof/>
                <w:sz w:val="20"/>
                <w:szCs w:val="20"/>
              </w:rPr>
              <w:t xml:space="preserve"> </w:t>
            </w:r>
            <w:r w:rsidR="00684B12" w:rsidRPr="008B13A5">
              <w:rPr>
                <w:noProof/>
                <w:sz w:val="20"/>
                <w:szCs w:val="20"/>
              </w:rPr>
              <w:t>m</w:t>
            </w:r>
            <w:r w:rsidRPr="00BD008E">
              <w:rPr>
                <w:noProof/>
                <w:sz w:val="20"/>
                <w:szCs w:val="20"/>
              </w:rPr>
              <w:t xml:space="preserve">onitoring, analysis and crisis preparedness functions; handling the RFI’s; </w:t>
            </w:r>
            <w:r w:rsidR="00684B12" w:rsidRPr="008B13A5">
              <w:rPr>
                <w:noProof/>
                <w:sz w:val="20"/>
                <w:szCs w:val="20"/>
              </w:rPr>
              <w:t>a</w:t>
            </w:r>
            <w:r w:rsidRPr="00BD008E">
              <w:rPr>
                <w:noProof/>
                <w:sz w:val="20"/>
                <w:szCs w:val="20"/>
              </w:rPr>
              <w:t>dditional IT maintenance and security costs.</w:t>
            </w:r>
          </w:p>
          <w:p w14:paraId="17B73E5F" w14:textId="25396BB1" w:rsidR="00BA5F12" w:rsidRPr="008B13A5" w:rsidRDefault="00BA5F12" w:rsidP="00F47256">
            <w:pPr>
              <w:pStyle w:val="ListParagraph"/>
              <w:numPr>
                <w:ilvl w:val="0"/>
                <w:numId w:val="17"/>
              </w:numPr>
              <w:spacing w:after="120"/>
              <w:ind w:left="451"/>
              <w:jc w:val="left"/>
              <w:rPr>
                <w:noProof/>
                <w:sz w:val="20"/>
                <w:szCs w:val="20"/>
              </w:rPr>
            </w:pPr>
            <w:r w:rsidRPr="008B13A5">
              <w:rPr>
                <w:noProof/>
                <w:sz w:val="20"/>
                <w:szCs w:val="20"/>
              </w:rPr>
              <w:t>Total costs:  EUR 1 164 000</w:t>
            </w:r>
          </w:p>
          <w:p w14:paraId="6BE09275" w14:textId="77777777" w:rsidR="00BA5F12" w:rsidRPr="008B13A5" w:rsidRDefault="00BA5F12">
            <w:pPr>
              <w:jc w:val="left"/>
              <w:rPr>
                <w:noProof/>
                <w:sz w:val="20"/>
              </w:rPr>
            </w:pPr>
          </w:p>
        </w:tc>
      </w:tr>
      <w:tr w:rsidR="00BA5F12" w:rsidRPr="008B13A5" w14:paraId="2AAF0B7D" w14:textId="77777777" w:rsidTr="7D78EC0B">
        <w:trPr>
          <w:trHeight w:val="307"/>
        </w:trPr>
        <w:tc>
          <w:tcPr>
            <w:tcW w:w="681" w:type="dxa"/>
            <w:vMerge/>
            <w:tcMar>
              <w:top w:w="57" w:type="dxa"/>
              <w:left w:w="57" w:type="dxa"/>
              <w:bottom w:w="57" w:type="dxa"/>
              <w:right w:w="57" w:type="dxa"/>
            </w:tcMar>
            <w:vAlign w:val="center"/>
          </w:tcPr>
          <w:p w14:paraId="6975281E" w14:textId="77777777" w:rsidR="00BA5F12" w:rsidRPr="008B13A5" w:rsidRDefault="00BA5F12">
            <w:pPr>
              <w:rPr>
                <w:noProof/>
                <w:sz w:val="20"/>
              </w:rPr>
            </w:pPr>
          </w:p>
        </w:tc>
        <w:tc>
          <w:tcPr>
            <w:tcW w:w="1571" w:type="dxa"/>
            <w:tcBorders>
              <w:right w:val="double" w:sz="4" w:space="0" w:color="auto"/>
            </w:tcBorders>
            <w:tcMar>
              <w:top w:w="57" w:type="dxa"/>
              <w:left w:w="57" w:type="dxa"/>
              <w:bottom w:w="57" w:type="dxa"/>
              <w:right w:w="57" w:type="dxa"/>
            </w:tcMar>
            <w:vAlign w:val="center"/>
          </w:tcPr>
          <w:p w14:paraId="4E90FE55" w14:textId="601C6F2D" w:rsidR="00BA5F12" w:rsidRPr="008B13A5" w:rsidRDefault="00BA5F12">
            <w:pPr>
              <w:jc w:val="left"/>
              <w:rPr>
                <w:noProof/>
                <w:sz w:val="20"/>
              </w:rPr>
            </w:pPr>
            <w:r w:rsidRPr="008B13A5">
              <w:rPr>
                <w:noProof/>
                <w:sz w:val="20"/>
              </w:rPr>
              <w:t>Direct regulatory fees and charges</w:t>
            </w:r>
          </w:p>
        </w:tc>
        <w:tc>
          <w:tcPr>
            <w:tcW w:w="1403" w:type="dxa"/>
            <w:tcBorders>
              <w:left w:val="double" w:sz="4" w:space="0" w:color="auto"/>
            </w:tcBorders>
            <w:tcMar>
              <w:top w:w="57" w:type="dxa"/>
              <w:left w:w="57" w:type="dxa"/>
              <w:bottom w:w="57" w:type="dxa"/>
              <w:right w:w="57" w:type="dxa"/>
            </w:tcMar>
            <w:vAlign w:val="center"/>
          </w:tcPr>
          <w:p w14:paraId="2B79F140" w14:textId="77777777" w:rsidR="00BA5F12" w:rsidRPr="008B13A5" w:rsidRDefault="00BA5F12">
            <w:pPr>
              <w:rPr>
                <w:noProof/>
                <w:sz w:val="20"/>
              </w:rPr>
            </w:pPr>
            <w:r w:rsidRPr="008B13A5">
              <w:rPr>
                <w:noProof/>
                <w:sz w:val="20"/>
              </w:rPr>
              <w:t>None</w:t>
            </w:r>
          </w:p>
        </w:tc>
        <w:tc>
          <w:tcPr>
            <w:tcW w:w="992" w:type="dxa"/>
            <w:tcMar>
              <w:top w:w="57" w:type="dxa"/>
              <w:left w:w="57" w:type="dxa"/>
              <w:bottom w:w="57" w:type="dxa"/>
              <w:right w:w="57" w:type="dxa"/>
            </w:tcMar>
            <w:vAlign w:val="center"/>
          </w:tcPr>
          <w:p w14:paraId="0028ED16" w14:textId="77777777" w:rsidR="00BA5F12" w:rsidRPr="008B13A5" w:rsidRDefault="00BA5F12">
            <w:pPr>
              <w:rPr>
                <w:noProof/>
                <w:sz w:val="20"/>
              </w:rPr>
            </w:pPr>
            <w:r w:rsidRPr="008B13A5">
              <w:rPr>
                <w:noProof/>
                <w:sz w:val="20"/>
              </w:rPr>
              <w:t>None</w:t>
            </w:r>
          </w:p>
        </w:tc>
        <w:tc>
          <w:tcPr>
            <w:tcW w:w="2342" w:type="dxa"/>
            <w:tcMar>
              <w:top w:w="57" w:type="dxa"/>
              <w:left w:w="57" w:type="dxa"/>
              <w:bottom w:w="57" w:type="dxa"/>
              <w:right w:w="57" w:type="dxa"/>
            </w:tcMar>
            <w:vAlign w:val="center"/>
          </w:tcPr>
          <w:p w14:paraId="3D1C0763" w14:textId="77777777" w:rsidR="00BA5F12" w:rsidRPr="008B13A5" w:rsidRDefault="00BA5F12">
            <w:pPr>
              <w:jc w:val="left"/>
              <w:rPr>
                <w:noProof/>
                <w:sz w:val="20"/>
              </w:rPr>
            </w:pPr>
            <w:r w:rsidRPr="008B13A5">
              <w:rPr>
                <w:noProof/>
                <w:sz w:val="20"/>
              </w:rPr>
              <w:t>None</w:t>
            </w:r>
          </w:p>
        </w:tc>
        <w:tc>
          <w:tcPr>
            <w:tcW w:w="2408" w:type="dxa"/>
            <w:tcMar>
              <w:top w:w="57" w:type="dxa"/>
              <w:left w:w="57" w:type="dxa"/>
              <w:bottom w:w="57" w:type="dxa"/>
              <w:right w:w="57" w:type="dxa"/>
            </w:tcMar>
            <w:vAlign w:val="center"/>
          </w:tcPr>
          <w:p w14:paraId="775422C0" w14:textId="77777777" w:rsidR="00BA5F12" w:rsidRPr="008B13A5" w:rsidRDefault="00BA5F12">
            <w:pPr>
              <w:jc w:val="left"/>
              <w:rPr>
                <w:noProof/>
                <w:sz w:val="20"/>
              </w:rPr>
            </w:pPr>
            <w:r w:rsidRPr="008B13A5">
              <w:rPr>
                <w:noProof/>
                <w:sz w:val="20"/>
              </w:rPr>
              <w:t>None</w:t>
            </w:r>
          </w:p>
        </w:tc>
        <w:tc>
          <w:tcPr>
            <w:tcW w:w="2445" w:type="dxa"/>
            <w:tcMar>
              <w:top w:w="57" w:type="dxa"/>
              <w:left w:w="57" w:type="dxa"/>
              <w:bottom w:w="57" w:type="dxa"/>
              <w:right w:w="57" w:type="dxa"/>
            </w:tcMar>
            <w:vAlign w:val="center"/>
          </w:tcPr>
          <w:p w14:paraId="71C61A68" w14:textId="77777777" w:rsidR="00BA5F12" w:rsidRPr="008B13A5" w:rsidRDefault="00BA5F12">
            <w:pPr>
              <w:jc w:val="left"/>
              <w:rPr>
                <w:noProof/>
                <w:sz w:val="20"/>
              </w:rPr>
            </w:pPr>
            <w:r w:rsidRPr="008B13A5">
              <w:rPr>
                <w:noProof/>
                <w:sz w:val="20"/>
              </w:rPr>
              <w:t>None</w:t>
            </w:r>
          </w:p>
        </w:tc>
        <w:tc>
          <w:tcPr>
            <w:tcW w:w="2926" w:type="dxa"/>
            <w:tcMar>
              <w:top w:w="57" w:type="dxa"/>
              <w:left w:w="57" w:type="dxa"/>
              <w:bottom w:w="57" w:type="dxa"/>
              <w:right w:w="57" w:type="dxa"/>
            </w:tcMar>
            <w:vAlign w:val="center"/>
          </w:tcPr>
          <w:p w14:paraId="57EFEEF5" w14:textId="77777777" w:rsidR="00BA5F12" w:rsidRPr="008B13A5" w:rsidRDefault="00BA5F12">
            <w:pPr>
              <w:jc w:val="left"/>
              <w:rPr>
                <w:noProof/>
                <w:sz w:val="20"/>
              </w:rPr>
            </w:pPr>
            <w:r w:rsidRPr="008B13A5">
              <w:rPr>
                <w:noProof/>
                <w:sz w:val="20"/>
              </w:rPr>
              <w:t>None</w:t>
            </w:r>
          </w:p>
        </w:tc>
      </w:tr>
      <w:tr w:rsidR="00926AD5" w:rsidRPr="008B13A5" w14:paraId="46611C53" w14:textId="77777777" w:rsidTr="5F29F250">
        <w:trPr>
          <w:trHeight w:val="307"/>
        </w:trPr>
        <w:tc>
          <w:tcPr>
            <w:tcW w:w="681" w:type="dxa"/>
            <w:vMerge/>
            <w:tcMar>
              <w:top w:w="57" w:type="dxa"/>
              <w:left w:w="57" w:type="dxa"/>
              <w:bottom w:w="57" w:type="dxa"/>
              <w:right w:w="57" w:type="dxa"/>
            </w:tcMar>
            <w:vAlign w:val="center"/>
          </w:tcPr>
          <w:p w14:paraId="18589620" w14:textId="77777777" w:rsidR="00BA5F12" w:rsidRPr="008B13A5" w:rsidRDefault="00BA5F12">
            <w:pPr>
              <w:rPr>
                <w:noProof/>
                <w:sz w:val="20"/>
              </w:rPr>
            </w:pPr>
          </w:p>
        </w:tc>
        <w:tc>
          <w:tcPr>
            <w:tcW w:w="1571"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vAlign w:val="center"/>
          </w:tcPr>
          <w:p w14:paraId="198409B1" w14:textId="3757C36E" w:rsidR="00BA5F12" w:rsidRPr="008B13A5" w:rsidRDefault="00BA5F12">
            <w:pPr>
              <w:jc w:val="left"/>
              <w:rPr>
                <w:noProof/>
                <w:sz w:val="20"/>
              </w:rPr>
            </w:pPr>
            <w:r w:rsidRPr="008B13A5">
              <w:rPr>
                <w:noProof/>
                <w:sz w:val="20"/>
              </w:rPr>
              <w:t>Direct enforcement costs</w:t>
            </w:r>
          </w:p>
        </w:tc>
        <w:tc>
          <w:tcPr>
            <w:tcW w:w="1403"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vAlign w:val="center"/>
          </w:tcPr>
          <w:p w14:paraId="79748A63" w14:textId="77777777" w:rsidR="00BA5F12" w:rsidRPr="008B13A5" w:rsidRDefault="00BA5F12">
            <w:pPr>
              <w:rPr>
                <w:noProof/>
                <w:sz w:val="20"/>
              </w:rPr>
            </w:pPr>
            <w:r w:rsidRPr="008B13A5">
              <w:rPr>
                <w:noProof/>
                <w:sz w:val="20"/>
              </w:rPr>
              <w:t>None</w:t>
            </w:r>
          </w:p>
        </w:tc>
        <w:tc>
          <w:tcPr>
            <w:tcW w:w="992"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vAlign w:val="center"/>
          </w:tcPr>
          <w:p w14:paraId="06EDF5EC" w14:textId="77777777" w:rsidR="00BA5F12" w:rsidRPr="008B13A5" w:rsidRDefault="00BA5F12">
            <w:pPr>
              <w:rPr>
                <w:noProof/>
                <w:sz w:val="20"/>
              </w:rPr>
            </w:pPr>
            <w:r w:rsidRPr="008B13A5">
              <w:rPr>
                <w:noProof/>
                <w:sz w:val="20"/>
              </w:rPr>
              <w:t>None</w:t>
            </w:r>
          </w:p>
        </w:tc>
        <w:tc>
          <w:tcPr>
            <w:tcW w:w="2342"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vAlign w:val="center"/>
          </w:tcPr>
          <w:p w14:paraId="72001F3F" w14:textId="6774DECE" w:rsidR="00BA5F12" w:rsidRPr="008B13A5" w:rsidRDefault="00BA5F12" w:rsidP="00363700">
            <w:pPr>
              <w:jc w:val="left"/>
              <w:rPr>
                <w:noProof/>
                <w:sz w:val="20"/>
              </w:rPr>
            </w:pPr>
            <w:r w:rsidRPr="008B13A5">
              <w:rPr>
                <w:noProof/>
                <w:sz w:val="20"/>
              </w:rPr>
              <w:t>None</w:t>
            </w:r>
          </w:p>
        </w:tc>
        <w:tc>
          <w:tcPr>
            <w:tcW w:w="2408"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09BB9CCA" w14:textId="3241EC86" w:rsidR="00BA5F12" w:rsidRPr="008B13A5" w:rsidRDefault="00BA5F12">
            <w:pPr>
              <w:jc w:val="left"/>
              <w:rPr>
                <w:noProof/>
                <w:sz w:val="20"/>
              </w:rPr>
            </w:pPr>
            <w:r w:rsidRPr="008B13A5">
              <w:rPr>
                <w:noProof/>
                <w:sz w:val="20"/>
              </w:rPr>
              <w:t>Adaptation of production processes to meet technological and resilience requirements</w:t>
            </w:r>
            <w:r w:rsidR="00637955" w:rsidRPr="008B13A5">
              <w:rPr>
                <w:noProof/>
                <w:sz w:val="20"/>
              </w:rPr>
              <w:t xml:space="preserve"> in Strategic Projects</w:t>
            </w:r>
            <w:r w:rsidRPr="008B13A5">
              <w:rPr>
                <w:noProof/>
                <w:sz w:val="20"/>
              </w:rPr>
              <w:t xml:space="preserve"> (PM8)</w:t>
            </w:r>
          </w:p>
          <w:p w14:paraId="2005D067" w14:textId="06724535" w:rsidR="00C60EE7" w:rsidRPr="00BD008E" w:rsidRDefault="005058BD" w:rsidP="00BD008E">
            <w:pPr>
              <w:pStyle w:val="ListParagraph"/>
              <w:numPr>
                <w:ilvl w:val="0"/>
                <w:numId w:val="17"/>
              </w:numPr>
              <w:spacing w:after="120"/>
              <w:ind w:left="451"/>
              <w:jc w:val="left"/>
              <w:rPr>
                <w:noProof/>
                <w:sz w:val="20"/>
                <w:szCs w:val="20"/>
              </w:rPr>
            </w:pPr>
            <w:r w:rsidRPr="008B13A5">
              <w:rPr>
                <w:noProof/>
                <w:sz w:val="20"/>
                <w:szCs w:val="20"/>
              </w:rPr>
              <w:t>Costs l</w:t>
            </w:r>
            <w:r w:rsidR="00BA5F12" w:rsidRPr="00BD008E">
              <w:rPr>
                <w:noProof/>
                <w:sz w:val="20"/>
                <w:szCs w:val="20"/>
              </w:rPr>
              <w:t xml:space="preserve">ikely to be negligible as the </w:t>
            </w:r>
            <w:r w:rsidR="00C60EE7" w:rsidRPr="00BD008E">
              <w:rPr>
                <w:noProof/>
                <w:sz w:val="20"/>
                <w:szCs w:val="20"/>
              </w:rPr>
              <w:t>S</w:t>
            </w:r>
            <w:r w:rsidR="00BA5F12" w:rsidRPr="00BD008E">
              <w:rPr>
                <w:noProof/>
                <w:sz w:val="20"/>
                <w:szCs w:val="20"/>
              </w:rPr>
              <w:t>trategic</w:t>
            </w:r>
            <w:r w:rsidR="00BA5F12" w:rsidRPr="00BD008E" w:rsidDel="00C60EE7">
              <w:rPr>
                <w:noProof/>
                <w:sz w:val="20"/>
                <w:szCs w:val="20"/>
              </w:rPr>
              <w:t xml:space="preserve"> </w:t>
            </w:r>
            <w:r w:rsidR="00C60EE7" w:rsidRPr="00BD008E">
              <w:rPr>
                <w:noProof/>
                <w:sz w:val="20"/>
                <w:szCs w:val="20"/>
              </w:rPr>
              <w:t xml:space="preserve">Projects’ </w:t>
            </w:r>
            <w:r w:rsidR="00BA5F12" w:rsidRPr="00BD008E">
              <w:rPr>
                <w:noProof/>
                <w:sz w:val="20"/>
                <w:szCs w:val="20"/>
              </w:rPr>
              <w:t xml:space="preserve">designation </w:t>
            </w:r>
            <w:r w:rsidR="00752F08" w:rsidRPr="008B13A5">
              <w:rPr>
                <w:noProof/>
                <w:sz w:val="20"/>
                <w:szCs w:val="20"/>
              </w:rPr>
              <w:t>is only for projects</w:t>
            </w:r>
            <w:r w:rsidR="00BA5F12" w:rsidRPr="00BD008E">
              <w:rPr>
                <w:noProof/>
                <w:sz w:val="20"/>
                <w:szCs w:val="20"/>
              </w:rPr>
              <w:t xml:space="preserve"> meeting the criteria </w:t>
            </w:r>
            <w:r w:rsidRPr="008B13A5">
              <w:rPr>
                <w:noProof/>
                <w:sz w:val="20"/>
                <w:szCs w:val="20"/>
              </w:rPr>
              <w:t>at</w:t>
            </w:r>
            <w:r w:rsidRPr="00BD008E">
              <w:rPr>
                <w:noProof/>
                <w:sz w:val="20"/>
                <w:szCs w:val="20"/>
              </w:rPr>
              <w:t xml:space="preserve"> </w:t>
            </w:r>
            <w:r w:rsidR="00BA5F12" w:rsidRPr="00BD008E">
              <w:rPr>
                <w:noProof/>
                <w:sz w:val="20"/>
                <w:szCs w:val="20"/>
              </w:rPr>
              <w:t xml:space="preserve">the moment of application. </w:t>
            </w:r>
            <w:r w:rsidR="00C60EE7" w:rsidRPr="00BD008E">
              <w:rPr>
                <w:noProof/>
                <w:sz w:val="20"/>
                <w:szCs w:val="20"/>
              </w:rPr>
              <w:t>.</w:t>
            </w:r>
          </w:p>
          <w:p w14:paraId="2CC94924" w14:textId="77777777" w:rsidR="00BA5F12" w:rsidRPr="008B13A5" w:rsidRDefault="00BA5F12" w:rsidP="00BD008E">
            <w:pPr>
              <w:rPr>
                <w:noProof/>
                <w:highlight w:val="yellow"/>
              </w:rPr>
            </w:pPr>
          </w:p>
        </w:tc>
        <w:tc>
          <w:tcPr>
            <w:tcW w:w="2445"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4107B276" w14:textId="77777777" w:rsidR="00BA5F12" w:rsidRPr="008B13A5" w:rsidRDefault="00BA5F12">
            <w:pPr>
              <w:jc w:val="left"/>
              <w:rPr>
                <w:noProof/>
                <w:sz w:val="20"/>
                <w:highlight w:val="yellow"/>
              </w:rPr>
            </w:pPr>
          </w:p>
          <w:p w14:paraId="5F561E2D" w14:textId="77777777" w:rsidR="00BA5F12" w:rsidRPr="008B13A5" w:rsidRDefault="00BA5F12">
            <w:pPr>
              <w:jc w:val="left"/>
              <w:rPr>
                <w:noProof/>
                <w:sz w:val="20"/>
                <w:highlight w:val="yellow"/>
              </w:rPr>
            </w:pPr>
          </w:p>
          <w:p w14:paraId="05D07EDD" w14:textId="77777777" w:rsidR="00BA5F12" w:rsidRPr="008B13A5" w:rsidRDefault="00BA5F12">
            <w:pPr>
              <w:jc w:val="left"/>
              <w:rPr>
                <w:noProof/>
                <w:sz w:val="20"/>
                <w:highlight w:val="yellow"/>
              </w:rPr>
            </w:pPr>
          </w:p>
        </w:tc>
        <w:tc>
          <w:tcPr>
            <w:tcW w:w="2926"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2A9FA7F2" w14:textId="18EE9221" w:rsidR="00BA5F12" w:rsidRPr="008B13A5" w:rsidRDefault="00BA5F12">
            <w:pPr>
              <w:jc w:val="left"/>
              <w:rPr>
                <w:noProof/>
                <w:sz w:val="20"/>
              </w:rPr>
            </w:pPr>
            <w:r w:rsidRPr="008B13A5">
              <w:rPr>
                <w:noProof/>
                <w:sz w:val="20"/>
              </w:rPr>
              <w:t xml:space="preserve">Oversight of mandatory information requirements (PM5, PM6). </w:t>
            </w:r>
          </w:p>
          <w:p w14:paraId="3514045D" w14:textId="6696172F" w:rsidR="00BA5F12" w:rsidRPr="00BD008E" w:rsidRDefault="00BA5F12" w:rsidP="00BD008E">
            <w:pPr>
              <w:pStyle w:val="ListParagraph"/>
              <w:numPr>
                <w:ilvl w:val="0"/>
                <w:numId w:val="17"/>
              </w:numPr>
              <w:spacing w:after="120"/>
              <w:ind w:left="451"/>
              <w:jc w:val="left"/>
              <w:rPr>
                <w:noProof/>
                <w:sz w:val="20"/>
                <w:szCs w:val="20"/>
              </w:rPr>
            </w:pPr>
            <w:r w:rsidRPr="008B13A5">
              <w:rPr>
                <w:noProof/>
                <w:sz w:val="20"/>
                <w:szCs w:val="20"/>
              </w:rPr>
              <w:t>Approximately 2 FTEs</w:t>
            </w:r>
            <w:r w:rsidR="00F633F6" w:rsidRPr="008B13A5">
              <w:rPr>
                <w:noProof/>
                <w:sz w:val="20"/>
                <w:szCs w:val="20"/>
              </w:rPr>
              <w:t xml:space="preserve"> for the </w:t>
            </w:r>
            <w:r w:rsidRPr="00BD008E">
              <w:rPr>
                <w:noProof/>
                <w:sz w:val="20"/>
                <w:szCs w:val="20"/>
              </w:rPr>
              <w:t xml:space="preserve">Commission and Member States </w:t>
            </w:r>
            <w:r w:rsidR="00F633F6" w:rsidRPr="008B13A5">
              <w:rPr>
                <w:noProof/>
                <w:sz w:val="20"/>
                <w:szCs w:val="20"/>
              </w:rPr>
              <w:t>to</w:t>
            </w:r>
            <w:r w:rsidR="00F633F6" w:rsidRPr="00BD008E">
              <w:rPr>
                <w:noProof/>
                <w:sz w:val="20"/>
                <w:szCs w:val="20"/>
              </w:rPr>
              <w:t xml:space="preserve"> </w:t>
            </w:r>
            <w:r w:rsidRPr="00BD008E">
              <w:rPr>
                <w:noProof/>
                <w:sz w:val="20"/>
                <w:szCs w:val="20"/>
              </w:rPr>
              <w:t>review compliance, validate data, flag inconsistencies.</w:t>
            </w:r>
          </w:p>
          <w:p w14:paraId="5C446199" w14:textId="77777777" w:rsidR="00BA5F12" w:rsidRPr="008B13A5" w:rsidRDefault="00BA5F12" w:rsidP="00BD008E">
            <w:pPr>
              <w:rPr>
                <w:noProof/>
                <w:highlight w:val="yellow"/>
              </w:rPr>
            </w:pPr>
          </w:p>
        </w:tc>
      </w:tr>
      <w:tr w:rsidR="009E058B" w:rsidRPr="008B13A5" w14:paraId="6D50BBA3" w14:textId="77777777" w:rsidTr="5F29F250">
        <w:trPr>
          <w:trHeight w:val="300"/>
        </w:trPr>
        <w:tc>
          <w:tcPr>
            <w:tcW w:w="681" w:type="dxa"/>
            <w:vMerge/>
            <w:tcMar>
              <w:top w:w="57" w:type="dxa"/>
              <w:left w:w="57" w:type="dxa"/>
              <w:bottom w:w="57" w:type="dxa"/>
              <w:right w:w="57" w:type="dxa"/>
            </w:tcMar>
          </w:tcPr>
          <w:p w14:paraId="16886BA7" w14:textId="77777777" w:rsidR="00BA5F12" w:rsidRPr="008B13A5" w:rsidRDefault="00BA5F12">
            <w:pPr>
              <w:rPr>
                <w:noProof/>
                <w:sz w:val="20"/>
              </w:rPr>
            </w:pPr>
          </w:p>
        </w:tc>
        <w:tc>
          <w:tcPr>
            <w:tcW w:w="1571"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vAlign w:val="center"/>
          </w:tcPr>
          <w:p w14:paraId="0A96B4CC" w14:textId="4A57D6E2" w:rsidR="00BA5F12" w:rsidRPr="008B13A5" w:rsidRDefault="00BA5F12" w:rsidP="00363700">
            <w:pPr>
              <w:jc w:val="left"/>
              <w:rPr>
                <w:noProof/>
                <w:sz w:val="20"/>
              </w:rPr>
            </w:pPr>
            <w:r w:rsidRPr="008B13A5">
              <w:rPr>
                <w:noProof/>
                <w:sz w:val="20"/>
              </w:rPr>
              <w:t>Indirect costs</w:t>
            </w:r>
          </w:p>
        </w:tc>
        <w:tc>
          <w:tcPr>
            <w:tcW w:w="1403"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vAlign w:val="center"/>
          </w:tcPr>
          <w:p w14:paraId="52A2A264" w14:textId="7B34CDB9" w:rsidR="00BA5F12" w:rsidRPr="008B13A5" w:rsidRDefault="00BA5F12" w:rsidP="00BD008E">
            <w:pPr>
              <w:jc w:val="left"/>
              <w:rPr>
                <w:noProof/>
                <w:sz w:val="20"/>
              </w:rPr>
            </w:pPr>
            <w:r w:rsidRPr="008B13A5">
              <w:rPr>
                <w:noProof/>
                <w:sz w:val="20"/>
              </w:rPr>
              <w:t>Opportunity cost of public money being directed elsewhere</w:t>
            </w:r>
          </w:p>
        </w:tc>
        <w:tc>
          <w:tcPr>
            <w:tcW w:w="992"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vAlign w:val="center"/>
          </w:tcPr>
          <w:p w14:paraId="443CBD94" w14:textId="77777777" w:rsidR="00BA5F12" w:rsidRPr="008B13A5" w:rsidRDefault="00BA5F12" w:rsidP="00BD008E">
            <w:pPr>
              <w:jc w:val="left"/>
              <w:rPr>
                <w:noProof/>
                <w:sz w:val="20"/>
              </w:rPr>
            </w:pPr>
            <w:r w:rsidRPr="008B13A5">
              <w:rPr>
                <w:noProof/>
                <w:sz w:val="20"/>
              </w:rPr>
              <w:t>None</w:t>
            </w:r>
          </w:p>
        </w:tc>
        <w:tc>
          <w:tcPr>
            <w:tcW w:w="2342"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6941BC24" w14:textId="424FECDE" w:rsidR="00BA5F12" w:rsidRPr="008B13A5" w:rsidRDefault="00BA5F12">
            <w:pPr>
              <w:jc w:val="left"/>
              <w:rPr>
                <w:noProof/>
                <w:sz w:val="20"/>
              </w:rPr>
            </w:pPr>
            <w:r w:rsidRPr="008B13A5">
              <w:rPr>
                <w:noProof/>
                <w:sz w:val="20"/>
              </w:rPr>
              <w:t>Opportunity cost of capital allocation</w:t>
            </w:r>
          </w:p>
          <w:p w14:paraId="19DBA811" w14:textId="7EDCDF11" w:rsidR="00BA5F12" w:rsidRPr="008B13A5" w:rsidRDefault="00BA5F12" w:rsidP="00F47256">
            <w:pPr>
              <w:pStyle w:val="ListParagraph"/>
              <w:numPr>
                <w:ilvl w:val="0"/>
                <w:numId w:val="9"/>
              </w:numPr>
              <w:spacing w:after="120"/>
              <w:ind w:left="374"/>
              <w:jc w:val="left"/>
              <w:rPr>
                <w:noProof/>
                <w:sz w:val="20"/>
                <w:szCs w:val="20"/>
              </w:rPr>
            </w:pPr>
            <w:r w:rsidRPr="008B13A5">
              <w:rPr>
                <w:noProof/>
                <w:sz w:val="20"/>
                <w:szCs w:val="20"/>
              </w:rPr>
              <w:t xml:space="preserve">Firms may </w:t>
            </w:r>
            <w:r w:rsidR="00F633F6" w:rsidRPr="008B13A5">
              <w:rPr>
                <w:noProof/>
                <w:sz w:val="20"/>
                <w:szCs w:val="20"/>
              </w:rPr>
              <w:t xml:space="preserve">decide </w:t>
            </w:r>
            <w:r w:rsidRPr="008B13A5">
              <w:rPr>
                <w:noProof/>
                <w:sz w:val="20"/>
                <w:szCs w:val="20"/>
              </w:rPr>
              <w:t xml:space="preserve">to redirect investment away from other </w:t>
            </w:r>
            <w:r w:rsidR="00F633F6" w:rsidRPr="008B13A5">
              <w:rPr>
                <w:noProof/>
                <w:sz w:val="20"/>
                <w:szCs w:val="20"/>
              </w:rPr>
              <w:t>activities to invest in Strategic Projects.</w:t>
            </w:r>
          </w:p>
        </w:tc>
        <w:tc>
          <w:tcPr>
            <w:tcW w:w="2408"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1ACB58BD" w14:textId="1AA2DE4F" w:rsidR="00BA5F12" w:rsidRPr="008B13A5" w:rsidRDefault="00BA5F12">
            <w:pPr>
              <w:jc w:val="left"/>
              <w:rPr>
                <w:noProof/>
                <w:sz w:val="20"/>
              </w:rPr>
            </w:pPr>
            <w:r w:rsidRPr="008B13A5">
              <w:rPr>
                <w:noProof/>
                <w:sz w:val="20"/>
              </w:rPr>
              <w:t>Increased competition for skilled labour</w:t>
            </w:r>
          </w:p>
          <w:p w14:paraId="061805DB" w14:textId="32ADBD19" w:rsidR="00BA5F12" w:rsidRPr="008B13A5" w:rsidRDefault="00BA5F12" w:rsidP="00F47256">
            <w:pPr>
              <w:pStyle w:val="ListParagraph"/>
              <w:numPr>
                <w:ilvl w:val="0"/>
                <w:numId w:val="9"/>
              </w:numPr>
              <w:spacing w:after="120"/>
              <w:ind w:left="370"/>
              <w:jc w:val="left"/>
              <w:rPr>
                <w:noProof/>
                <w:sz w:val="20"/>
                <w:szCs w:val="20"/>
              </w:rPr>
            </w:pPr>
            <w:r w:rsidRPr="008B13A5">
              <w:rPr>
                <w:noProof/>
                <w:sz w:val="20"/>
                <w:szCs w:val="20"/>
              </w:rPr>
              <w:t>Strategic Projects intensify demand for technicians, engineers, and specialised operators, increasing hiring and wage pressures.</w:t>
            </w:r>
          </w:p>
        </w:tc>
        <w:tc>
          <w:tcPr>
            <w:tcW w:w="2445"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vAlign w:val="center"/>
          </w:tcPr>
          <w:p w14:paraId="62A56910" w14:textId="77777777" w:rsidR="00BA5F12" w:rsidRPr="008B13A5" w:rsidRDefault="00BA5F12" w:rsidP="00363700">
            <w:pPr>
              <w:jc w:val="left"/>
              <w:rPr>
                <w:noProof/>
                <w:sz w:val="20"/>
                <w:highlight w:val="yellow"/>
              </w:rPr>
            </w:pPr>
            <w:r w:rsidRPr="008B13A5">
              <w:rPr>
                <w:noProof/>
                <w:sz w:val="20"/>
              </w:rPr>
              <w:t>None</w:t>
            </w:r>
          </w:p>
        </w:tc>
        <w:tc>
          <w:tcPr>
            <w:tcW w:w="2926" w:type="dxa"/>
            <w:tcBorders>
              <w:top w:val="double" w:sz="4" w:space="0" w:color="auto"/>
              <w:left w:val="double" w:sz="4" w:space="0" w:color="auto"/>
              <w:bottom w:val="double" w:sz="4" w:space="0" w:color="auto"/>
              <w:right w:val="double" w:sz="4" w:space="0" w:color="auto"/>
            </w:tcBorders>
            <w:tcMar>
              <w:top w:w="57" w:type="dxa"/>
              <w:left w:w="57" w:type="dxa"/>
              <w:bottom w:w="57" w:type="dxa"/>
              <w:right w:w="57" w:type="dxa"/>
            </w:tcMar>
          </w:tcPr>
          <w:p w14:paraId="0749950C" w14:textId="21D68748" w:rsidR="00031A53" w:rsidRPr="008B13A5" w:rsidRDefault="00BA5F12" w:rsidP="00BD008E">
            <w:pPr>
              <w:rPr>
                <w:noProof/>
              </w:rPr>
            </w:pPr>
            <w:r w:rsidRPr="00BD008E">
              <w:rPr>
                <w:noProof/>
                <w:sz w:val="20"/>
                <w:szCs w:val="20"/>
              </w:rPr>
              <w:t xml:space="preserve">Long-term fiscal exposure from Strategic Projects (PM8) </w:t>
            </w:r>
          </w:p>
          <w:p w14:paraId="22760377" w14:textId="7C7C3BE1" w:rsidR="00BA5F12" w:rsidRPr="00BD008E" w:rsidRDefault="00042F3B" w:rsidP="00BD008E">
            <w:pPr>
              <w:pStyle w:val="ListParagraph"/>
              <w:numPr>
                <w:ilvl w:val="0"/>
                <w:numId w:val="9"/>
              </w:numPr>
              <w:spacing w:after="120"/>
              <w:ind w:left="370"/>
              <w:jc w:val="left"/>
              <w:rPr>
                <w:noProof/>
                <w:sz w:val="20"/>
                <w:szCs w:val="20"/>
              </w:rPr>
            </w:pPr>
            <w:r w:rsidRPr="00BD008E">
              <w:rPr>
                <w:noProof/>
                <w:sz w:val="20"/>
                <w:szCs w:val="20"/>
              </w:rPr>
              <w:t xml:space="preserve">High costs which, despite being classified as investment expenditure, generate </w:t>
            </w:r>
            <w:r w:rsidR="00F4647C" w:rsidRPr="008B13A5">
              <w:rPr>
                <w:noProof/>
                <w:sz w:val="20"/>
                <w:szCs w:val="20"/>
              </w:rPr>
              <w:t>significant</w:t>
            </w:r>
            <w:r w:rsidRPr="00BD008E">
              <w:rPr>
                <w:noProof/>
                <w:sz w:val="20"/>
                <w:szCs w:val="20"/>
              </w:rPr>
              <w:t xml:space="preserve"> fiscal pressure</w:t>
            </w:r>
            <w:r w:rsidR="00031A53" w:rsidRPr="00BD008E">
              <w:rPr>
                <w:noProof/>
                <w:sz w:val="20"/>
                <w:szCs w:val="20"/>
              </w:rPr>
              <w:t>.</w:t>
            </w:r>
          </w:p>
          <w:p w14:paraId="246FB690" w14:textId="6460A8FF" w:rsidR="00BA5F12" w:rsidRPr="00BD008E" w:rsidRDefault="00BA5F12" w:rsidP="00BD008E">
            <w:pPr>
              <w:spacing w:after="120"/>
              <w:ind w:left="10"/>
              <w:jc w:val="left"/>
              <w:rPr>
                <w:noProof/>
                <w:sz w:val="20"/>
                <w:szCs w:val="20"/>
              </w:rPr>
            </w:pPr>
            <w:r w:rsidRPr="00BD008E">
              <w:rPr>
                <w:noProof/>
                <w:sz w:val="20"/>
                <w:szCs w:val="20"/>
              </w:rPr>
              <w:t>Transitional dual-system administrative burden (PM5, PM6)</w:t>
            </w:r>
          </w:p>
          <w:p w14:paraId="6CBB6CFB" w14:textId="02F68AA7" w:rsidR="00BA5F12" w:rsidRPr="008B13A5" w:rsidRDefault="00BA5F12" w:rsidP="00031A53">
            <w:pPr>
              <w:pStyle w:val="ListParagraph"/>
              <w:numPr>
                <w:ilvl w:val="0"/>
                <w:numId w:val="9"/>
              </w:numPr>
              <w:spacing w:after="120"/>
              <w:ind w:left="370"/>
              <w:jc w:val="left"/>
              <w:rPr>
                <w:noProof/>
                <w:sz w:val="20"/>
                <w:szCs w:val="20"/>
              </w:rPr>
            </w:pPr>
            <w:r w:rsidRPr="008B13A5">
              <w:rPr>
                <w:noProof/>
                <w:sz w:val="20"/>
                <w:szCs w:val="20"/>
              </w:rPr>
              <w:t xml:space="preserve">Low-medium (and diminishing) cost. Until the Platform and governance system reach maturity, </w:t>
            </w:r>
            <w:r w:rsidR="00F4647C" w:rsidRPr="008B13A5">
              <w:rPr>
                <w:noProof/>
                <w:sz w:val="20"/>
                <w:szCs w:val="20"/>
              </w:rPr>
              <w:t xml:space="preserve">public </w:t>
            </w:r>
            <w:r w:rsidRPr="008B13A5">
              <w:rPr>
                <w:noProof/>
                <w:sz w:val="20"/>
                <w:szCs w:val="20"/>
              </w:rPr>
              <w:t>administrations handle both legacy crisis tools and new mechanisms.</w:t>
            </w:r>
          </w:p>
        </w:tc>
      </w:tr>
    </w:tbl>
    <w:p w14:paraId="6BDB553C" w14:textId="77777777" w:rsidR="00EC7B13" w:rsidRDefault="00EC7B13">
      <w:pPr>
        <w:rPr>
          <w:noProof/>
          <w:sz w:val="20"/>
        </w:rPr>
        <w:sectPr w:rsidR="00EC7B13" w:rsidSect="00BD008E">
          <w:pgSz w:w="16838" w:h="11906" w:orient="landscape"/>
          <w:pgMar w:top="1134" w:right="1134" w:bottom="1418" w:left="1418" w:header="601" w:footer="1077" w:gutter="0"/>
          <w:cols w:space="720"/>
          <w:titlePg/>
          <w:docGrid w:linePitch="326"/>
        </w:sectPr>
      </w:pPr>
    </w:p>
    <w:p w14:paraId="326725B0" w14:textId="77777777" w:rsidR="00BA5F12" w:rsidRPr="00BD008E" w:rsidRDefault="00BA5F12" w:rsidP="00BD008E">
      <w:pPr>
        <w:rPr>
          <w:noProof/>
          <w:sz w:val="22"/>
          <w:szCs w:val="22"/>
        </w:rPr>
      </w:pPr>
    </w:p>
    <w:tbl>
      <w:tblPr>
        <w:tblStyle w:val="TableGrid"/>
        <w:tblW w:w="5000" w:type="pct"/>
        <w:tblCellMar>
          <w:left w:w="0" w:type="dxa"/>
          <w:right w:w="0" w:type="dxa"/>
        </w:tblCellMar>
        <w:tblLook w:val="04A0" w:firstRow="1" w:lastRow="0" w:firstColumn="1" w:lastColumn="0" w:noHBand="0" w:noVBand="1"/>
      </w:tblPr>
      <w:tblGrid>
        <w:gridCol w:w="3558"/>
        <w:gridCol w:w="3788"/>
        <w:gridCol w:w="4171"/>
        <w:gridCol w:w="2985"/>
      </w:tblGrid>
      <w:tr w:rsidR="00BA5F12" w:rsidRPr="008B13A5" w14:paraId="1F21E67C" w14:textId="77777777">
        <w:tc>
          <w:tcPr>
            <w:tcW w:w="5000" w:type="pct"/>
            <w:gridSpan w:val="4"/>
            <w:tcBorders>
              <w:top w:val="double" w:sz="4" w:space="0" w:color="auto"/>
              <w:left w:val="double" w:sz="4" w:space="0" w:color="auto"/>
              <w:bottom w:val="single" w:sz="8" w:space="0" w:color="auto"/>
              <w:right w:val="double" w:sz="4" w:space="0" w:color="auto"/>
            </w:tcBorders>
            <w:shd w:val="clear" w:color="auto" w:fill="C6D9F1"/>
            <w:tcMar>
              <w:top w:w="0" w:type="dxa"/>
              <w:left w:w="108" w:type="dxa"/>
              <w:bottom w:w="0" w:type="dxa"/>
              <w:right w:w="108" w:type="dxa"/>
            </w:tcMar>
            <w:vAlign w:val="center"/>
          </w:tcPr>
          <w:p w14:paraId="3A1DAA7A" w14:textId="4768F47A" w:rsidR="00BA5F12" w:rsidRPr="008B13A5" w:rsidRDefault="00BA5F12">
            <w:pPr>
              <w:spacing w:before="60"/>
              <w:rPr>
                <w:b/>
                <w:bCs/>
                <w:noProof/>
                <w:sz w:val="20"/>
              </w:rPr>
            </w:pPr>
            <w:r w:rsidRPr="008B13A5">
              <w:rPr>
                <w:b/>
                <w:bCs/>
                <w:noProof/>
                <w:sz w:val="20"/>
              </w:rPr>
              <w:t>III. Application of the ‘one in, one out’ approach – Preferred option(s)</w:t>
            </w:r>
          </w:p>
        </w:tc>
      </w:tr>
      <w:tr w:rsidR="00BA5F12" w:rsidRPr="008B13A5" w14:paraId="45A517D5" w14:textId="77777777">
        <w:tc>
          <w:tcPr>
            <w:tcW w:w="1227"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tcPr>
          <w:p w14:paraId="7293E68E" w14:textId="77777777" w:rsidR="00BA5F12" w:rsidRPr="008B13A5" w:rsidRDefault="00BA5F12" w:rsidP="00BD008E">
            <w:pPr>
              <w:spacing w:before="60"/>
              <w:jc w:val="center"/>
              <w:rPr>
                <w:rFonts w:ascii="Calibri" w:hAnsi="Calibri" w:cs="Calibri"/>
                <w:b/>
                <w:bCs/>
                <w:noProof/>
                <w:sz w:val="20"/>
              </w:rPr>
            </w:pPr>
            <w:r w:rsidRPr="008B13A5">
              <w:rPr>
                <w:b/>
                <w:bCs/>
                <w:noProof/>
                <w:sz w:val="20"/>
              </w:rPr>
              <w:t>[M€]</w:t>
            </w:r>
          </w:p>
        </w:tc>
        <w:tc>
          <w:tcPr>
            <w:tcW w:w="1306" w:type="pct"/>
            <w:tcBorders>
              <w:top w:val="nil"/>
              <w:left w:val="nil"/>
              <w:bottom w:val="single" w:sz="8" w:space="0" w:color="auto"/>
              <w:right w:val="single" w:sz="8" w:space="0" w:color="auto"/>
            </w:tcBorders>
            <w:tcMar>
              <w:top w:w="0" w:type="dxa"/>
              <w:left w:w="108" w:type="dxa"/>
              <w:bottom w:w="0" w:type="dxa"/>
              <w:right w:w="108" w:type="dxa"/>
            </w:tcMar>
            <w:vAlign w:val="center"/>
          </w:tcPr>
          <w:p w14:paraId="2F00C8AD" w14:textId="77777777" w:rsidR="00BA5F12" w:rsidRPr="008B13A5" w:rsidRDefault="00BA5F12">
            <w:pPr>
              <w:spacing w:before="60"/>
              <w:jc w:val="center"/>
              <w:rPr>
                <w:b/>
                <w:bCs/>
                <w:noProof/>
                <w:sz w:val="20"/>
              </w:rPr>
            </w:pPr>
            <w:r w:rsidRPr="008B13A5">
              <w:rPr>
                <w:b/>
                <w:bCs/>
                <w:noProof/>
                <w:sz w:val="20"/>
              </w:rPr>
              <w:t>One-off</w:t>
            </w:r>
          </w:p>
          <w:p w14:paraId="4C1F6EB0" w14:textId="34C00FA8" w:rsidR="00BA5F12" w:rsidRPr="008B13A5" w:rsidRDefault="00BA5F12">
            <w:pPr>
              <w:jc w:val="center"/>
              <w:rPr>
                <w:noProof/>
                <w:sz w:val="20"/>
              </w:rPr>
            </w:pPr>
            <w:r w:rsidRPr="008B13A5">
              <w:rPr>
                <w:noProof/>
                <w:sz w:val="20"/>
              </w:rPr>
              <w:t>(annualised total net present value over the relevant period)</w:t>
            </w:r>
          </w:p>
        </w:tc>
        <w:tc>
          <w:tcPr>
            <w:tcW w:w="1438" w:type="pct"/>
            <w:tcBorders>
              <w:top w:val="nil"/>
              <w:left w:val="nil"/>
              <w:bottom w:val="single" w:sz="8" w:space="0" w:color="auto"/>
              <w:right w:val="double" w:sz="4" w:space="0" w:color="auto"/>
            </w:tcBorders>
            <w:tcMar>
              <w:top w:w="0" w:type="dxa"/>
              <w:left w:w="108" w:type="dxa"/>
              <w:bottom w:w="0" w:type="dxa"/>
              <w:right w:w="108" w:type="dxa"/>
            </w:tcMar>
            <w:vAlign w:val="center"/>
          </w:tcPr>
          <w:p w14:paraId="6CE6279B" w14:textId="77777777" w:rsidR="00BA5F12" w:rsidRPr="008B13A5" w:rsidRDefault="00BA5F12">
            <w:pPr>
              <w:spacing w:before="60"/>
              <w:jc w:val="center"/>
              <w:rPr>
                <w:b/>
                <w:bCs/>
                <w:noProof/>
                <w:sz w:val="20"/>
              </w:rPr>
            </w:pPr>
            <w:r w:rsidRPr="008B13A5">
              <w:rPr>
                <w:b/>
                <w:bCs/>
                <w:noProof/>
                <w:sz w:val="20"/>
              </w:rPr>
              <w:t>Recurrent</w:t>
            </w:r>
          </w:p>
          <w:p w14:paraId="548A650F" w14:textId="209054D0" w:rsidR="00BA5F12" w:rsidRPr="008B13A5" w:rsidRDefault="00BA5F12">
            <w:pPr>
              <w:jc w:val="center"/>
              <w:rPr>
                <w:b/>
                <w:bCs/>
                <w:noProof/>
                <w:sz w:val="20"/>
              </w:rPr>
            </w:pPr>
            <w:r w:rsidRPr="008B13A5">
              <w:rPr>
                <w:noProof/>
                <w:sz w:val="20"/>
              </w:rPr>
              <w:t>(nominal values per year)</w:t>
            </w:r>
          </w:p>
          <w:p w14:paraId="5C53E51C" w14:textId="77777777" w:rsidR="00BA5F12" w:rsidRPr="008B13A5" w:rsidRDefault="00BA5F12">
            <w:pPr>
              <w:spacing w:before="60"/>
              <w:jc w:val="center"/>
              <w:rPr>
                <w:b/>
                <w:bCs/>
                <w:noProof/>
                <w:sz w:val="20"/>
              </w:rPr>
            </w:pPr>
          </w:p>
        </w:tc>
        <w:tc>
          <w:tcPr>
            <w:tcW w:w="1029" w:type="pct"/>
            <w:tcBorders>
              <w:top w:val="nil"/>
              <w:left w:val="nil"/>
              <w:bottom w:val="single" w:sz="8" w:space="0" w:color="auto"/>
              <w:right w:val="double" w:sz="4" w:space="0" w:color="auto"/>
            </w:tcBorders>
          </w:tcPr>
          <w:p w14:paraId="19895C42" w14:textId="77777777" w:rsidR="00BA5F12" w:rsidRPr="008B13A5" w:rsidRDefault="00BA5F12">
            <w:pPr>
              <w:spacing w:before="60"/>
              <w:jc w:val="center"/>
              <w:rPr>
                <w:b/>
                <w:bCs/>
                <w:noProof/>
                <w:sz w:val="20"/>
              </w:rPr>
            </w:pPr>
            <w:r w:rsidRPr="008B13A5">
              <w:rPr>
                <w:b/>
                <w:bCs/>
                <w:noProof/>
                <w:sz w:val="20"/>
              </w:rPr>
              <w:t>Total</w:t>
            </w:r>
          </w:p>
        </w:tc>
      </w:tr>
      <w:tr w:rsidR="00BA5F12" w:rsidRPr="008B13A5" w14:paraId="5A4D6936" w14:textId="77777777">
        <w:tc>
          <w:tcPr>
            <w:tcW w:w="5000" w:type="pct"/>
            <w:gridSpan w:val="4"/>
            <w:tcBorders>
              <w:top w:val="nil"/>
              <w:left w:val="double" w:sz="4" w:space="0" w:color="auto"/>
              <w:bottom w:val="single" w:sz="8" w:space="0" w:color="auto"/>
              <w:right w:val="double" w:sz="4" w:space="0" w:color="auto"/>
            </w:tcBorders>
            <w:tcMar>
              <w:top w:w="0" w:type="dxa"/>
              <w:left w:w="108" w:type="dxa"/>
              <w:bottom w:w="0" w:type="dxa"/>
              <w:right w:w="108" w:type="dxa"/>
            </w:tcMar>
            <w:vAlign w:val="center"/>
          </w:tcPr>
          <w:p w14:paraId="699027A2" w14:textId="693CCA95" w:rsidR="00BA5F12" w:rsidRPr="008B13A5" w:rsidRDefault="00E033ED">
            <w:pPr>
              <w:spacing w:before="120"/>
              <w:jc w:val="left"/>
              <w:rPr>
                <w:b/>
                <w:bCs/>
                <w:noProof/>
                <w:sz w:val="20"/>
              </w:rPr>
            </w:pPr>
            <w:r w:rsidRPr="008B13A5">
              <w:rPr>
                <w:b/>
                <w:bCs/>
                <w:noProof/>
                <w:sz w:val="20"/>
              </w:rPr>
              <w:t>Industry and enterprises</w:t>
            </w:r>
          </w:p>
        </w:tc>
      </w:tr>
      <w:tr w:rsidR="00BA5F12" w:rsidRPr="008B13A5" w14:paraId="7450CD2A" w14:textId="77777777">
        <w:tc>
          <w:tcPr>
            <w:tcW w:w="1227"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tcPr>
          <w:p w14:paraId="66CA2404" w14:textId="12217F4C" w:rsidR="00BA5F12" w:rsidRPr="008B13A5" w:rsidRDefault="00BA5F12">
            <w:pPr>
              <w:spacing w:before="60"/>
              <w:ind w:left="284"/>
              <w:jc w:val="left"/>
              <w:rPr>
                <w:noProof/>
                <w:sz w:val="20"/>
              </w:rPr>
            </w:pPr>
            <w:r w:rsidRPr="008B13A5">
              <w:rPr>
                <w:noProof/>
                <w:sz w:val="20"/>
              </w:rPr>
              <w:t>New administrative burdens (INs)</w:t>
            </w:r>
          </w:p>
        </w:tc>
        <w:tc>
          <w:tcPr>
            <w:tcW w:w="1306" w:type="pct"/>
            <w:tcBorders>
              <w:top w:val="nil"/>
              <w:left w:val="nil"/>
              <w:bottom w:val="single" w:sz="8" w:space="0" w:color="auto"/>
              <w:right w:val="single" w:sz="8" w:space="0" w:color="auto"/>
            </w:tcBorders>
            <w:tcMar>
              <w:top w:w="0" w:type="dxa"/>
              <w:left w:w="108" w:type="dxa"/>
              <w:bottom w:w="0" w:type="dxa"/>
              <w:right w:w="108" w:type="dxa"/>
            </w:tcMar>
          </w:tcPr>
          <w:p w14:paraId="73D4A0C4" w14:textId="77777777" w:rsidR="00BA5F12" w:rsidRPr="008B13A5" w:rsidRDefault="00BA5F12">
            <w:pPr>
              <w:pStyle w:val="ListParagraph"/>
              <w:ind w:left="503"/>
              <w:jc w:val="left"/>
              <w:rPr>
                <w:noProof/>
                <w:sz w:val="20"/>
                <w:szCs w:val="20"/>
              </w:rPr>
            </w:pPr>
          </w:p>
        </w:tc>
        <w:tc>
          <w:tcPr>
            <w:tcW w:w="1438" w:type="pct"/>
            <w:tcBorders>
              <w:top w:val="nil"/>
              <w:left w:val="nil"/>
              <w:bottom w:val="single" w:sz="8" w:space="0" w:color="auto"/>
              <w:right w:val="double" w:sz="4" w:space="0" w:color="auto"/>
            </w:tcBorders>
            <w:tcMar>
              <w:top w:w="0" w:type="dxa"/>
              <w:left w:w="108" w:type="dxa"/>
              <w:bottom w:w="0" w:type="dxa"/>
              <w:right w:w="108" w:type="dxa"/>
            </w:tcMar>
          </w:tcPr>
          <w:p w14:paraId="3F286DF3" w14:textId="6B9FFF6E" w:rsidR="00BA5F12" w:rsidRPr="008B13A5" w:rsidRDefault="00BA5F12">
            <w:pPr>
              <w:jc w:val="left"/>
              <w:rPr>
                <w:noProof/>
                <w:sz w:val="20"/>
              </w:rPr>
            </w:pPr>
            <w:r w:rsidRPr="008B13A5">
              <w:rPr>
                <w:noProof/>
                <w:sz w:val="20"/>
              </w:rPr>
              <w:t xml:space="preserve">Mandatory disclosures of supply chain vulnerabilities. </w:t>
            </w:r>
          </w:p>
          <w:p w14:paraId="0D0EC8BD" w14:textId="16CC4F1F" w:rsidR="00BA5F12" w:rsidRPr="008B13A5" w:rsidRDefault="00A238D9" w:rsidP="00F47256">
            <w:pPr>
              <w:pStyle w:val="ListParagraph"/>
              <w:numPr>
                <w:ilvl w:val="0"/>
                <w:numId w:val="12"/>
              </w:numPr>
              <w:spacing w:after="120"/>
              <w:jc w:val="left"/>
              <w:rPr>
                <w:noProof/>
                <w:sz w:val="20"/>
                <w:szCs w:val="20"/>
              </w:rPr>
            </w:pPr>
            <w:r w:rsidRPr="008B13A5">
              <w:rPr>
                <w:b/>
                <w:noProof/>
                <w:sz w:val="20"/>
              </w:rPr>
              <w:t xml:space="preserve">Medium-low cost </w:t>
            </w:r>
            <w:r w:rsidRPr="00BD008E">
              <w:rPr>
                <w:noProof/>
                <w:sz w:val="20"/>
              </w:rPr>
              <w:t>e</w:t>
            </w:r>
            <w:r w:rsidRPr="008B13A5">
              <w:rPr>
                <w:noProof/>
                <w:sz w:val="20"/>
              </w:rPr>
              <w:t xml:space="preserve">xpected, </w:t>
            </w:r>
            <w:r w:rsidRPr="008B13A5">
              <w:rPr>
                <w:noProof/>
                <w:sz w:val="20"/>
                <w:szCs w:val="20"/>
              </w:rPr>
              <w:t>e</w:t>
            </w:r>
            <w:r w:rsidR="00BA5F12" w:rsidRPr="008B13A5">
              <w:rPr>
                <w:noProof/>
                <w:sz w:val="20"/>
                <w:szCs w:val="20"/>
              </w:rPr>
              <w:t xml:space="preserve">stimated at </w:t>
            </w:r>
            <w:r w:rsidR="00BA5F12" w:rsidRPr="008B13A5">
              <w:rPr>
                <w:b/>
                <w:bCs/>
                <w:noProof/>
                <w:sz w:val="20"/>
                <w:szCs w:val="20"/>
              </w:rPr>
              <w:t>up to 10 person-days/year</w:t>
            </w:r>
            <w:r w:rsidR="00BA5F12" w:rsidRPr="008B13A5">
              <w:rPr>
                <w:noProof/>
                <w:sz w:val="20"/>
                <w:szCs w:val="20"/>
              </w:rPr>
              <w:t xml:space="preserve"> for large firms (benchmarked to costs of reporting) per request. Can be translated into </w:t>
            </w:r>
            <w:r w:rsidR="00BA5F12" w:rsidRPr="008B13A5">
              <w:rPr>
                <w:b/>
                <w:bCs/>
                <w:noProof/>
                <w:sz w:val="20"/>
                <w:szCs w:val="20"/>
              </w:rPr>
              <w:t>EUR 2783</w:t>
            </w:r>
            <w:r w:rsidR="005C0DB4" w:rsidRPr="008B13A5">
              <w:rPr>
                <w:noProof/>
                <w:sz w:val="20"/>
                <w:szCs w:val="20"/>
              </w:rPr>
              <w:t xml:space="preserve"> cost </w:t>
            </w:r>
            <w:r w:rsidR="00BA5F12" w:rsidRPr="008B13A5">
              <w:rPr>
                <w:noProof/>
                <w:sz w:val="20"/>
                <w:szCs w:val="20"/>
              </w:rPr>
              <w:t>per request</w:t>
            </w:r>
            <w:r w:rsidR="00F274DD" w:rsidRPr="008B13A5">
              <w:rPr>
                <w:noProof/>
                <w:sz w:val="20"/>
                <w:szCs w:val="20"/>
              </w:rPr>
              <w:t xml:space="preserve"> </w:t>
            </w:r>
            <w:r w:rsidR="00BA5F12" w:rsidRPr="008B13A5">
              <w:rPr>
                <w:noProof/>
                <w:sz w:val="20"/>
                <w:szCs w:val="20"/>
              </w:rPr>
              <w:t>(</w:t>
            </w:r>
            <w:r w:rsidR="00BA5F12" w:rsidRPr="008B13A5">
              <w:rPr>
                <w:rStyle w:val="FootnoteReference"/>
                <w:noProof/>
                <w:sz w:val="20"/>
                <w:szCs w:val="20"/>
              </w:rPr>
              <w:footnoteReference w:id="13"/>
            </w:r>
            <w:r w:rsidR="00BA5F12" w:rsidRPr="008B13A5">
              <w:rPr>
                <w:noProof/>
                <w:sz w:val="20"/>
                <w:szCs w:val="20"/>
              </w:rPr>
              <w:t xml:space="preserve">). </w:t>
            </w:r>
          </w:p>
        </w:tc>
        <w:tc>
          <w:tcPr>
            <w:tcW w:w="1029" w:type="pct"/>
            <w:tcBorders>
              <w:top w:val="nil"/>
              <w:left w:val="nil"/>
              <w:bottom w:val="single" w:sz="8" w:space="0" w:color="auto"/>
              <w:right w:val="double" w:sz="4" w:space="0" w:color="auto"/>
            </w:tcBorders>
          </w:tcPr>
          <w:p w14:paraId="0B37BCC0" w14:textId="5872A63B" w:rsidR="00BA5F12" w:rsidRPr="008B13A5" w:rsidRDefault="00BA5F12">
            <w:pPr>
              <w:jc w:val="left"/>
              <w:rPr>
                <w:noProof/>
                <w:sz w:val="20"/>
              </w:rPr>
            </w:pPr>
            <w:r w:rsidRPr="008B13A5">
              <w:rPr>
                <w:noProof/>
                <w:sz w:val="20"/>
              </w:rPr>
              <w:t xml:space="preserve">The additional administrative costs for businesses likely will not exceed 0.1 FTE. </w:t>
            </w:r>
          </w:p>
        </w:tc>
      </w:tr>
      <w:tr w:rsidR="00BA5F12" w:rsidRPr="008B13A5" w14:paraId="5660540A" w14:textId="77777777">
        <w:tc>
          <w:tcPr>
            <w:tcW w:w="1227"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tcPr>
          <w:p w14:paraId="5ADBC608" w14:textId="1FDE5994" w:rsidR="00BA5F12" w:rsidRPr="008B13A5" w:rsidRDefault="00BA5F12">
            <w:pPr>
              <w:spacing w:before="60"/>
              <w:ind w:left="284"/>
              <w:jc w:val="left"/>
              <w:rPr>
                <w:noProof/>
                <w:sz w:val="20"/>
              </w:rPr>
            </w:pPr>
            <w:r w:rsidRPr="008B13A5">
              <w:rPr>
                <w:noProof/>
                <w:sz w:val="20"/>
              </w:rPr>
              <w:t>Removed administrative burdens (OUTs)</w:t>
            </w:r>
          </w:p>
        </w:tc>
        <w:tc>
          <w:tcPr>
            <w:tcW w:w="1306" w:type="pct"/>
            <w:tcBorders>
              <w:top w:val="nil"/>
              <w:left w:val="nil"/>
              <w:bottom w:val="single" w:sz="8" w:space="0" w:color="auto"/>
              <w:right w:val="single" w:sz="8" w:space="0" w:color="auto"/>
            </w:tcBorders>
            <w:tcMar>
              <w:top w:w="0" w:type="dxa"/>
              <w:left w:w="108" w:type="dxa"/>
              <w:bottom w:w="0" w:type="dxa"/>
              <w:right w:w="108" w:type="dxa"/>
            </w:tcMar>
          </w:tcPr>
          <w:p w14:paraId="3C4911D3" w14:textId="77777777" w:rsidR="00BA5F12" w:rsidRPr="008B13A5" w:rsidRDefault="00BA5F12">
            <w:pPr>
              <w:jc w:val="left"/>
              <w:rPr>
                <w:noProof/>
                <w:sz w:val="20"/>
              </w:rPr>
            </w:pPr>
          </w:p>
        </w:tc>
        <w:tc>
          <w:tcPr>
            <w:tcW w:w="1438" w:type="pct"/>
            <w:tcBorders>
              <w:top w:val="nil"/>
              <w:left w:val="nil"/>
              <w:bottom w:val="single" w:sz="8" w:space="0" w:color="auto"/>
              <w:right w:val="double" w:sz="4" w:space="0" w:color="auto"/>
            </w:tcBorders>
            <w:tcMar>
              <w:top w:w="0" w:type="dxa"/>
              <w:left w:w="108" w:type="dxa"/>
              <w:bottom w:w="0" w:type="dxa"/>
              <w:right w:w="108" w:type="dxa"/>
            </w:tcMar>
          </w:tcPr>
          <w:p w14:paraId="5A3D9B3A" w14:textId="04373D11" w:rsidR="00BA5F12" w:rsidRPr="008B13A5" w:rsidRDefault="00BA5F12">
            <w:pPr>
              <w:jc w:val="left"/>
              <w:rPr>
                <w:noProof/>
                <w:sz w:val="20"/>
              </w:rPr>
            </w:pPr>
            <w:r w:rsidRPr="008B13A5">
              <w:rPr>
                <w:noProof/>
                <w:sz w:val="20"/>
              </w:rPr>
              <w:t>Simplification from Strategic Projects</w:t>
            </w:r>
          </w:p>
          <w:p w14:paraId="0878D62B" w14:textId="2B64D1C6" w:rsidR="00BA5F12" w:rsidRPr="008B13A5" w:rsidRDefault="00BA5F12" w:rsidP="00F47256">
            <w:pPr>
              <w:pStyle w:val="ListParagraph"/>
              <w:numPr>
                <w:ilvl w:val="0"/>
                <w:numId w:val="12"/>
              </w:numPr>
              <w:spacing w:after="120"/>
              <w:jc w:val="left"/>
              <w:rPr>
                <w:noProof/>
                <w:sz w:val="20"/>
                <w:szCs w:val="20"/>
              </w:rPr>
            </w:pPr>
            <w:r w:rsidRPr="008B13A5">
              <w:rPr>
                <w:noProof/>
                <w:sz w:val="20"/>
                <w:szCs w:val="20"/>
              </w:rPr>
              <w:t>Reduced duplication of administrative steps during initial project preparation.</w:t>
            </w:r>
          </w:p>
          <w:p w14:paraId="1EBCD7C9" w14:textId="63ABDC04" w:rsidR="00BA5F12" w:rsidRPr="008B13A5" w:rsidRDefault="00BA5F12" w:rsidP="00F47256">
            <w:pPr>
              <w:pStyle w:val="ListParagraph"/>
              <w:numPr>
                <w:ilvl w:val="0"/>
                <w:numId w:val="12"/>
              </w:numPr>
              <w:spacing w:after="120"/>
              <w:jc w:val="left"/>
              <w:rPr>
                <w:noProof/>
                <w:sz w:val="20"/>
                <w:szCs w:val="20"/>
              </w:rPr>
            </w:pPr>
            <w:r w:rsidRPr="008B13A5">
              <w:rPr>
                <w:noProof/>
                <w:sz w:val="20"/>
                <w:szCs w:val="20"/>
              </w:rPr>
              <w:t>Clearer EU-level project pipeline reduces time spent identifying relevant authorities and procedures.</w:t>
            </w:r>
          </w:p>
          <w:p w14:paraId="4DAEFB48" w14:textId="2350069B" w:rsidR="00BA5F12" w:rsidRPr="008B13A5" w:rsidRDefault="00BA5F12">
            <w:pPr>
              <w:jc w:val="left"/>
              <w:rPr>
                <w:noProof/>
                <w:sz w:val="20"/>
              </w:rPr>
            </w:pPr>
            <w:r w:rsidRPr="008B13A5">
              <w:rPr>
                <w:noProof/>
                <w:sz w:val="20"/>
              </w:rPr>
              <w:t>Faster and more predictable permitting procedures</w:t>
            </w:r>
          </w:p>
          <w:p w14:paraId="4CEADB03" w14:textId="1212AC90" w:rsidR="00BA5F12" w:rsidRPr="008B13A5" w:rsidRDefault="00BA5F12" w:rsidP="00F47256">
            <w:pPr>
              <w:pStyle w:val="NormalWeb"/>
              <w:numPr>
                <w:ilvl w:val="0"/>
                <w:numId w:val="12"/>
              </w:numPr>
              <w:spacing w:after="120" w:afterAutospacing="0"/>
              <w:rPr>
                <w:noProof/>
                <w:sz w:val="20"/>
                <w:szCs w:val="20"/>
              </w:rPr>
            </w:pPr>
            <w:r w:rsidRPr="008B13A5">
              <w:rPr>
                <w:noProof/>
                <w:sz w:val="20"/>
                <w:szCs w:val="20"/>
              </w:rPr>
              <w:t>Fewer iterative exchanges with permitting authorities.</w:t>
            </w:r>
            <w:r w:rsidRPr="008B13A5">
              <w:rPr>
                <w:rFonts w:eastAsia="Aptos" w:cs="Arial"/>
                <w:noProof/>
                <w:kern w:val="2"/>
                <w:sz w:val="20"/>
                <w:szCs w:val="20"/>
              </w:rPr>
              <w:t xml:space="preserve"> Assuming that delays add around 5% of total project value per year, a 7.5-month delay (about 0.625 years) translates into a cost penalty of approximately 3.1% of project value. </w:t>
            </w:r>
            <w:r w:rsidRPr="008B13A5">
              <w:rPr>
                <w:noProof/>
                <w:sz w:val="20"/>
                <w:szCs w:val="20"/>
              </w:rPr>
              <w:t>In Taiwan, these phases typically take between 6 and 13 months, whereas in the EU they usually require 16 to 18 months</w:t>
            </w:r>
            <w:r w:rsidR="00F274DD" w:rsidRPr="008B13A5">
              <w:rPr>
                <w:noProof/>
                <w:sz w:val="20"/>
                <w:szCs w:val="20"/>
              </w:rPr>
              <w:t xml:space="preserve"> </w:t>
            </w:r>
            <w:r w:rsidRPr="008B13A5">
              <w:rPr>
                <w:noProof/>
                <w:sz w:val="20"/>
                <w:szCs w:val="20"/>
              </w:rPr>
              <w:t>(</w:t>
            </w:r>
            <w:r w:rsidRPr="008B13A5">
              <w:rPr>
                <w:rStyle w:val="FootnoteReference"/>
                <w:noProof/>
                <w:sz w:val="20"/>
                <w:szCs w:val="20"/>
              </w:rPr>
              <w:footnoteReference w:id="14"/>
            </w:r>
            <w:r w:rsidRPr="008B13A5">
              <w:rPr>
                <w:noProof/>
                <w:sz w:val="20"/>
                <w:szCs w:val="20"/>
              </w:rPr>
              <w:t>). This implies that permitting and design in the EU are approximately 3 to 10 months longer than in Taiwan. Using midpoint estimates,</w:t>
            </w:r>
            <w:r w:rsidR="00F274DD" w:rsidRPr="008B13A5">
              <w:rPr>
                <w:noProof/>
                <w:sz w:val="20"/>
                <w:szCs w:val="20"/>
              </w:rPr>
              <w:t xml:space="preserve"> </w:t>
            </w:r>
            <w:r w:rsidRPr="008B13A5">
              <w:rPr>
                <w:noProof/>
                <w:sz w:val="20"/>
                <w:szCs w:val="20"/>
              </w:rPr>
              <w:t>(</w:t>
            </w:r>
            <w:r w:rsidRPr="008B13A5">
              <w:rPr>
                <w:rStyle w:val="FootnoteReference"/>
                <w:noProof/>
                <w:sz w:val="20"/>
                <w:szCs w:val="20"/>
              </w:rPr>
              <w:footnoteReference w:id="15"/>
            </w:r>
            <w:r w:rsidRPr="008B13A5">
              <w:rPr>
                <w:noProof/>
                <w:sz w:val="20"/>
                <w:szCs w:val="20"/>
              </w:rPr>
              <w:t xml:space="preserve">) the average amounts </w:t>
            </w:r>
            <w:r w:rsidRPr="008B13A5">
              <w:rPr>
                <w:b/>
                <w:noProof/>
                <w:sz w:val="20"/>
                <w:szCs w:val="20"/>
              </w:rPr>
              <w:t>to roughly 7.5 months additional time</w:t>
            </w:r>
            <w:r w:rsidRPr="008B13A5">
              <w:rPr>
                <w:noProof/>
                <w:sz w:val="20"/>
                <w:szCs w:val="20"/>
              </w:rPr>
              <w:t>. As set out in Annex 3, und the assumption that each year of delay adds around 5 % of total project value</w:t>
            </w:r>
            <w:r w:rsidR="00F274DD" w:rsidRPr="008B13A5">
              <w:rPr>
                <w:noProof/>
                <w:sz w:val="20"/>
                <w:szCs w:val="20"/>
              </w:rPr>
              <w:t xml:space="preserve"> </w:t>
            </w:r>
            <w:r w:rsidRPr="008B13A5">
              <w:rPr>
                <w:noProof/>
                <w:sz w:val="20"/>
                <w:szCs w:val="20"/>
              </w:rPr>
              <w:t>(</w:t>
            </w:r>
            <w:r w:rsidRPr="008B13A5">
              <w:rPr>
                <w:rStyle w:val="FootnoteReference"/>
                <w:noProof/>
                <w:sz w:val="20"/>
                <w:szCs w:val="20"/>
              </w:rPr>
              <w:footnoteReference w:id="16"/>
            </w:r>
            <w:r w:rsidRPr="008B13A5">
              <w:rPr>
                <w:noProof/>
                <w:sz w:val="20"/>
                <w:szCs w:val="20"/>
              </w:rPr>
              <w:t xml:space="preserve">), this implies an additional cost equivalent to 3.125 % of overall investment. For a representative EUR 20 billion advanced semiconductor fabrication plant, this corresponds to </w:t>
            </w:r>
            <w:r w:rsidRPr="008B13A5">
              <w:rPr>
                <w:b/>
                <w:noProof/>
                <w:sz w:val="20"/>
                <w:szCs w:val="20"/>
              </w:rPr>
              <w:t xml:space="preserve">roughly EUR 625 million </w:t>
            </w:r>
            <w:r w:rsidRPr="008B13A5">
              <w:rPr>
                <w:noProof/>
                <w:sz w:val="20"/>
                <w:szCs w:val="20"/>
              </w:rPr>
              <w:t>in additional expenditure</w:t>
            </w:r>
          </w:p>
          <w:p w14:paraId="68E0E478" w14:textId="65AD2EEB" w:rsidR="00BA5F12" w:rsidRPr="008B13A5" w:rsidRDefault="00BA5F12" w:rsidP="00F47256">
            <w:pPr>
              <w:pStyle w:val="NormalWeb"/>
              <w:numPr>
                <w:ilvl w:val="0"/>
                <w:numId w:val="12"/>
              </w:numPr>
              <w:spacing w:after="120" w:afterAutospacing="0"/>
              <w:rPr>
                <w:noProof/>
                <w:sz w:val="20"/>
                <w:szCs w:val="20"/>
              </w:rPr>
            </w:pPr>
            <w:r w:rsidRPr="008B13A5">
              <w:rPr>
                <w:noProof/>
                <w:sz w:val="20"/>
                <w:szCs w:val="20"/>
              </w:rPr>
              <w:t>Smoother administrative handling of investment dossiers throughout project lifecycle.</w:t>
            </w:r>
          </w:p>
          <w:p w14:paraId="16A9BC64" w14:textId="639E2A28" w:rsidR="00BA5F12" w:rsidRPr="008B13A5" w:rsidRDefault="00BA5F12">
            <w:pPr>
              <w:jc w:val="left"/>
              <w:rPr>
                <w:noProof/>
                <w:sz w:val="20"/>
              </w:rPr>
            </w:pPr>
            <w:r w:rsidRPr="008B13A5">
              <w:rPr>
                <w:noProof/>
                <w:sz w:val="20"/>
              </w:rPr>
              <w:t>Fewer ad hoc crisis-related information requests</w:t>
            </w:r>
          </w:p>
          <w:p w14:paraId="08AD1848" w14:textId="1FE2F88F" w:rsidR="00BA5F12" w:rsidRPr="008B13A5" w:rsidRDefault="00BA5F12" w:rsidP="00F47256">
            <w:pPr>
              <w:pStyle w:val="NormalWeb"/>
              <w:numPr>
                <w:ilvl w:val="0"/>
                <w:numId w:val="13"/>
              </w:numPr>
              <w:spacing w:after="120" w:afterAutospacing="0"/>
              <w:rPr>
                <w:noProof/>
                <w:sz w:val="20"/>
                <w:szCs w:val="20"/>
              </w:rPr>
            </w:pPr>
            <w:r w:rsidRPr="008B13A5">
              <w:rPr>
                <w:noProof/>
                <w:sz w:val="20"/>
                <w:szCs w:val="20"/>
              </w:rPr>
              <w:t>Companies no longer need to respond to urgent, unstructured, duplicative requests from multiple authorities during disruptions.</w:t>
            </w:r>
          </w:p>
          <w:p w14:paraId="73892E5C" w14:textId="4DBAA659" w:rsidR="00BA5F12" w:rsidRPr="008B13A5" w:rsidRDefault="00BA5F12">
            <w:pPr>
              <w:jc w:val="left"/>
              <w:rPr>
                <w:noProof/>
                <w:sz w:val="20"/>
              </w:rPr>
            </w:pPr>
            <w:r w:rsidRPr="008B13A5">
              <w:rPr>
                <w:noProof/>
                <w:sz w:val="20"/>
              </w:rPr>
              <w:t>Partial outsourcing of market-intelligence activities</w:t>
            </w:r>
          </w:p>
          <w:p w14:paraId="70C48611" w14:textId="77777777" w:rsidR="00BA5F12" w:rsidRPr="008B13A5" w:rsidRDefault="00BA5F12">
            <w:pPr>
              <w:pStyle w:val="ListParagraph"/>
              <w:jc w:val="left"/>
              <w:rPr>
                <w:noProof/>
                <w:sz w:val="20"/>
                <w:szCs w:val="20"/>
              </w:rPr>
            </w:pPr>
          </w:p>
        </w:tc>
        <w:tc>
          <w:tcPr>
            <w:tcW w:w="1029" w:type="pct"/>
            <w:tcBorders>
              <w:top w:val="nil"/>
              <w:left w:val="nil"/>
              <w:bottom w:val="single" w:sz="8" w:space="0" w:color="auto"/>
              <w:right w:val="double" w:sz="4" w:space="0" w:color="auto"/>
            </w:tcBorders>
          </w:tcPr>
          <w:p w14:paraId="3E5823C0" w14:textId="77777777" w:rsidR="00BA5F12" w:rsidRPr="008B13A5" w:rsidRDefault="00BA5F12">
            <w:pPr>
              <w:jc w:val="left"/>
              <w:rPr>
                <w:noProof/>
                <w:sz w:val="20"/>
              </w:rPr>
            </w:pPr>
            <w:r w:rsidRPr="008B13A5">
              <w:rPr>
                <w:noProof/>
                <w:sz w:val="20"/>
              </w:rPr>
              <w:t>.</w:t>
            </w:r>
          </w:p>
        </w:tc>
      </w:tr>
      <w:tr w:rsidR="00BA5F12" w:rsidRPr="008B13A5" w14:paraId="28301FFB" w14:textId="77777777">
        <w:tc>
          <w:tcPr>
            <w:tcW w:w="1227"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tcPr>
          <w:p w14:paraId="4884F4ED" w14:textId="7EB8EB99" w:rsidR="00BA5F12" w:rsidRPr="008B13A5" w:rsidRDefault="00BA5F12">
            <w:pPr>
              <w:spacing w:before="60"/>
              <w:ind w:left="284"/>
              <w:jc w:val="left"/>
              <w:rPr>
                <w:b/>
                <w:bCs/>
                <w:i/>
                <w:iCs/>
                <w:noProof/>
                <w:sz w:val="20"/>
              </w:rPr>
            </w:pPr>
            <w:r w:rsidRPr="008B13A5">
              <w:rPr>
                <w:b/>
                <w:bCs/>
                <w:i/>
                <w:iCs/>
                <w:noProof/>
                <w:sz w:val="20"/>
              </w:rPr>
              <w:t>Net administrative burdens*</w:t>
            </w:r>
          </w:p>
        </w:tc>
        <w:tc>
          <w:tcPr>
            <w:tcW w:w="1306" w:type="pct"/>
            <w:tcBorders>
              <w:top w:val="nil"/>
              <w:left w:val="nil"/>
              <w:bottom w:val="single" w:sz="8" w:space="0" w:color="auto"/>
              <w:right w:val="single" w:sz="8" w:space="0" w:color="auto"/>
            </w:tcBorders>
            <w:tcMar>
              <w:top w:w="0" w:type="dxa"/>
              <w:left w:w="108" w:type="dxa"/>
              <w:bottom w:w="0" w:type="dxa"/>
              <w:right w:w="108" w:type="dxa"/>
            </w:tcMar>
          </w:tcPr>
          <w:p w14:paraId="2FB4F427" w14:textId="3103E62E" w:rsidR="00BA5F12" w:rsidRPr="008B13A5" w:rsidRDefault="00BA5F12">
            <w:pPr>
              <w:jc w:val="left"/>
              <w:rPr>
                <w:noProof/>
                <w:sz w:val="20"/>
              </w:rPr>
            </w:pPr>
            <w:r w:rsidRPr="008B13A5">
              <w:rPr>
                <w:noProof/>
                <w:sz w:val="20"/>
              </w:rPr>
              <w:t xml:space="preserve">One-off cost for </w:t>
            </w:r>
            <w:r w:rsidR="0014511A" w:rsidRPr="008B13A5">
              <w:rPr>
                <w:noProof/>
                <w:sz w:val="20"/>
              </w:rPr>
              <w:t xml:space="preserve">onboarding </w:t>
            </w:r>
            <w:r w:rsidRPr="008B13A5">
              <w:rPr>
                <w:noProof/>
                <w:sz w:val="20"/>
              </w:rPr>
              <w:t xml:space="preserve">and integration with the </w:t>
            </w:r>
            <w:r w:rsidR="0014511A" w:rsidRPr="008B13A5">
              <w:rPr>
                <w:noProof/>
                <w:sz w:val="20"/>
              </w:rPr>
              <w:t>Business-to-Business Supply Chain Platform</w:t>
            </w:r>
            <w:r w:rsidRPr="008B13A5">
              <w:rPr>
                <w:noProof/>
                <w:sz w:val="20"/>
              </w:rPr>
              <w:t xml:space="preserve"> is not offset by any one-off benefits. </w:t>
            </w:r>
          </w:p>
        </w:tc>
        <w:tc>
          <w:tcPr>
            <w:tcW w:w="1438" w:type="pct"/>
            <w:tcBorders>
              <w:top w:val="nil"/>
              <w:left w:val="nil"/>
              <w:bottom w:val="single" w:sz="8" w:space="0" w:color="auto"/>
              <w:right w:val="double" w:sz="4" w:space="0" w:color="auto"/>
            </w:tcBorders>
            <w:tcMar>
              <w:top w:w="0" w:type="dxa"/>
              <w:left w:w="108" w:type="dxa"/>
              <w:bottom w:w="0" w:type="dxa"/>
              <w:right w:w="108" w:type="dxa"/>
            </w:tcMar>
          </w:tcPr>
          <w:p w14:paraId="4C073DA8" w14:textId="1F15108A" w:rsidR="00BA5F12" w:rsidRPr="008B13A5" w:rsidRDefault="00BA5F12">
            <w:pPr>
              <w:jc w:val="left"/>
              <w:rPr>
                <w:noProof/>
                <w:sz w:val="20"/>
              </w:rPr>
            </w:pPr>
            <w:r w:rsidRPr="008B13A5">
              <w:rPr>
                <w:noProof/>
                <w:sz w:val="20"/>
              </w:rPr>
              <w:t>Small net administrative burden, as mandatory disclosures are largely offset by simplification gains (permitting, crisis data calls, reduced monitoring needs).</w:t>
            </w:r>
          </w:p>
        </w:tc>
        <w:tc>
          <w:tcPr>
            <w:tcW w:w="1029" w:type="pct"/>
            <w:tcBorders>
              <w:top w:val="nil"/>
              <w:left w:val="nil"/>
              <w:bottom w:val="single" w:sz="8" w:space="0" w:color="auto"/>
              <w:right w:val="double" w:sz="4" w:space="0" w:color="auto"/>
            </w:tcBorders>
          </w:tcPr>
          <w:p w14:paraId="4CD5266E" w14:textId="77777777" w:rsidR="00BA5F12" w:rsidRPr="008B13A5" w:rsidRDefault="00BA5F12">
            <w:pPr>
              <w:jc w:val="left"/>
              <w:rPr>
                <w:noProof/>
                <w:sz w:val="20"/>
              </w:rPr>
            </w:pPr>
          </w:p>
        </w:tc>
      </w:tr>
      <w:tr w:rsidR="00BA5F12" w:rsidRPr="008B13A5" w14:paraId="25FBCF64" w14:textId="77777777">
        <w:trPr>
          <w:trHeight w:val="549"/>
        </w:trPr>
        <w:tc>
          <w:tcPr>
            <w:tcW w:w="1227" w:type="pct"/>
            <w:tcBorders>
              <w:top w:val="nil"/>
              <w:left w:val="double" w:sz="4" w:space="0" w:color="auto"/>
              <w:bottom w:val="double" w:sz="4" w:space="0" w:color="auto"/>
              <w:right w:val="single" w:sz="8" w:space="0" w:color="auto"/>
            </w:tcBorders>
            <w:tcMar>
              <w:top w:w="0" w:type="dxa"/>
              <w:left w:w="108" w:type="dxa"/>
              <w:bottom w:w="0" w:type="dxa"/>
              <w:right w:w="108" w:type="dxa"/>
            </w:tcMar>
            <w:vAlign w:val="center"/>
          </w:tcPr>
          <w:p w14:paraId="5947A7BD" w14:textId="538D4B18" w:rsidR="00BA5F12" w:rsidRPr="008B13A5" w:rsidRDefault="00BA5F12">
            <w:pPr>
              <w:spacing w:before="60"/>
              <w:ind w:left="284"/>
              <w:jc w:val="left"/>
              <w:rPr>
                <w:i/>
                <w:iCs/>
                <w:noProof/>
                <w:sz w:val="20"/>
              </w:rPr>
            </w:pPr>
            <w:r w:rsidRPr="008B13A5">
              <w:rPr>
                <w:noProof/>
                <w:sz w:val="20"/>
              </w:rPr>
              <w:t>Adjustment costs**</w:t>
            </w:r>
          </w:p>
        </w:tc>
        <w:tc>
          <w:tcPr>
            <w:tcW w:w="1306" w:type="pct"/>
            <w:tcBorders>
              <w:top w:val="single" w:sz="8" w:space="0" w:color="auto"/>
              <w:left w:val="nil"/>
              <w:bottom w:val="double" w:sz="4" w:space="0" w:color="auto"/>
              <w:right w:val="single" w:sz="8" w:space="0" w:color="auto"/>
            </w:tcBorders>
            <w:tcMar>
              <w:top w:w="0" w:type="dxa"/>
              <w:left w:w="108" w:type="dxa"/>
              <w:bottom w:w="0" w:type="dxa"/>
              <w:right w:w="108" w:type="dxa"/>
            </w:tcMar>
            <w:vAlign w:val="center"/>
          </w:tcPr>
          <w:p w14:paraId="2CFAE969" w14:textId="77777777" w:rsidR="00BA5F12" w:rsidRPr="008B13A5" w:rsidRDefault="00BA5F12">
            <w:pPr>
              <w:spacing w:before="60"/>
              <w:jc w:val="center"/>
              <w:rPr>
                <w:noProof/>
                <w:sz w:val="20"/>
              </w:rPr>
            </w:pPr>
          </w:p>
        </w:tc>
        <w:tc>
          <w:tcPr>
            <w:tcW w:w="1438" w:type="pct"/>
            <w:tcBorders>
              <w:top w:val="nil"/>
              <w:left w:val="single" w:sz="8" w:space="0" w:color="auto"/>
              <w:bottom w:val="double" w:sz="4" w:space="0" w:color="auto"/>
              <w:right w:val="double" w:sz="4" w:space="0" w:color="auto"/>
            </w:tcBorders>
            <w:vAlign w:val="center"/>
          </w:tcPr>
          <w:p w14:paraId="30D91C44" w14:textId="14812BDB" w:rsidR="00BA5F12" w:rsidRPr="008B13A5" w:rsidRDefault="00BA5F12" w:rsidP="00F47256">
            <w:pPr>
              <w:pStyle w:val="NormalWeb"/>
              <w:numPr>
                <w:ilvl w:val="0"/>
                <w:numId w:val="13"/>
              </w:numPr>
              <w:spacing w:after="120" w:afterAutospacing="0"/>
              <w:rPr>
                <w:noProof/>
                <w:sz w:val="20"/>
                <w:szCs w:val="20"/>
              </w:rPr>
            </w:pPr>
            <w:r w:rsidRPr="008B13A5">
              <w:rPr>
                <w:noProof/>
                <w:sz w:val="20"/>
                <w:szCs w:val="20"/>
              </w:rPr>
              <w:t>Companies no longer need to respond to urgent, unstructured, duplicative requests from multiple authorities during disruptions.</w:t>
            </w:r>
          </w:p>
          <w:p w14:paraId="141E1C3F" w14:textId="28EA3338" w:rsidR="00BA5F12" w:rsidRPr="008B13A5" w:rsidRDefault="00BA5F12" w:rsidP="00F47256">
            <w:pPr>
              <w:pStyle w:val="NormalWeb"/>
              <w:numPr>
                <w:ilvl w:val="0"/>
                <w:numId w:val="13"/>
              </w:numPr>
              <w:spacing w:after="120" w:afterAutospacing="0"/>
              <w:rPr>
                <w:noProof/>
                <w:sz w:val="20"/>
                <w:szCs w:val="20"/>
              </w:rPr>
            </w:pPr>
            <w:r w:rsidRPr="008B13A5">
              <w:rPr>
                <w:noProof/>
                <w:sz w:val="20"/>
                <w:szCs w:val="20"/>
              </w:rPr>
              <w:t xml:space="preserve">Firms (especially SMEs) rely on aggregated insights from the </w:t>
            </w:r>
            <w:r w:rsidRPr="008B13A5">
              <w:rPr>
                <w:noProof/>
                <w:sz w:val="20"/>
              </w:rPr>
              <w:t xml:space="preserve">Business-to-Business </w:t>
            </w:r>
            <w:r w:rsidRPr="008B13A5">
              <w:rPr>
                <w:noProof/>
                <w:sz w:val="20"/>
                <w:szCs w:val="20"/>
              </w:rPr>
              <w:t>Platform, reducing time spent on internal analysis and monitoring tasks.</w:t>
            </w:r>
          </w:p>
        </w:tc>
        <w:tc>
          <w:tcPr>
            <w:tcW w:w="1029" w:type="pct"/>
            <w:tcBorders>
              <w:top w:val="single" w:sz="8" w:space="0" w:color="auto"/>
              <w:left w:val="single" w:sz="4" w:space="0" w:color="auto"/>
              <w:bottom w:val="double" w:sz="4" w:space="0" w:color="auto"/>
              <w:right w:val="double" w:sz="4" w:space="0" w:color="auto"/>
              <w:tl2br w:val="double" w:sz="4" w:space="0" w:color="auto"/>
            </w:tcBorders>
            <w:vAlign w:val="center"/>
          </w:tcPr>
          <w:p w14:paraId="622E518F" w14:textId="77777777" w:rsidR="00BA5F12" w:rsidRPr="008B13A5" w:rsidRDefault="00BA5F12">
            <w:pPr>
              <w:spacing w:before="60"/>
              <w:jc w:val="center"/>
              <w:rPr>
                <w:noProof/>
                <w:sz w:val="20"/>
              </w:rPr>
            </w:pPr>
          </w:p>
        </w:tc>
      </w:tr>
      <w:tr w:rsidR="00BA5F12" w:rsidRPr="008B13A5" w14:paraId="3D4978A9" w14:textId="77777777">
        <w:tc>
          <w:tcPr>
            <w:tcW w:w="5000" w:type="pct"/>
            <w:gridSpan w:val="4"/>
            <w:tcBorders>
              <w:top w:val="nil"/>
              <w:left w:val="double" w:sz="4" w:space="0" w:color="auto"/>
              <w:bottom w:val="single" w:sz="8" w:space="0" w:color="auto"/>
              <w:right w:val="double" w:sz="4" w:space="0" w:color="auto"/>
            </w:tcBorders>
            <w:tcMar>
              <w:top w:w="0" w:type="dxa"/>
              <w:left w:w="108" w:type="dxa"/>
              <w:bottom w:w="0" w:type="dxa"/>
              <w:right w:w="108" w:type="dxa"/>
            </w:tcMar>
            <w:vAlign w:val="center"/>
          </w:tcPr>
          <w:p w14:paraId="484FED25" w14:textId="52A539D4" w:rsidR="00BA5F12" w:rsidRPr="008B13A5" w:rsidRDefault="00E033ED">
            <w:pPr>
              <w:spacing w:before="120"/>
              <w:jc w:val="left"/>
              <w:rPr>
                <w:b/>
                <w:bCs/>
                <w:noProof/>
                <w:sz w:val="20"/>
              </w:rPr>
            </w:pPr>
            <w:r w:rsidRPr="008B13A5">
              <w:rPr>
                <w:b/>
                <w:bCs/>
                <w:noProof/>
                <w:sz w:val="20"/>
              </w:rPr>
              <w:t>Public a</w:t>
            </w:r>
            <w:r w:rsidR="00BA5F12" w:rsidRPr="008B13A5">
              <w:rPr>
                <w:b/>
                <w:bCs/>
                <w:noProof/>
                <w:sz w:val="20"/>
              </w:rPr>
              <w:t>dministrations (</w:t>
            </w:r>
            <w:r w:rsidRPr="008B13A5">
              <w:rPr>
                <w:b/>
                <w:bCs/>
                <w:noProof/>
                <w:sz w:val="20"/>
              </w:rPr>
              <w:t>European Commission and Member States</w:t>
            </w:r>
            <w:r w:rsidR="00BA5F12" w:rsidRPr="008B13A5">
              <w:rPr>
                <w:b/>
                <w:bCs/>
                <w:noProof/>
                <w:sz w:val="20"/>
              </w:rPr>
              <w:t>)</w:t>
            </w:r>
          </w:p>
        </w:tc>
      </w:tr>
      <w:tr w:rsidR="00BA5F12" w:rsidRPr="008B13A5" w14:paraId="5C3C08B1" w14:textId="77777777">
        <w:tc>
          <w:tcPr>
            <w:tcW w:w="1227"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tcPr>
          <w:p w14:paraId="46A6CB87" w14:textId="7C465AEC" w:rsidR="00BA5F12" w:rsidRPr="008B13A5" w:rsidRDefault="00BA5F12">
            <w:pPr>
              <w:spacing w:before="60"/>
              <w:ind w:left="284"/>
              <w:jc w:val="left"/>
              <w:rPr>
                <w:noProof/>
                <w:sz w:val="20"/>
              </w:rPr>
            </w:pPr>
            <w:r w:rsidRPr="008B13A5">
              <w:rPr>
                <w:noProof/>
                <w:sz w:val="20"/>
              </w:rPr>
              <w:t>New administrative burdens (INs)</w:t>
            </w:r>
          </w:p>
        </w:tc>
        <w:tc>
          <w:tcPr>
            <w:tcW w:w="1306" w:type="pct"/>
            <w:tcBorders>
              <w:top w:val="nil"/>
              <w:left w:val="nil"/>
              <w:bottom w:val="single" w:sz="8" w:space="0" w:color="auto"/>
              <w:right w:val="single" w:sz="8" w:space="0" w:color="auto"/>
            </w:tcBorders>
            <w:tcMar>
              <w:top w:w="0" w:type="dxa"/>
              <w:left w:w="108" w:type="dxa"/>
              <w:bottom w:w="0" w:type="dxa"/>
              <w:right w:w="108" w:type="dxa"/>
            </w:tcMar>
            <w:vAlign w:val="center"/>
          </w:tcPr>
          <w:p w14:paraId="07DAD59C" w14:textId="77777777" w:rsidR="00BA5F12" w:rsidRPr="008B13A5" w:rsidRDefault="00BA5F12">
            <w:pPr>
              <w:rPr>
                <w:noProof/>
                <w:sz w:val="20"/>
              </w:rPr>
            </w:pPr>
            <w:r w:rsidRPr="008B13A5">
              <w:rPr>
                <w:noProof/>
                <w:sz w:val="20"/>
              </w:rPr>
              <w:t>None</w:t>
            </w:r>
          </w:p>
        </w:tc>
        <w:tc>
          <w:tcPr>
            <w:tcW w:w="1438" w:type="pct"/>
            <w:tcBorders>
              <w:top w:val="nil"/>
              <w:left w:val="nil"/>
              <w:bottom w:val="single" w:sz="8" w:space="0" w:color="auto"/>
              <w:right w:val="double" w:sz="4" w:space="0" w:color="auto"/>
            </w:tcBorders>
            <w:tcMar>
              <w:top w:w="0" w:type="dxa"/>
              <w:left w:w="108" w:type="dxa"/>
              <w:bottom w:w="0" w:type="dxa"/>
              <w:right w:w="108" w:type="dxa"/>
            </w:tcMar>
          </w:tcPr>
          <w:p w14:paraId="714173CC" w14:textId="036B9EC8" w:rsidR="00BA5F12" w:rsidRPr="008B13A5" w:rsidRDefault="00BA5F12">
            <w:pPr>
              <w:jc w:val="left"/>
              <w:rPr>
                <w:noProof/>
                <w:sz w:val="20"/>
              </w:rPr>
            </w:pPr>
            <w:r w:rsidRPr="008B13A5">
              <w:rPr>
                <w:noProof/>
                <w:sz w:val="20"/>
              </w:rPr>
              <w:t xml:space="preserve">Processing and validating mandatory information submissions. </w:t>
            </w:r>
          </w:p>
          <w:p w14:paraId="770446CD" w14:textId="52B70E16" w:rsidR="00BA5F12" w:rsidRPr="008B13A5" w:rsidRDefault="00D964AC" w:rsidP="00F47256">
            <w:pPr>
              <w:pStyle w:val="ListParagraph"/>
              <w:numPr>
                <w:ilvl w:val="0"/>
                <w:numId w:val="11"/>
              </w:numPr>
              <w:spacing w:after="120"/>
              <w:ind w:left="438"/>
              <w:jc w:val="left"/>
              <w:rPr>
                <w:noProof/>
                <w:sz w:val="20"/>
                <w:szCs w:val="20"/>
              </w:rPr>
            </w:pPr>
            <w:r w:rsidRPr="008B13A5">
              <w:rPr>
                <w:noProof/>
                <w:sz w:val="20"/>
                <w:szCs w:val="20"/>
              </w:rPr>
              <w:t>Moderate cost for n</w:t>
            </w:r>
            <w:r w:rsidR="00BA5F12" w:rsidRPr="008B13A5">
              <w:rPr>
                <w:noProof/>
                <w:sz w:val="20"/>
                <w:szCs w:val="20"/>
              </w:rPr>
              <w:t>ational competent authorities</w:t>
            </w:r>
            <w:r w:rsidR="00AF7291" w:rsidRPr="008B13A5">
              <w:rPr>
                <w:noProof/>
                <w:sz w:val="20"/>
                <w:szCs w:val="20"/>
              </w:rPr>
              <w:t xml:space="preserve"> who</w:t>
            </w:r>
            <w:r w:rsidR="00BA5F12" w:rsidRPr="008B13A5">
              <w:rPr>
                <w:noProof/>
                <w:sz w:val="20"/>
                <w:szCs w:val="20"/>
              </w:rPr>
              <w:t xml:space="preserve"> must review, classify, and validate firm-level vulnerability data on a continuous basis.</w:t>
            </w:r>
          </w:p>
          <w:p w14:paraId="7A1D23AD" w14:textId="77777777" w:rsidR="00BA5F12" w:rsidRPr="008B13A5" w:rsidRDefault="00BA5F12">
            <w:pPr>
              <w:jc w:val="left"/>
              <w:rPr>
                <w:noProof/>
                <w:sz w:val="20"/>
              </w:rPr>
            </w:pPr>
          </w:p>
          <w:p w14:paraId="4AEE91C4" w14:textId="53A43B02" w:rsidR="00BA5F12" w:rsidRPr="008B13A5" w:rsidRDefault="00BA5F12">
            <w:pPr>
              <w:jc w:val="left"/>
              <w:rPr>
                <w:noProof/>
                <w:sz w:val="20"/>
              </w:rPr>
            </w:pPr>
            <w:r w:rsidRPr="008B13A5">
              <w:rPr>
                <w:noProof/>
                <w:sz w:val="20"/>
              </w:rPr>
              <w:t xml:space="preserve">Recurrent administrative coordination under the Platform.. </w:t>
            </w:r>
          </w:p>
          <w:p w14:paraId="3D5AF807" w14:textId="5E788D79" w:rsidR="00BA5F12" w:rsidRPr="008B13A5" w:rsidRDefault="00AF7291" w:rsidP="00F47256">
            <w:pPr>
              <w:pStyle w:val="ListParagraph"/>
              <w:numPr>
                <w:ilvl w:val="0"/>
                <w:numId w:val="11"/>
              </w:numPr>
              <w:spacing w:after="120"/>
              <w:ind w:left="438"/>
              <w:jc w:val="left"/>
              <w:rPr>
                <w:noProof/>
                <w:sz w:val="20"/>
                <w:szCs w:val="20"/>
              </w:rPr>
            </w:pPr>
            <w:r w:rsidRPr="008B13A5">
              <w:rPr>
                <w:noProof/>
                <w:sz w:val="20"/>
              </w:rPr>
              <w:t xml:space="preserve">Low to moderate costs </w:t>
            </w:r>
            <w:r w:rsidR="00EC4086" w:rsidRPr="008B13A5">
              <w:rPr>
                <w:noProof/>
                <w:sz w:val="20"/>
              </w:rPr>
              <w:t xml:space="preserve">for public authorities </w:t>
            </w:r>
            <w:r w:rsidRPr="008B13A5">
              <w:rPr>
                <w:noProof/>
                <w:sz w:val="20"/>
              </w:rPr>
              <w:t>due to</w:t>
            </w:r>
            <w:r w:rsidRPr="008B13A5">
              <w:rPr>
                <w:noProof/>
                <w:sz w:val="20"/>
                <w:szCs w:val="20"/>
              </w:rPr>
              <w:t xml:space="preserve"> r</w:t>
            </w:r>
            <w:r w:rsidR="00BA5F12" w:rsidRPr="008B13A5">
              <w:rPr>
                <w:noProof/>
                <w:sz w:val="20"/>
                <w:szCs w:val="20"/>
              </w:rPr>
              <w:t>egular coordination between Member States and the Commission to manage queries, update procedures, and issue formal information requests.</w:t>
            </w:r>
          </w:p>
          <w:p w14:paraId="65E9E6A1" w14:textId="77777777" w:rsidR="00BA5F12" w:rsidRPr="008B13A5" w:rsidRDefault="00BA5F12">
            <w:pPr>
              <w:jc w:val="left"/>
              <w:rPr>
                <w:noProof/>
                <w:sz w:val="20"/>
              </w:rPr>
            </w:pPr>
          </w:p>
          <w:p w14:paraId="59419045" w14:textId="027D39CB" w:rsidR="00BA5F12" w:rsidRPr="008B13A5" w:rsidRDefault="00BA5F12">
            <w:pPr>
              <w:jc w:val="left"/>
              <w:rPr>
                <w:noProof/>
                <w:sz w:val="20"/>
              </w:rPr>
            </w:pPr>
            <w:r w:rsidRPr="008B13A5">
              <w:rPr>
                <w:noProof/>
                <w:sz w:val="20"/>
              </w:rPr>
              <w:t>Administrative reporting and coordination for Strategic Projects</w:t>
            </w:r>
          </w:p>
          <w:p w14:paraId="4348827B" w14:textId="51D83B50" w:rsidR="00BA5F12" w:rsidRPr="008B13A5" w:rsidRDefault="007C54D3" w:rsidP="00F47256">
            <w:pPr>
              <w:pStyle w:val="ListParagraph"/>
              <w:numPr>
                <w:ilvl w:val="0"/>
                <w:numId w:val="11"/>
              </w:numPr>
              <w:spacing w:after="120"/>
              <w:ind w:left="472"/>
              <w:jc w:val="left"/>
              <w:rPr>
                <w:noProof/>
                <w:sz w:val="20"/>
                <w:szCs w:val="20"/>
              </w:rPr>
            </w:pPr>
            <w:r w:rsidRPr="008B13A5">
              <w:rPr>
                <w:noProof/>
                <w:sz w:val="20"/>
                <w:szCs w:val="20"/>
              </w:rPr>
              <w:t xml:space="preserve">Moderate costs covering </w:t>
            </w:r>
            <w:r w:rsidR="00BA5F12" w:rsidRPr="008B13A5">
              <w:rPr>
                <w:noProof/>
                <w:sz w:val="20"/>
                <w:szCs w:val="20"/>
              </w:rPr>
              <w:t>administrative (non-fiscal) tasks such as monitoring, reporting, compliance checks, and cross-border coordination linked to Strategic Projects.</w:t>
            </w:r>
          </w:p>
          <w:p w14:paraId="4FC2733D" w14:textId="77777777" w:rsidR="00BA5F12" w:rsidRPr="008B13A5" w:rsidRDefault="00BA5F12">
            <w:pPr>
              <w:jc w:val="left"/>
              <w:rPr>
                <w:noProof/>
                <w:sz w:val="20"/>
              </w:rPr>
            </w:pPr>
          </w:p>
          <w:p w14:paraId="71CBBABB" w14:textId="6F685C87" w:rsidR="00BA5F12" w:rsidRPr="008B13A5" w:rsidRDefault="00BA5F12">
            <w:pPr>
              <w:jc w:val="left"/>
              <w:rPr>
                <w:b/>
                <w:bCs/>
                <w:noProof/>
                <w:sz w:val="20"/>
              </w:rPr>
            </w:pPr>
            <w:r w:rsidRPr="008B13A5">
              <w:rPr>
                <w:noProof/>
                <w:sz w:val="20"/>
              </w:rPr>
              <w:t xml:space="preserve">Increased administrative burden from demand-side instruments. </w:t>
            </w:r>
          </w:p>
          <w:p w14:paraId="2FC79464" w14:textId="11B29989" w:rsidR="00BA5F12" w:rsidRPr="008B13A5" w:rsidRDefault="000F4178" w:rsidP="00F47256">
            <w:pPr>
              <w:pStyle w:val="ListParagraph"/>
              <w:numPr>
                <w:ilvl w:val="0"/>
                <w:numId w:val="11"/>
              </w:numPr>
              <w:spacing w:after="120"/>
              <w:ind w:left="472"/>
              <w:rPr>
                <w:noProof/>
                <w:sz w:val="20"/>
                <w:szCs w:val="20"/>
              </w:rPr>
            </w:pPr>
            <w:r w:rsidRPr="008B13A5">
              <w:rPr>
                <w:b/>
                <w:bCs/>
                <w:noProof/>
                <w:sz w:val="20"/>
              </w:rPr>
              <w:t>Moderate cost for the Commission in the</w:t>
            </w:r>
            <w:r w:rsidRPr="008B13A5">
              <w:rPr>
                <w:noProof/>
                <w:sz w:val="20"/>
                <w:szCs w:val="20"/>
              </w:rPr>
              <w:t xml:space="preserve"> a</w:t>
            </w:r>
            <w:r w:rsidR="00BA5F12" w:rsidRPr="008B13A5">
              <w:rPr>
                <w:noProof/>
                <w:sz w:val="20"/>
                <w:szCs w:val="20"/>
              </w:rPr>
              <w:t>dministration of innovation procurement, early-stage offtake programmes requires additional staffing and contracting capacity.</w:t>
            </w:r>
          </w:p>
        </w:tc>
        <w:tc>
          <w:tcPr>
            <w:tcW w:w="1029" w:type="pct"/>
            <w:tcBorders>
              <w:top w:val="nil"/>
              <w:left w:val="nil"/>
              <w:bottom w:val="single" w:sz="8" w:space="0" w:color="auto"/>
              <w:right w:val="double" w:sz="4" w:space="0" w:color="auto"/>
            </w:tcBorders>
            <w:vAlign w:val="center"/>
          </w:tcPr>
          <w:p w14:paraId="16948EEE" w14:textId="77777777" w:rsidR="00BA5F12" w:rsidRPr="008B13A5" w:rsidRDefault="00BA5F12">
            <w:pPr>
              <w:jc w:val="center"/>
              <w:rPr>
                <w:noProof/>
                <w:sz w:val="20"/>
              </w:rPr>
            </w:pPr>
          </w:p>
        </w:tc>
      </w:tr>
      <w:tr w:rsidR="00BA5F12" w:rsidRPr="008B13A5" w14:paraId="572756CE" w14:textId="77777777">
        <w:tc>
          <w:tcPr>
            <w:tcW w:w="1227"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tcPr>
          <w:p w14:paraId="06264C0A" w14:textId="4F388E48" w:rsidR="00BA5F12" w:rsidRPr="008B13A5" w:rsidRDefault="00BA5F12">
            <w:pPr>
              <w:spacing w:before="60"/>
              <w:ind w:left="284"/>
              <w:jc w:val="left"/>
              <w:rPr>
                <w:noProof/>
                <w:sz w:val="20"/>
              </w:rPr>
            </w:pPr>
            <w:r w:rsidRPr="008B13A5">
              <w:rPr>
                <w:noProof/>
                <w:sz w:val="20"/>
              </w:rPr>
              <w:t>Removed administrative burdens (OUTs)</w:t>
            </w:r>
          </w:p>
        </w:tc>
        <w:tc>
          <w:tcPr>
            <w:tcW w:w="1306" w:type="pct"/>
            <w:tcBorders>
              <w:top w:val="nil"/>
              <w:left w:val="nil"/>
              <w:bottom w:val="single" w:sz="8" w:space="0" w:color="auto"/>
              <w:right w:val="single" w:sz="8" w:space="0" w:color="auto"/>
            </w:tcBorders>
            <w:tcMar>
              <w:top w:w="0" w:type="dxa"/>
              <w:left w:w="108" w:type="dxa"/>
              <w:bottom w:w="0" w:type="dxa"/>
              <w:right w:w="108" w:type="dxa"/>
            </w:tcMar>
            <w:vAlign w:val="center"/>
          </w:tcPr>
          <w:p w14:paraId="063FD807" w14:textId="77777777" w:rsidR="00BA5F12" w:rsidRPr="008B13A5" w:rsidRDefault="00BA5F12">
            <w:pPr>
              <w:rPr>
                <w:noProof/>
                <w:sz w:val="20"/>
              </w:rPr>
            </w:pPr>
            <w:r w:rsidRPr="008B13A5">
              <w:rPr>
                <w:noProof/>
                <w:sz w:val="20"/>
              </w:rPr>
              <w:t>None</w:t>
            </w:r>
          </w:p>
        </w:tc>
        <w:tc>
          <w:tcPr>
            <w:tcW w:w="1438" w:type="pct"/>
            <w:tcBorders>
              <w:top w:val="nil"/>
              <w:left w:val="nil"/>
              <w:bottom w:val="single" w:sz="8" w:space="0" w:color="auto"/>
              <w:right w:val="double" w:sz="4" w:space="0" w:color="auto"/>
            </w:tcBorders>
            <w:tcMar>
              <w:top w:w="0" w:type="dxa"/>
              <w:left w:w="108" w:type="dxa"/>
              <w:bottom w:w="0" w:type="dxa"/>
              <w:right w:w="108" w:type="dxa"/>
            </w:tcMar>
            <w:vAlign w:val="center"/>
          </w:tcPr>
          <w:p w14:paraId="5A4F4774" w14:textId="17B1C991" w:rsidR="00BA5F12" w:rsidRPr="008B13A5" w:rsidRDefault="00BA5F12">
            <w:pPr>
              <w:rPr>
                <w:noProof/>
                <w:sz w:val="20"/>
              </w:rPr>
            </w:pPr>
            <w:r w:rsidRPr="008B13A5">
              <w:rPr>
                <w:noProof/>
                <w:sz w:val="20"/>
              </w:rPr>
              <w:t>Simplification due to Strategic Projects</w:t>
            </w:r>
          </w:p>
          <w:p w14:paraId="2E750ED9" w14:textId="2E83A457" w:rsidR="00BA5F12" w:rsidRPr="008B13A5" w:rsidRDefault="00BA5F12" w:rsidP="00F47256">
            <w:pPr>
              <w:pStyle w:val="ListParagraph"/>
              <w:numPr>
                <w:ilvl w:val="0"/>
                <w:numId w:val="11"/>
              </w:numPr>
              <w:spacing w:after="120"/>
              <w:rPr>
                <w:noProof/>
                <w:sz w:val="20"/>
                <w:szCs w:val="20"/>
              </w:rPr>
            </w:pPr>
            <w:r w:rsidRPr="008B13A5">
              <w:rPr>
                <w:noProof/>
                <w:sz w:val="20"/>
                <w:szCs w:val="20"/>
              </w:rPr>
              <w:t>Reduced duplication of administrative steps during initial project preparation</w:t>
            </w:r>
          </w:p>
          <w:p w14:paraId="5BC76F46" w14:textId="47D445D5" w:rsidR="00BA5F12" w:rsidRPr="008B13A5" w:rsidRDefault="00BA5F12">
            <w:pPr>
              <w:rPr>
                <w:noProof/>
                <w:sz w:val="20"/>
              </w:rPr>
            </w:pPr>
            <w:r w:rsidRPr="008B13A5">
              <w:rPr>
                <w:noProof/>
                <w:sz w:val="20"/>
              </w:rPr>
              <w:t>Reduced ad hoc crisis information requests</w:t>
            </w:r>
          </w:p>
          <w:p w14:paraId="0D04C579" w14:textId="0BB8E53B" w:rsidR="00BA5F12" w:rsidRPr="008B13A5" w:rsidRDefault="00BA5F12" w:rsidP="00F47256">
            <w:pPr>
              <w:pStyle w:val="ListParagraph"/>
              <w:numPr>
                <w:ilvl w:val="0"/>
                <w:numId w:val="11"/>
              </w:numPr>
              <w:spacing w:after="120"/>
              <w:rPr>
                <w:noProof/>
                <w:sz w:val="20"/>
                <w:szCs w:val="20"/>
              </w:rPr>
            </w:pPr>
            <w:r w:rsidRPr="008B13A5">
              <w:rPr>
                <w:noProof/>
                <w:sz w:val="20"/>
                <w:szCs w:val="20"/>
              </w:rPr>
              <w:t>Member States receive a steady stream of structured, standardised data</w:t>
            </w:r>
            <w:r w:rsidR="008203FD" w:rsidRPr="008B13A5">
              <w:rPr>
                <w:noProof/>
                <w:sz w:val="20"/>
                <w:szCs w:val="20"/>
              </w:rPr>
              <w:t xml:space="preserve"> and </w:t>
            </w:r>
            <w:r w:rsidRPr="008B13A5">
              <w:rPr>
                <w:noProof/>
                <w:sz w:val="20"/>
                <w:szCs w:val="20"/>
              </w:rPr>
              <w:t>fewer emergency data calls need to be issued to industry.</w:t>
            </w:r>
            <w:r w:rsidRPr="008B13A5">
              <w:rPr>
                <w:noProof/>
                <w:sz w:val="20"/>
              </w:rPr>
              <w:t xml:space="preserve"> National competent authorities benefit from centralised information flows, reducing the need to run parallel national reporting channels. The shared EU governance framework lowers duplication across Member States, especially for cross-border projects.</w:t>
            </w:r>
          </w:p>
          <w:p w14:paraId="0B185BCC" w14:textId="3E2840F4" w:rsidR="00BA5F12" w:rsidRPr="008B13A5" w:rsidRDefault="00BA5F12">
            <w:pPr>
              <w:rPr>
                <w:noProof/>
                <w:sz w:val="20"/>
              </w:rPr>
            </w:pPr>
            <w:r w:rsidRPr="008B13A5">
              <w:rPr>
                <w:noProof/>
                <w:sz w:val="20"/>
              </w:rPr>
              <w:t>Streamlined information exchange among Member States</w:t>
            </w:r>
          </w:p>
          <w:p w14:paraId="4086545C" w14:textId="4F3EAE59" w:rsidR="00BA5F12" w:rsidRPr="008B13A5" w:rsidRDefault="00BA5F12" w:rsidP="00F47256">
            <w:pPr>
              <w:pStyle w:val="NormalWeb"/>
              <w:numPr>
                <w:ilvl w:val="0"/>
                <w:numId w:val="11"/>
              </w:numPr>
              <w:spacing w:after="120" w:afterAutospacing="0"/>
              <w:rPr>
                <w:noProof/>
                <w:sz w:val="20"/>
                <w:szCs w:val="20"/>
              </w:rPr>
            </w:pPr>
            <w:r w:rsidRPr="008B13A5">
              <w:rPr>
                <w:noProof/>
                <w:sz w:val="20"/>
                <w:szCs w:val="20"/>
              </w:rPr>
              <w:t xml:space="preserve">Centralised Platform </w:t>
            </w:r>
            <w:r w:rsidR="005C55AB" w:rsidRPr="008B13A5">
              <w:rPr>
                <w:noProof/>
                <w:sz w:val="20"/>
                <w:szCs w:val="20"/>
              </w:rPr>
              <w:t xml:space="preserve">removes </w:t>
            </w:r>
            <w:r w:rsidRPr="008B13A5">
              <w:rPr>
                <w:noProof/>
                <w:sz w:val="20"/>
                <w:szCs w:val="20"/>
              </w:rPr>
              <w:t>the need for parallel national reporting channels.</w:t>
            </w:r>
          </w:p>
          <w:p w14:paraId="7C5F308C" w14:textId="3665C8FB" w:rsidR="00BA5F12" w:rsidRPr="008B13A5" w:rsidRDefault="00BA5F12" w:rsidP="00F47256">
            <w:pPr>
              <w:pStyle w:val="NormalWeb"/>
              <w:numPr>
                <w:ilvl w:val="0"/>
                <w:numId w:val="11"/>
              </w:numPr>
              <w:spacing w:after="120" w:afterAutospacing="0"/>
              <w:rPr>
                <w:noProof/>
                <w:sz w:val="20"/>
                <w:szCs w:val="20"/>
              </w:rPr>
            </w:pPr>
            <w:r w:rsidRPr="008B13A5">
              <w:rPr>
                <w:noProof/>
                <w:sz w:val="20"/>
                <w:szCs w:val="20"/>
              </w:rPr>
              <w:t>Less duplication in sharing and validating supply chain intelligence across borders.</w:t>
            </w:r>
          </w:p>
          <w:p w14:paraId="6AD676F9" w14:textId="564462AE" w:rsidR="00BA5F12" w:rsidRPr="008B13A5" w:rsidRDefault="00BA5F12">
            <w:pPr>
              <w:pStyle w:val="NormalWeb"/>
              <w:spacing w:after="120" w:afterAutospacing="0"/>
              <w:rPr>
                <w:noProof/>
                <w:sz w:val="20"/>
                <w:szCs w:val="20"/>
              </w:rPr>
            </w:pPr>
            <w:r w:rsidRPr="008B13A5">
              <w:rPr>
                <w:noProof/>
                <w:sz w:val="20"/>
                <w:szCs w:val="20"/>
              </w:rPr>
              <w:t>More predictable permitting processes</w:t>
            </w:r>
          </w:p>
          <w:p w14:paraId="409F2212" w14:textId="36F6FA6F" w:rsidR="00BA5F12" w:rsidRPr="008B13A5" w:rsidRDefault="00BA5F12" w:rsidP="00F47256">
            <w:pPr>
              <w:pStyle w:val="NormalWeb"/>
              <w:numPr>
                <w:ilvl w:val="0"/>
                <w:numId w:val="14"/>
              </w:numPr>
              <w:spacing w:after="120" w:afterAutospacing="0"/>
              <w:rPr>
                <w:noProof/>
                <w:sz w:val="20"/>
                <w:szCs w:val="20"/>
              </w:rPr>
            </w:pPr>
            <w:r w:rsidRPr="008B13A5">
              <w:rPr>
                <w:noProof/>
                <w:sz w:val="20"/>
                <w:szCs w:val="20"/>
              </w:rPr>
              <w:t>Clearer permitting pathways reduce back-and-forth between national authorities and firms.</w:t>
            </w:r>
          </w:p>
        </w:tc>
        <w:tc>
          <w:tcPr>
            <w:tcW w:w="1029" w:type="pct"/>
            <w:tcBorders>
              <w:top w:val="nil"/>
              <w:left w:val="nil"/>
              <w:bottom w:val="single" w:sz="8" w:space="0" w:color="auto"/>
              <w:right w:val="double" w:sz="4" w:space="0" w:color="auto"/>
            </w:tcBorders>
            <w:vAlign w:val="center"/>
          </w:tcPr>
          <w:p w14:paraId="33EAF0DE" w14:textId="32B362BA" w:rsidR="00BA5F12" w:rsidRPr="008B13A5" w:rsidRDefault="00BA5F12">
            <w:pPr>
              <w:jc w:val="left"/>
              <w:rPr>
                <w:noProof/>
                <w:sz w:val="20"/>
              </w:rPr>
            </w:pPr>
            <w:r w:rsidRPr="008B13A5">
              <w:rPr>
                <w:noProof/>
                <w:sz w:val="20"/>
              </w:rPr>
              <w:t xml:space="preserve">Administrations would incur a moderate recurrent </w:t>
            </w:r>
            <w:r w:rsidR="00623F81" w:rsidRPr="008B13A5">
              <w:rPr>
                <w:noProof/>
                <w:sz w:val="20"/>
              </w:rPr>
              <w:t xml:space="preserve">cost </w:t>
            </w:r>
            <w:r w:rsidRPr="008B13A5">
              <w:rPr>
                <w:noProof/>
                <w:sz w:val="20"/>
              </w:rPr>
              <w:t>from processing mandatory information, coordinating the Platform, fulfilling Strategic Project reporting tasks, and administering demand-side instruments.</w:t>
            </w:r>
          </w:p>
        </w:tc>
      </w:tr>
      <w:tr w:rsidR="00BA5F12" w:rsidRPr="008B13A5" w14:paraId="64B06D57" w14:textId="77777777">
        <w:tc>
          <w:tcPr>
            <w:tcW w:w="1227"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tcPr>
          <w:p w14:paraId="1B39F4BB" w14:textId="08A9CB9B" w:rsidR="00BA5F12" w:rsidRPr="008B13A5" w:rsidRDefault="00BA5F12">
            <w:pPr>
              <w:spacing w:before="60"/>
              <w:ind w:left="284"/>
              <w:jc w:val="left"/>
              <w:rPr>
                <w:b/>
                <w:bCs/>
                <w:noProof/>
                <w:sz w:val="20"/>
              </w:rPr>
            </w:pPr>
            <w:r w:rsidRPr="008B13A5">
              <w:rPr>
                <w:b/>
                <w:bCs/>
                <w:i/>
                <w:iCs/>
                <w:noProof/>
                <w:sz w:val="20"/>
              </w:rPr>
              <w:t>Net administrative burdens*</w:t>
            </w:r>
          </w:p>
        </w:tc>
        <w:tc>
          <w:tcPr>
            <w:tcW w:w="1306" w:type="pct"/>
            <w:tcBorders>
              <w:top w:val="nil"/>
              <w:left w:val="nil"/>
              <w:bottom w:val="single" w:sz="8" w:space="0" w:color="auto"/>
              <w:right w:val="single" w:sz="8" w:space="0" w:color="auto"/>
            </w:tcBorders>
            <w:tcMar>
              <w:top w:w="0" w:type="dxa"/>
              <w:left w:w="108" w:type="dxa"/>
              <w:bottom w:w="0" w:type="dxa"/>
              <w:right w:w="108" w:type="dxa"/>
            </w:tcMar>
            <w:vAlign w:val="center"/>
          </w:tcPr>
          <w:p w14:paraId="196E5FE2" w14:textId="77777777" w:rsidR="00BA5F12" w:rsidRPr="008B13A5" w:rsidRDefault="00BA5F12">
            <w:pPr>
              <w:rPr>
                <w:noProof/>
                <w:sz w:val="20"/>
              </w:rPr>
            </w:pPr>
            <w:r w:rsidRPr="008B13A5">
              <w:rPr>
                <w:noProof/>
                <w:sz w:val="20"/>
              </w:rPr>
              <w:t>None</w:t>
            </w:r>
          </w:p>
        </w:tc>
        <w:tc>
          <w:tcPr>
            <w:tcW w:w="1438" w:type="pct"/>
            <w:tcBorders>
              <w:top w:val="nil"/>
              <w:left w:val="nil"/>
              <w:bottom w:val="single" w:sz="8" w:space="0" w:color="auto"/>
              <w:right w:val="double" w:sz="4" w:space="0" w:color="auto"/>
            </w:tcBorders>
            <w:tcMar>
              <w:top w:w="0" w:type="dxa"/>
              <w:left w:w="108" w:type="dxa"/>
              <w:bottom w:w="0" w:type="dxa"/>
              <w:right w:w="108" w:type="dxa"/>
            </w:tcMar>
            <w:vAlign w:val="center"/>
          </w:tcPr>
          <w:p w14:paraId="3A61328D" w14:textId="0C267E82" w:rsidR="00BA5F12" w:rsidRPr="008B13A5" w:rsidRDefault="00BA5F12">
            <w:pPr>
              <w:rPr>
                <w:noProof/>
                <w:sz w:val="20"/>
              </w:rPr>
            </w:pPr>
            <w:r w:rsidRPr="008B13A5">
              <w:rPr>
                <w:noProof/>
                <w:sz w:val="20"/>
              </w:rPr>
              <w:t>Moderate net burden, partly offset by structural simplifications.</w:t>
            </w:r>
          </w:p>
        </w:tc>
        <w:tc>
          <w:tcPr>
            <w:tcW w:w="1029" w:type="pct"/>
            <w:tcBorders>
              <w:top w:val="nil"/>
              <w:left w:val="nil"/>
              <w:bottom w:val="single" w:sz="8" w:space="0" w:color="auto"/>
              <w:right w:val="double" w:sz="4" w:space="0" w:color="auto"/>
            </w:tcBorders>
            <w:vAlign w:val="center"/>
          </w:tcPr>
          <w:p w14:paraId="3DDD0FB5" w14:textId="77777777" w:rsidR="00BA5F12" w:rsidRPr="008B13A5" w:rsidRDefault="00BA5F12">
            <w:pPr>
              <w:jc w:val="center"/>
              <w:rPr>
                <w:noProof/>
                <w:sz w:val="20"/>
              </w:rPr>
            </w:pPr>
          </w:p>
        </w:tc>
      </w:tr>
      <w:tr w:rsidR="00BA5F12" w:rsidRPr="008B13A5" w14:paraId="5FC47A87" w14:textId="77777777">
        <w:trPr>
          <w:trHeight w:val="557"/>
        </w:trPr>
        <w:tc>
          <w:tcPr>
            <w:tcW w:w="1227" w:type="pct"/>
            <w:tcBorders>
              <w:top w:val="nil"/>
              <w:left w:val="double" w:sz="4" w:space="0" w:color="auto"/>
              <w:bottom w:val="double" w:sz="4" w:space="0" w:color="auto"/>
              <w:right w:val="single" w:sz="8" w:space="0" w:color="auto"/>
            </w:tcBorders>
            <w:tcMar>
              <w:top w:w="0" w:type="dxa"/>
              <w:left w:w="108" w:type="dxa"/>
              <w:bottom w:w="0" w:type="dxa"/>
              <w:right w:w="108" w:type="dxa"/>
            </w:tcMar>
            <w:vAlign w:val="center"/>
          </w:tcPr>
          <w:p w14:paraId="5F5F9399" w14:textId="33D47019" w:rsidR="00BA5F12" w:rsidRPr="008B13A5" w:rsidRDefault="00BA5F12">
            <w:pPr>
              <w:spacing w:before="60"/>
              <w:ind w:left="284"/>
              <w:jc w:val="left"/>
              <w:rPr>
                <w:i/>
                <w:iCs/>
                <w:noProof/>
                <w:sz w:val="20"/>
              </w:rPr>
            </w:pPr>
            <w:r w:rsidRPr="008B13A5">
              <w:rPr>
                <w:noProof/>
                <w:sz w:val="20"/>
              </w:rPr>
              <w:t>Adjustment costs**</w:t>
            </w:r>
          </w:p>
        </w:tc>
        <w:tc>
          <w:tcPr>
            <w:tcW w:w="1306" w:type="pct"/>
            <w:tcBorders>
              <w:top w:val="single" w:sz="8" w:space="0" w:color="auto"/>
              <w:left w:val="nil"/>
              <w:bottom w:val="double" w:sz="4" w:space="0" w:color="auto"/>
              <w:right w:val="single" w:sz="8" w:space="0" w:color="auto"/>
            </w:tcBorders>
            <w:tcMar>
              <w:top w:w="0" w:type="dxa"/>
              <w:left w:w="108" w:type="dxa"/>
              <w:bottom w:w="0" w:type="dxa"/>
              <w:right w:w="108" w:type="dxa"/>
            </w:tcMar>
          </w:tcPr>
          <w:p w14:paraId="70AE2B1F" w14:textId="77777777" w:rsidR="00BA5F12" w:rsidRPr="008B13A5" w:rsidRDefault="00BA5F12">
            <w:pPr>
              <w:pStyle w:val="ListParagraph"/>
              <w:spacing w:before="60"/>
              <w:rPr>
                <w:noProof/>
                <w:sz w:val="20"/>
                <w:szCs w:val="20"/>
              </w:rPr>
            </w:pPr>
          </w:p>
        </w:tc>
        <w:tc>
          <w:tcPr>
            <w:tcW w:w="1438" w:type="pct"/>
            <w:tcBorders>
              <w:top w:val="nil"/>
              <w:left w:val="single" w:sz="8" w:space="0" w:color="auto"/>
              <w:bottom w:val="double" w:sz="4" w:space="0" w:color="auto"/>
              <w:right w:val="double" w:sz="4" w:space="0" w:color="auto"/>
            </w:tcBorders>
          </w:tcPr>
          <w:p w14:paraId="64B93C98" w14:textId="77777777" w:rsidR="00BA5F12" w:rsidRPr="008B13A5" w:rsidRDefault="00BA5F12">
            <w:pPr>
              <w:pStyle w:val="ListParagraph"/>
              <w:spacing w:before="60"/>
              <w:rPr>
                <w:noProof/>
                <w:sz w:val="20"/>
                <w:szCs w:val="20"/>
              </w:rPr>
            </w:pPr>
          </w:p>
        </w:tc>
        <w:tc>
          <w:tcPr>
            <w:tcW w:w="1029" w:type="pct"/>
            <w:tcBorders>
              <w:top w:val="single" w:sz="8" w:space="0" w:color="auto"/>
              <w:left w:val="single" w:sz="4" w:space="0" w:color="auto"/>
              <w:bottom w:val="double" w:sz="4" w:space="0" w:color="auto"/>
              <w:right w:val="double" w:sz="4" w:space="0" w:color="auto"/>
              <w:tl2br w:val="double" w:sz="4" w:space="0" w:color="auto"/>
            </w:tcBorders>
          </w:tcPr>
          <w:p w14:paraId="315688A2" w14:textId="77777777" w:rsidR="00BA5F12" w:rsidRPr="008B13A5" w:rsidRDefault="00BA5F12">
            <w:pPr>
              <w:spacing w:before="60"/>
              <w:jc w:val="center"/>
              <w:rPr>
                <w:noProof/>
                <w:sz w:val="20"/>
              </w:rPr>
            </w:pPr>
          </w:p>
        </w:tc>
      </w:tr>
      <w:tr w:rsidR="00BA5F12" w:rsidRPr="008B13A5" w14:paraId="407F178D" w14:textId="77777777">
        <w:trPr>
          <w:trHeight w:val="467"/>
        </w:trPr>
        <w:tc>
          <w:tcPr>
            <w:tcW w:w="1227" w:type="pct"/>
            <w:tcBorders>
              <w:top w:val="double" w:sz="4" w:space="0" w:color="auto"/>
              <w:left w:val="double" w:sz="4" w:space="0" w:color="auto"/>
              <w:bottom w:val="double" w:sz="4" w:space="0" w:color="auto"/>
              <w:right w:val="single" w:sz="8" w:space="0" w:color="auto"/>
            </w:tcBorders>
            <w:tcMar>
              <w:top w:w="0" w:type="dxa"/>
              <w:left w:w="108" w:type="dxa"/>
              <w:bottom w:w="0" w:type="dxa"/>
              <w:right w:w="108" w:type="dxa"/>
            </w:tcMar>
            <w:vAlign w:val="center"/>
          </w:tcPr>
          <w:p w14:paraId="0F9D786B" w14:textId="37BB9878" w:rsidR="00BA5F12" w:rsidRPr="008B13A5" w:rsidRDefault="00BA5F12">
            <w:pPr>
              <w:spacing w:before="60"/>
              <w:ind w:left="35"/>
              <w:jc w:val="left"/>
              <w:rPr>
                <w:noProof/>
                <w:sz w:val="20"/>
              </w:rPr>
            </w:pPr>
            <w:r w:rsidRPr="008B13A5">
              <w:rPr>
                <w:b/>
                <w:bCs/>
                <w:noProof/>
                <w:sz w:val="20"/>
              </w:rPr>
              <w:t>Total administrative burdens***</w:t>
            </w:r>
          </w:p>
        </w:tc>
        <w:tc>
          <w:tcPr>
            <w:tcW w:w="1306" w:type="pct"/>
            <w:tcBorders>
              <w:top w:val="double" w:sz="4" w:space="0" w:color="auto"/>
              <w:left w:val="nil"/>
              <w:bottom w:val="double" w:sz="4" w:space="0" w:color="auto"/>
              <w:right w:val="single" w:sz="8" w:space="0" w:color="auto"/>
            </w:tcBorders>
            <w:tcMar>
              <w:top w:w="0" w:type="dxa"/>
              <w:left w:w="108" w:type="dxa"/>
              <w:bottom w:w="0" w:type="dxa"/>
              <w:right w:w="108" w:type="dxa"/>
            </w:tcMar>
          </w:tcPr>
          <w:p w14:paraId="27215F83" w14:textId="77777777" w:rsidR="00BA5F12" w:rsidRPr="008B13A5" w:rsidRDefault="00BA5F12">
            <w:pPr>
              <w:spacing w:before="60"/>
              <w:rPr>
                <w:b/>
                <w:bCs/>
                <w:i/>
                <w:iCs/>
                <w:noProof/>
                <w:sz w:val="20"/>
              </w:rPr>
            </w:pPr>
          </w:p>
        </w:tc>
        <w:tc>
          <w:tcPr>
            <w:tcW w:w="1438" w:type="pct"/>
            <w:tcBorders>
              <w:top w:val="double" w:sz="4" w:space="0" w:color="auto"/>
              <w:left w:val="single" w:sz="8" w:space="0" w:color="auto"/>
              <w:bottom w:val="double" w:sz="4" w:space="0" w:color="auto"/>
              <w:right w:val="double" w:sz="4" w:space="0" w:color="auto"/>
            </w:tcBorders>
          </w:tcPr>
          <w:p w14:paraId="4659F8BC" w14:textId="77777777" w:rsidR="00BA5F12" w:rsidRPr="008B13A5" w:rsidRDefault="00BA5F12">
            <w:pPr>
              <w:spacing w:before="60"/>
              <w:rPr>
                <w:b/>
                <w:i/>
                <w:noProof/>
                <w:sz w:val="20"/>
              </w:rPr>
            </w:pPr>
          </w:p>
        </w:tc>
        <w:tc>
          <w:tcPr>
            <w:tcW w:w="1029" w:type="pct"/>
            <w:tcBorders>
              <w:top w:val="double" w:sz="4" w:space="0" w:color="auto"/>
              <w:left w:val="single" w:sz="4" w:space="0" w:color="auto"/>
              <w:bottom w:val="double" w:sz="4" w:space="0" w:color="auto"/>
              <w:right w:val="double" w:sz="4" w:space="0" w:color="auto"/>
            </w:tcBorders>
          </w:tcPr>
          <w:p w14:paraId="04A81D77" w14:textId="77777777" w:rsidR="00BA5F12" w:rsidRPr="008B13A5" w:rsidRDefault="00BA5F12">
            <w:pPr>
              <w:spacing w:before="60"/>
              <w:rPr>
                <w:b/>
                <w:i/>
                <w:noProof/>
                <w:sz w:val="20"/>
              </w:rPr>
            </w:pPr>
          </w:p>
        </w:tc>
      </w:tr>
    </w:tbl>
    <w:p w14:paraId="66B75456" w14:textId="7F42336B" w:rsidR="00BA5F12" w:rsidRPr="008B13A5" w:rsidRDefault="00BA5F12" w:rsidP="00BA5F12">
      <w:pPr>
        <w:ind w:left="-567"/>
        <w:rPr>
          <w:i/>
          <w:iCs/>
          <w:noProof/>
          <w:sz w:val="20"/>
        </w:rPr>
      </w:pPr>
      <w:r w:rsidRPr="008B13A5">
        <w:rPr>
          <w:i/>
          <w:iCs/>
          <w:noProof/>
          <w:sz w:val="20"/>
        </w:rPr>
        <w:t xml:space="preserve">(*) Net administrative burdens = INs – OUTs; </w:t>
      </w:r>
    </w:p>
    <w:p w14:paraId="222B5876" w14:textId="1A9E3214" w:rsidR="00BA5F12" w:rsidRPr="008B13A5" w:rsidRDefault="00BA5F12" w:rsidP="00BA5F12">
      <w:pPr>
        <w:ind w:left="-567"/>
        <w:rPr>
          <w:i/>
          <w:iCs/>
          <w:noProof/>
          <w:sz w:val="20"/>
        </w:rPr>
      </w:pPr>
      <w:r w:rsidRPr="008B13A5">
        <w:rPr>
          <w:i/>
          <w:iCs/>
          <w:noProof/>
          <w:sz w:val="20"/>
        </w:rPr>
        <w:t xml:space="preserve">(**) Adjustment costs falling under the scope of the OIOO approach are the same as reported in Table 2 above. Non-annualised values; </w:t>
      </w:r>
    </w:p>
    <w:p w14:paraId="27E25A66" w14:textId="7A991DF8" w:rsidR="00DE5227" w:rsidRPr="008B13A5" w:rsidRDefault="00BA5F12" w:rsidP="009712FE">
      <w:pPr>
        <w:ind w:left="-567"/>
        <w:rPr>
          <w:i/>
          <w:iCs/>
          <w:noProof/>
          <w:sz w:val="20"/>
        </w:rPr>
      </w:pPr>
      <w:r w:rsidRPr="008B13A5">
        <w:rPr>
          <w:i/>
          <w:iCs/>
          <w:noProof/>
          <w:sz w:val="20"/>
        </w:rPr>
        <w:t>(***) Total administrative burdens = Net administrative burdens for businesses + net administrative burdens for citizens</w:t>
      </w:r>
    </w:p>
    <w:p w14:paraId="648C725A" w14:textId="56D086FB" w:rsidR="008E62CE" w:rsidRPr="008B13A5" w:rsidRDefault="008E62CE" w:rsidP="008E62CE">
      <w:pPr>
        <w:pStyle w:val="Heading1"/>
        <w:tabs>
          <w:tab w:val="left" w:pos="1560"/>
        </w:tabs>
        <w:rPr>
          <w:noProof/>
        </w:rPr>
      </w:pPr>
      <w:bookmarkStart w:id="103" w:name="_Toc230010402"/>
      <w:bookmarkStart w:id="104" w:name="_Toc195101109"/>
      <w:r w:rsidRPr="008B13A5">
        <w:rPr>
          <w:noProof/>
        </w:rPr>
        <w:t>Relevant sustainable development goals</w:t>
      </w:r>
      <w:bookmarkEnd w:id="103"/>
    </w:p>
    <w:bookmarkEnd w:id="104"/>
    <w:p w14:paraId="3AEA704F" w14:textId="77777777" w:rsidR="009409F1" w:rsidRPr="00BD008E" w:rsidRDefault="009409F1" w:rsidP="00BD008E">
      <w:pPr>
        <w:pStyle w:val="Body"/>
        <w:rPr>
          <w:noProof/>
          <w:sz w:val="2"/>
          <w:szCs w:val="2"/>
        </w:rPr>
      </w:pPr>
    </w:p>
    <w:tbl>
      <w:tblPr>
        <w:tblStyle w:val="CV11"/>
        <w:tblW w:w="10377" w:type="dxa"/>
        <w:tblInd w:w="-459"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552"/>
        <w:gridCol w:w="4111"/>
        <w:gridCol w:w="3714"/>
      </w:tblGrid>
      <w:tr w:rsidR="00907BEA" w:rsidRPr="008B13A5" w14:paraId="01C2396A" w14:textId="77777777" w:rsidTr="002848A1">
        <w:tc>
          <w:tcPr>
            <w:tcW w:w="10377" w:type="dxa"/>
            <w:gridSpan w:val="3"/>
            <w:tcBorders>
              <w:top w:val="double" w:sz="4" w:space="0" w:color="auto"/>
              <w:bottom w:val="single" w:sz="4" w:space="0" w:color="auto"/>
            </w:tcBorders>
            <w:shd w:val="clear" w:color="auto" w:fill="C6D9F1" w:themeFill="text2" w:themeFillTint="33"/>
          </w:tcPr>
          <w:p w14:paraId="4EE351B4" w14:textId="44A2E6C4" w:rsidR="009409F1" w:rsidRPr="008B13A5" w:rsidRDefault="00315B43" w:rsidP="009D4C15">
            <w:pPr>
              <w:spacing w:after="0"/>
              <w:rPr>
                <w:b/>
                <w:noProof/>
                <w:sz w:val="20"/>
              </w:rPr>
            </w:pPr>
            <w:r w:rsidRPr="008B13A5">
              <w:rPr>
                <w:b/>
                <w:noProof/>
                <w:sz w:val="20"/>
              </w:rPr>
              <w:t>IV</w:t>
            </w:r>
            <w:r w:rsidR="009409F1" w:rsidRPr="008B13A5">
              <w:rPr>
                <w:b/>
                <w:noProof/>
                <w:sz w:val="20"/>
              </w:rPr>
              <w:t>. Overview of relevant Sustainable Development Goals – Preferred Option(s)</w:t>
            </w:r>
          </w:p>
        </w:tc>
      </w:tr>
      <w:tr w:rsidR="004F2DE8" w:rsidRPr="008B13A5" w14:paraId="0CE86597" w14:textId="77777777" w:rsidTr="002848A1">
        <w:tc>
          <w:tcPr>
            <w:tcW w:w="2552" w:type="dxa"/>
            <w:tcBorders>
              <w:top w:val="single" w:sz="4" w:space="0" w:color="auto"/>
            </w:tcBorders>
            <w:shd w:val="clear" w:color="auto" w:fill="C6D9F1" w:themeFill="text2" w:themeFillTint="33"/>
          </w:tcPr>
          <w:p w14:paraId="132154E1" w14:textId="7F8A02EC" w:rsidR="009409F1" w:rsidRPr="008B13A5" w:rsidRDefault="009409F1" w:rsidP="009D4C15">
            <w:pPr>
              <w:spacing w:after="0"/>
              <w:rPr>
                <w:b/>
                <w:noProof/>
                <w:sz w:val="20"/>
              </w:rPr>
            </w:pPr>
            <w:r w:rsidRPr="008B13A5">
              <w:rPr>
                <w:b/>
                <w:noProof/>
                <w:sz w:val="20"/>
              </w:rPr>
              <w:t>Relevant SDG</w:t>
            </w:r>
          </w:p>
        </w:tc>
        <w:tc>
          <w:tcPr>
            <w:tcW w:w="4111" w:type="dxa"/>
            <w:tcBorders>
              <w:top w:val="single" w:sz="4" w:space="0" w:color="auto"/>
            </w:tcBorders>
            <w:shd w:val="clear" w:color="auto" w:fill="C6D9F1" w:themeFill="text2" w:themeFillTint="33"/>
          </w:tcPr>
          <w:p w14:paraId="00C1E627" w14:textId="0DDD401B" w:rsidR="009409F1" w:rsidRPr="008B13A5" w:rsidRDefault="009409F1" w:rsidP="009D4C15">
            <w:pPr>
              <w:spacing w:after="0"/>
              <w:rPr>
                <w:b/>
                <w:noProof/>
                <w:sz w:val="20"/>
              </w:rPr>
            </w:pPr>
            <w:r w:rsidRPr="008B13A5">
              <w:rPr>
                <w:b/>
                <w:noProof/>
                <w:sz w:val="20"/>
              </w:rPr>
              <w:t>Expected progress towards the Goal</w:t>
            </w:r>
          </w:p>
        </w:tc>
        <w:tc>
          <w:tcPr>
            <w:tcW w:w="3714" w:type="dxa"/>
            <w:tcBorders>
              <w:top w:val="single" w:sz="4" w:space="0" w:color="auto"/>
            </w:tcBorders>
            <w:shd w:val="clear" w:color="auto" w:fill="C6D9F1" w:themeFill="text2" w:themeFillTint="33"/>
            <w:tcMar>
              <w:top w:w="57" w:type="dxa"/>
              <w:left w:w="57" w:type="dxa"/>
              <w:bottom w:w="57" w:type="dxa"/>
              <w:right w:w="57" w:type="dxa"/>
            </w:tcMar>
          </w:tcPr>
          <w:p w14:paraId="29A7294E" w14:textId="77777777" w:rsidR="009409F1" w:rsidRPr="008B13A5" w:rsidRDefault="009409F1" w:rsidP="009D4C15">
            <w:pPr>
              <w:spacing w:after="0"/>
              <w:rPr>
                <w:b/>
                <w:noProof/>
                <w:sz w:val="20"/>
              </w:rPr>
            </w:pPr>
            <w:r w:rsidRPr="008B13A5">
              <w:rPr>
                <w:b/>
                <w:noProof/>
                <w:sz w:val="20"/>
              </w:rPr>
              <w:t>Comments</w:t>
            </w:r>
          </w:p>
        </w:tc>
      </w:tr>
      <w:tr w:rsidR="00ED744F" w:rsidRPr="008B13A5" w14:paraId="4CCA0544" w14:textId="77777777" w:rsidTr="002848A1">
        <w:tc>
          <w:tcPr>
            <w:tcW w:w="2552" w:type="dxa"/>
            <w:tcBorders>
              <w:top w:val="double" w:sz="4" w:space="0" w:color="auto"/>
              <w:bottom w:val="single" w:sz="4" w:space="0" w:color="auto"/>
            </w:tcBorders>
          </w:tcPr>
          <w:p w14:paraId="4A8DFF13" w14:textId="781FB74A" w:rsidR="00FC5C48" w:rsidRPr="008B13A5" w:rsidRDefault="00FC5C48" w:rsidP="00BD008E">
            <w:pPr>
              <w:rPr>
                <w:noProof/>
                <w:sz w:val="20"/>
              </w:rPr>
            </w:pPr>
            <w:r w:rsidRPr="008B13A5">
              <w:rPr>
                <w:noProof/>
                <w:sz w:val="20"/>
              </w:rPr>
              <w:t>SDG</w:t>
            </w:r>
            <w:r w:rsidR="003A27A3" w:rsidRPr="008B13A5">
              <w:rPr>
                <w:noProof/>
                <w:sz w:val="20"/>
              </w:rPr>
              <w:t xml:space="preserve"> </w:t>
            </w:r>
            <w:r w:rsidRPr="008B13A5">
              <w:rPr>
                <w:noProof/>
                <w:sz w:val="20"/>
              </w:rPr>
              <w:t>4</w:t>
            </w:r>
            <w:r w:rsidR="003A27A3" w:rsidRPr="008B13A5">
              <w:rPr>
                <w:noProof/>
                <w:sz w:val="20"/>
              </w:rPr>
              <w:t>: Quality</w:t>
            </w:r>
            <w:r w:rsidRPr="008B13A5">
              <w:rPr>
                <w:noProof/>
                <w:sz w:val="20"/>
              </w:rPr>
              <w:t xml:space="preserve"> education</w:t>
            </w:r>
          </w:p>
        </w:tc>
        <w:tc>
          <w:tcPr>
            <w:tcW w:w="4111" w:type="dxa"/>
            <w:tcBorders>
              <w:top w:val="double" w:sz="4" w:space="0" w:color="auto"/>
              <w:bottom w:val="single" w:sz="4" w:space="0" w:color="auto"/>
            </w:tcBorders>
            <w:tcMar>
              <w:top w:w="57" w:type="dxa"/>
              <w:left w:w="57" w:type="dxa"/>
              <w:bottom w:w="57" w:type="dxa"/>
              <w:right w:w="57" w:type="dxa"/>
            </w:tcMar>
          </w:tcPr>
          <w:p w14:paraId="447F5A59" w14:textId="73C7989A" w:rsidR="00FC5C48" w:rsidRPr="008B13A5" w:rsidRDefault="003F3FBE" w:rsidP="00FC5C48">
            <w:pPr>
              <w:spacing w:after="0"/>
              <w:rPr>
                <w:noProof/>
                <w:sz w:val="20"/>
              </w:rPr>
            </w:pPr>
            <w:r w:rsidRPr="008B13A5">
              <w:rPr>
                <w:noProof/>
                <w:sz w:val="20"/>
              </w:rPr>
              <w:t>Chips Act 2.0 will result in an i</w:t>
            </w:r>
            <w:r w:rsidR="00FC5C48" w:rsidRPr="008B13A5">
              <w:rPr>
                <w:noProof/>
                <w:sz w:val="20"/>
              </w:rPr>
              <w:t>ncrease in training opportunities for enhancing digital skills,</w:t>
            </w:r>
            <w:r w:rsidR="00940A61" w:rsidRPr="008B13A5">
              <w:rPr>
                <w:noProof/>
                <w:sz w:val="20"/>
              </w:rPr>
              <w:t xml:space="preserve"> particularly those related to semiconductor technologies,</w:t>
            </w:r>
            <w:r w:rsidR="00FC5C48" w:rsidRPr="008B13A5">
              <w:rPr>
                <w:noProof/>
                <w:sz w:val="20"/>
              </w:rPr>
              <w:t xml:space="preserve"> </w:t>
            </w:r>
            <w:r w:rsidR="00940A61" w:rsidRPr="008B13A5">
              <w:rPr>
                <w:noProof/>
                <w:sz w:val="20"/>
              </w:rPr>
              <w:t xml:space="preserve">thus </w:t>
            </w:r>
            <w:r w:rsidR="00FC5C48" w:rsidRPr="008B13A5">
              <w:rPr>
                <w:noProof/>
                <w:sz w:val="20"/>
              </w:rPr>
              <w:t>contributing to quality education and lifelong learning.</w:t>
            </w:r>
          </w:p>
        </w:tc>
        <w:tc>
          <w:tcPr>
            <w:tcW w:w="3714" w:type="dxa"/>
            <w:tcBorders>
              <w:top w:val="double" w:sz="4" w:space="0" w:color="auto"/>
              <w:bottom w:val="single" w:sz="4" w:space="0" w:color="auto"/>
            </w:tcBorders>
            <w:tcMar>
              <w:top w:w="57" w:type="dxa"/>
              <w:left w:w="57" w:type="dxa"/>
              <w:bottom w:w="57" w:type="dxa"/>
              <w:right w:w="57" w:type="dxa"/>
            </w:tcMar>
          </w:tcPr>
          <w:p w14:paraId="64B9F3C7" w14:textId="77777777" w:rsidR="00FC5C48" w:rsidRPr="008B13A5" w:rsidRDefault="00FC5C48" w:rsidP="00FC5C48">
            <w:pPr>
              <w:spacing w:after="0"/>
              <w:rPr>
                <w:noProof/>
                <w:sz w:val="20"/>
              </w:rPr>
            </w:pPr>
          </w:p>
        </w:tc>
      </w:tr>
      <w:tr w:rsidR="00FC5C48" w:rsidRPr="008B13A5" w14:paraId="7B54F29F" w14:textId="77777777" w:rsidTr="002848A1">
        <w:tc>
          <w:tcPr>
            <w:tcW w:w="2552" w:type="dxa"/>
            <w:tcBorders>
              <w:top w:val="single" w:sz="4" w:space="0" w:color="auto"/>
              <w:bottom w:val="single" w:sz="4" w:space="0" w:color="auto"/>
            </w:tcBorders>
          </w:tcPr>
          <w:p w14:paraId="7D38D1B9" w14:textId="7A20B0A7" w:rsidR="00FC5C48" w:rsidRPr="008B13A5" w:rsidRDefault="00FC5C48" w:rsidP="00FC5C48">
            <w:pPr>
              <w:spacing w:after="0"/>
              <w:rPr>
                <w:noProof/>
                <w:sz w:val="20"/>
              </w:rPr>
            </w:pPr>
            <w:r w:rsidRPr="008B13A5">
              <w:rPr>
                <w:noProof/>
                <w:sz w:val="20"/>
              </w:rPr>
              <w:t>SDG 8: Decent work and economic growth</w:t>
            </w:r>
          </w:p>
        </w:tc>
        <w:tc>
          <w:tcPr>
            <w:tcW w:w="4111" w:type="dxa"/>
            <w:tcBorders>
              <w:top w:val="single" w:sz="4" w:space="0" w:color="auto"/>
              <w:bottom w:val="single" w:sz="4" w:space="0" w:color="auto"/>
            </w:tcBorders>
            <w:tcMar>
              <w:top w:w="57" w:type="dxa"/>
              <w:left w:w="57" w:type="dxa"/>
              <w:bottom w:w="57" w:type="dxa"/>
              <w:right w:w="57" w:type="dxa"/>
            </w:tcMar>
          </w:tcPr>
          <w:p w14:paraId="568F91DA" w14:textId="4B363C90" w:rsidR="00FC5C48" w:rsidRPr="008B13A5" w:rsidRDefault="00FC5C48" w:rsidP="00FC5C48">
            <w:pPr>
              <w:rPr>
                <w:noProof/>
                <w:sz w:val="20"/>
              </w:rPr>
            </w:pPr>
            <w:r w:rsidRPr="008B13A5">
              <w:rPr>
                <w:noProof/>
                <w:sz w:val="20"/>
              </w:rPr>
              <w:t>Chips Act 2</w:t>
            </w:r>
            <w:r w:rsidR="003A27A3" w:rsidRPr="008B13A5">
              <w:rPr>
                <w:noProof/>
                <w:sz w:val="20"/>
              </w:rPr>
              <w:t>.0</w:t>
            </w:r>
            <w:r w:rsidRPr="008B13A5">
              <w:rPr>
                <w:noProof/>
                <w:sz w:val="20"/>
              </w:rPr>
              <w:t xml:space="preserve"> would contribute to the sustainable development goal of decent work and economic growth by ensuring a well-functioning Single Market in times of crisis and therefore mitigate severe economic repercussions through loss of business opportunities and crisis-related redundancies.</w:t>
            </w:r>
          </w:p>
          <w:p w14:paraId="5CDB33D5" w14:textId="77777777" w:rsidR="00FC5C48" w:rsidRPr="008B13A5" w:rsidRDefault="00FC5C48" w:rsidP="00FC5C48">
            <w:pPr>
              <w:rPr>
                <w:noProof/>
              </w:rPr>
            </w:pPr>
          </w:p>
          <w:p w14:paraId="07D2A61D" w14:textId="35A90C7B" w:rsidR="00FC5C48" w:rsidRPr="008B13A5" w:rsidRDefault="00450B10" w:rsidP="00FC5C48">
            <w:pPr>
              <w:spacing w:after="0"/>
              <w:rPr>
                <w:noProof/>
                <w:sz w:val="20"/>
              </w:rPr>
            </w:pPr>
            <w:r w:rsidRPr="008B13A5">
              <w:rPr>
                <w:noProof/>
                <w:sz w:val="20"/>
              </w:rPr>
              <w:t>It is e</w:t>
            </w:r>
            <w:r w:rsidR="00FC5C48" w:rsidRPr="008B13A5">
              <w:rPr>
                <w:noProof/>
                <w:sz w:val="20"/>
              </w:rPr>
              <w:t xml:space="preserve">xpected </w:t>
            </w:r>
            <w:r w:rsidRPr="008B13A5">
              <w:rPr>
                <w:noProof/>
                <w:sz w:val="20"/>
              </w:rPr>
              <w:t xml:space="preserve">that this initiative will </w:t>
            </w:r>
            <w:r w:rsidR="0025217F" w:rsidRPr="008B13A5">
              <w:rPr>
                <w:noProof/>
                <w:sz w:val="20"/>
              </w:rPr>
              <w:t xml:space="preserve">result in an </w:t>
            </w:r>
            <w:r w:rsidR="00FC5C48" w:rsidRPr="008B13A5">
              <w:rPr>
                <w:noProof/>
                <w:sz w:val="20"/>
              </w:rPr>
              <w:t xml:space="preserve">increase in employment </w:t>
            </w:r>
            <w:r w:rsidR="0025217F" w:rsidRPr="008B13A5">
              <w:rPr>
                <w:noProof/>
                <w:sz w:val="20"/>
              </w:rPr>
              <w:t>due to</w:t>
            </w:r>
            <w:r w:rsidR="00FC5C48" w:rsidRPr="008B13A5" w:rsidDel="0025217F">
              <w:rPr>
                <w:noProof/>
                <w:sz w:val="20"/>
              </w:rPr>
              <w:t xml:space="preserve"> </w:t>
            </w:r>
            <w:r w:rsidR="0025217F" w:rsidRPr="008B13A5">
              <w:rPr>
                <w:noProof/>
                <w:sz w:val="20"/>
              </w:rPr>
              <w:t xml:space="preserve">the spurring of additional chip design and manufacturing </w:t>
            </w:r>
            <w:r w:rsidR="00FC5C48" w:rsidRPr="008B13A5">
              <w:rPr>
                <w:noProof/>
                <w:sz w:val="20"/>
              </w:rPr>
              <w:t>capacities in the EU</w:t>
            </w:r>
            <w:r w:rsidR="00FC5C48" w:rsidRPr="008B13A5" w:rsidDel="0025217F">
              <w:rPr>
                <w:noProof/>
                <w:sz w:val="20"/>
              </w:rPr>
              <w:t xml:space="preserve"> </w:t>
            </w:r>
            <w:r w:rsidR="0025217F" w:rsidRPr="008B13A5">
              <w:rPr>
                <w:noProof/>
                <w:sz w:val="20"/>
              </w:rPr>
              <w:t xml:space="preserve">and the </w:t>
            </w:r>
            <w:r w:rsidR="00FC5C48" w:rsidRPr="008B13A5">
              <w:rPr>
                <w:noProof/>
                <w:sz w:val="20"/>
              </w:rPr>
              <w:t xml:space="preserve">increase </w:t>
            </w:r>
            <w:r w:rsidR="0025217F" w:rsidRPr="008B13A5">
              <w:rPr>
                <w:noProof/>
                <w:sz w:val="20"/>
              </w:rPr>
              <w:t xml:space="preserve">in </w:t>
            </w:r>
            <w:r w:rsidR="00FC5C48" w:rsidRPr="008B13A5">
              <w:rPr>
                <w:noProof/>
                <w:sz w:val="20"/>
              </w:rPr>
              <w:t xml:space="preserve">SMEs and startups </w:t>
            </w:r>
            <w:r w:rsidR="0025217F" w:rsidRPr="008B13A5">
              <w:rPr>
                <w:noProof/>
                <w:sz w:val="20"/>
              </w:rPr>
              <w:t xml:space="preserve">thanks to a </w:t>
            </w:r>
            <w:r w:rsidR="00FC5C48" w:rsidRPr="008B13A5">
              <w:rPr>
                <w:noProof/>
                <w:sz w:val="20"/>
              </w:rPr>
              <w:t>renewed Chips Fund</w:t>
            </w:r>
            <w:r w:rsidR="0025217F" w:rsidRPr="008B13A5">
              <w:rPr>
                <w:noProof/>
                <w:sz w:val="20"/>
              </w:rPr>
              <w:t>.</w:t>
            </w:r>
          </w:p>
        </w:tc>
        <w:tc>
          <w:tcPr>
            <w:tcW w:w="3714" w:type="dxa"/>
            <w:tcBorders>
              <w:top w:val="single" w:sz="4" w:space="0" w:color="auto"/>
              <w:bottom w:val="single" w:sz="4" w:space="0" w:color="auto"/>
            </w:tcBorders>
            <w:tcMar>
              <w:top w:w="57" w:type="dxa"/>
              <w:left w:w="57" w:type="dxa"/>
              <w:bottom w:w="57" w:type="dxa"/>
              <w:right w:w="57" w:type="dxa"/>
            </w:tcMar>
          </w:tcPr>
          <w:p w14:paraId="373B5C69" w14:textId="77777777" w:rsidR="00FC5C48" w:rsidRPr="008B13A5" w:rsidRDefault="00FC5C48" w:rsidP="00FC5C48">
            <w:pPr>
              <w:spacing w:after="0"/>
              <w:rPr>
                <w:noProof/>
                <w:sz w:val="20"/>
              </w:rPr>
            </w:pPr>
          </w:p>
        </w:tc>
      </w:tr>
      <w:tr w:rsidR="00FC5C48" w:rsidRPr="008B13A5" w14:paraId="018144AF" w14:textId="77777777" w:rsidTr="002848A1">
        <w:tc>
          <w:tcPr>
            <w:tcW w:w="2552" w:type="dxa"/>
            <w:tcBorders>
              <w:top w:val="single" w:sz="4" w:space="0" w:color="auto"/>
            </w:tcBorders>
          </w:tcPr>
          <w:p w14:paraId="04ECACBC" w14:textId="68D701DF" w:rsidR="00FC5C48" w:rsidRPr="008B13A5" w:rsidRDefault="00FC5C48" w:rsidP="00FC5C48">
            <w:pPr>
              <w:spacing w:after="0"/>
              <w:rPr>
                <w:noProof/>
                <w:sz w:val="20"/>
              </w:rPr>
            </w:pPr>
            <w:r w:rsidRPr="008B13A5">
              <w:rPr>
                <w:noProof/>
                <w:sz w:val="20"/>
              </w:rPr>
              <w:t>SDG 9: Industry, innovation and infrastructure</w:t>
            </w:r>
          </w:p>
        </w:tc>
        <w:tc>
          <w:tcPr>
            <w:tcW w:w="4111" w:type="dxa"/>
            <w:tcBorders>
              <w:top w:val="single" w:sz="4" w:space="0" w:color="auto"/>
            </w:tcBorders>
            <w:tcMar>
              <w:top w:w="57" w:type="dxa"/>
              <w:left w:w="57" w:type="dxa"/>
              <w:bottom w:w="57" w:type="dxa"/>
              <w:right w:w="57" w:type="dxa"/>
            </w:tcMar>
          </w:tcPr>
          <w:p w14:paraId="06AB5C3A" w14:textId="22E3E526" w:rsidR="00FC5C48" w:rsidRPr="008B13A5" w:rsidRDefault="00C62BDF" w:rsidP="00BD008E">
            <w:pPr>
              <w:rPr>
                <w:noProof/>
                <w:sz w:val="20"/>
              </w:rPr>
            </w:pPr>
            <w:r w:rsidRPr="008B13A5">
              <w:rPr>
                <w:noProof/>
                <w:sz w:val="20"/>
              </w:rPr>
              <w:t>Chips Act 2.0 is expected to i</w:t>
            </w:r>
            <w:r w:rsidR="00FC5C48" w:rsidRPr="008B13A5">
              <w:rPr>
                <w:noProof/>
                <w:sz w:val="20"/>
              </w:rPr>
              <w:t>ncrease</w:t>
            </w:r>
            <w:r w:rsidR="00FC5C48" w:rsidRPr="008B13A5" w:rsidDel="00C62BDF">
              <w:rPr>
                <w:noProof/>
                <w:sz w:val="20"/>
              </w:rPr>
              <w:t xml:space="preserve"> </w:t>
            </w:r>
            <w:r w:rsidR="00FC5C48" w:rsidRPr="008B13A5">
              <w:rPr>
                <w:noProof/>
                <w:sz w:val="20"/>
              </w:rPr>
              <w:t xml:space="preserve">the number of semiconductor facilities and </w:t>
            </w:r>
            <w:r w:rsidRPr="008B13A5">
              <w:rPr>
                <w:noProof/>
                <w:sz w:val="20"/>
              </w:rPr>
              <w:t xml:space="preserve">support </w:t>
            </w:r>
            <w:r w:rsidR="003F3FBE" w:rsidRPr="008B13A5">
              <w:rPr>
                <w:noProof/>
                <w:sz w:val="20"/>
              </w:rPr>
              <w:t xml:space="preserve">the development of </w:t>
            </w:r>
            <w:r w:rsidR="00FC5C48" w:rsidRPr="008B13A5">
              <w:rPr>
                <w:noProof/>
                <w:sz w:val="20"/>
              </w:rPr>
              <w:t>next generation semiconductor technologies</w:t>
            </w:r>
            <w:r w:rsidR="00FC5C48" w:rsidRPr="008B13A5" w:rsidDel="003F3FBE">
              <w:rPr>
                <w:noProof/>
                <w:sz w:val="20"/>
              </w:rPr>
              <w:t xml:space="preserve"> </w:t>
            </w:r>
            <w:r w:rsidR="003F3FBE" w:rsidRPr="008B13A5">
              <w:rPr>
                <w:noProof/>
                <w:sz w:val="20"/>
              </w:rPr>
              <w:t xml:space="preserve">in Europe. </w:t>
            </w:r>
          </w:p>
        </w:tc>
        <w:tc>
          <w:tcPr>
            <w:tcW w:w="3714" w:type="dxa"/>
            <w:tcBorders>
              <w:top w:val="single" w:sz="4" w:space="0" w:color="auto"/>
            </w:tcBorders>
            <w:tcMar>
              <w:top w:w="57" w:type="dxa"/>
              <w:left w:w="57" w:type="dxa"/>
              <w:bottom w:w="57" w:type="dxa"/>
              <w:right w:w="57" w:type="dxa"/>
            </w:tcMar>
          </w:tcPr>
          <w:p w14:paraId="76FDCBD3" w14:textId="1B54454D" w:rsidR="00FC5C48" w:rsidRPr="008B13A5" w:rsidRDefault="00FC5C48" w:rsidP="00FC5C48">
            <w:pPr>
              <w:spacing w:after="0"/>
              <w:rPr>
                <w:noProof/>
                <w:sz w:val="20"/>
              </w:rPr>
            </w:pPr>
          </w:p>
        </w:tc>
      </w:tr>
      <w:tr w:rsidR="009409F1" w:rsidRPr="008B13A5" w14:paraId="6A7E7BEC" w14:textId="77777777" w:rsidTr="000E3086">
        <w:tc>
          <w:tcPr>
            <w:tcW w:w="2552" w:type="dxa"/>
            <w:tcBorders>
              <w:bottom w:val="double" w:sz="4" w:space="0" w:color="auto"/>
            </w:tcBorders>
          </w:tcPr>
          <w:p w14:paraId="573497C2" w14:textId="77777777" w:rsidR="009409F1" w:rsidRPr="008B13A5" w:rsidRDefault="009409F1" w:rsidP="009D4C15">
            <w:pPr>
              <w:spacing w:after="0"/>
              <w:rPr>
                <w:noProof/>
                <w:sz w:val="20"/>
              </w:rPr>
            </w:pPr>
          </w:p>
        </w:tc>
        <w:tc>
          <w:tcPr>
            <w:tcW w:w="4111" w:type="dxa"/>
            <w:tcBorders>
              <w:bottom w:val="double" w:sz="4" w:space="0" w:color="auto"/>
            </w:tcBorders>
            <w:tcMar>
              <w:top w:w="57" w:type="dxa"/>
              <w:left w:w="57" w:type="dxa"/>
              <w:bottom w:w="57" w:type="dxa"/>
              <w:right w:w="57" w:type="dxa"/>
            </w:tcMar>
          </w:tcPr>
          <w:p w14:paraId="17AED16F" w14:textId="77777777" w:rsidR="009409F1" w:rsidRPr="008B13A5" w:rsidRDefault="009409F1" w:rsidP="009D4C15">
            <w:pPr>
              <w:spacing w:after="0"/>
              <w:rPr>
                <w:noProof/>
                <w:sz w:val="20"/>
              </w:rPr>
            </w:pPr>
          </w:p>
        </w:tc>
        <w:tc>
          <w:tcPr>
            <w:tcW w:w="3714" w:type="dxa"/>
            <w:tcBorders>
              <w:bottom w:val="double" w:sz="4" w:space="0" w:color="auto"/>
            </w:tcBorders>
            <w:tcMar>
              <w:top w:w="57" w:type="dxa"/>
              <w:left w:w="57" w:type="dxa"/>
              <w:bottom w:w="57" w:type="dxa"/>
              <w:right w:w="57" w:type="dxa"/>
            </w:tcMar>
          </w:tcPr>
          <w:p w14:paraId="28A55A1B" w14:textId="77777777" w:rsidR="009409F1" w:rsidRPr="008B13A5" w:rsidRDefault="009409F1" w:rsidP="009D4C15">
            <w:pPr>
              <w:spacing w:after="0"/>
              <w:rPr>
                <w:noProof/>
                <w:sz w:val="20"/>
              </w:rPr>
            </w:pPr>
          </w:p>
        </w:tc>
      </w:tr>
    </w:tbl>
    <w:p w14:paraId="1164FCD5" w14:textId="77777777" w:rsidR="009409F1" w:rsidRPr="008B13A5" w:rsidRDefault="009409F1" w:rsidP="000E3086">
      <w:pPr>
        <w:rPr>
          <w:noProof/>
        </w:rPr>
      </w:pPr>
    </w:p>
    <w:p w14:paraId="0363FB67" w14:textId="77777777" w:rsidR="00D573F4" w:rsidRDefault="00CF5C52">
      <w:pPr>
        <w:spacing w:after="200" w:line="276" w:lineRule="auto"/>
        <w:jc w:val="left"/>
        <w:rPr>
          <w:noProof/>
        </w:rPr>
        <w:sectPr w:rsidR="00D573F4" w:rsidSect="00EC7B13">
          <w:pgSz w:w="16838" w:h="11906" w:orient="landscape"/>
          <w:pgMar w:top="1134" w:right="1134" w:bottom="1418" w:left="1418" w:header="601" w:footer="1077" w:gutter="0"/>
          <w:cols w:space="720"/>
          <w:titlePg/>
          <w:docGrid w:linePitch="326"/>
        </w:sectPr>
      </w:pPr>
      <w:r w:rsidRPr="008B13A5">
        <w:rPr>
          <w:noProof/>
        </w:rPr>
        <w:br w:type="page"/>
      </w:r>
    </w:p>
    <w:p w14:paraId="5B247505" w14:textId="77777777" w:rsidR="00CF5C52" w:rsidRPr="00D573F4" w:rsidRDefault="00CF5C52">
      <w:pPr>
        <w:spacing w:after="200" w:line="276" w:lineRule="auto"/>
        <w:jc w:val="left"/>
        <w:rPr>
          <w:rFonts w:eastAsia="Times New Roman"/>
          <w:b/>
          <w:smallCaps/>
          <w:noProof/>
          <w:sz w:val="2"/>
          <w:szCs w:val="2"/>
        </w:rPr>
      </w:pPr>
    </w:p>
    <w:p w14:paraId="52A5F6D1" w14:textId="67DB46AC" w:rsidR="006B087E" w:rsidRPr="008B13A5" w:rsidRDefault="006B087E" w:rsidP="00800662">
      <w:pPr>
        <w:pStyle w:val="AnnexTitle0"/>
        <w:rPr>
          <w:noProof/>
        </w:rPr>
      </w:pPr>
      <w:bookmarkStart w:id="105" w:name="_Toc195101110"/>
      <w:bookmarkStart w:id="106" w:name="_Toc230010403"/>
      <w:r w:rsidRPr="008B13A5">
        <w:rPr>
          <w:noProof/>
        </w:rPr>
        <w:t>Annex 4: Analytical methods</w:t>
      </w:r>
      <w:bookmarkEnd w:id="105"/>
      <w:bookmarkEnd w:id="106"/>
    </w:p>
    <w:p w14:paraId="1114C835" w14:textId="1A8F8E27" w:rsidR="00EC49AF" w:rsidRPr="008B13A5" w:rsidRDefault="00EC49AF" w:rsidP="00F47256">
      <w:pPr>
        <w:pStyle w:val="Heading1"/>
        <w:numPr>
          <w:ilvl w:val="0"/>
          <w:numId w:val="78"/>
        </w:numPr>
        <w:rPr>
          <w:noProof/>
        </w:rPr>
      </w:pPr>
      <w:bookmarkStart w:id="107" w:name="_Toc217394771"/>
      <w:bookmarkStart w:id="108" w:name="_Toc217395608"/>
      <w:bookmarkStart w:id="109" w:name="_Toc217396457"/>
      <w:bookmarkStart w:id="110" w:name="_Toc1791288591"/>
      <w:bookmarkStart w:id="111" w:name="_Toc223620618"/>
      <w:bookmarkStart w:id="112" w:name="_Toc230010404"/>
      <w:r w:rsidRPr="008B13A5">
        <w:rPr>
          <w:noProof/>
        </w:rPr>
        <w:t>Modelling economic impacts</w:t>
      </w:r>
      <w:bookmarkEnd w:id="107"/>
      <w:bookmarkEnd w:id="108"/>
      <w:bookmarkEnd w:id="109"/>
      <w:bookmarkEnd w:id="110"/>
      <w:bookmarkEnd w:id="111"/>
      <w:bookmarkEnd w:id="112"/>
    </w:p>
    <w:p w14:paraId="655141F0" w14:textId="4AACDA0D" w:rsidR="00EC49AF" w:rsidRPr="008B13A5" w:rsidRDefault="00EC49AF" w:rsidP="009712FE">
      <w:pPr>
        <w:pStyle w:val="Heading2"/>
        <w:rPr>
          <w:noProof/>
        </w:rPr>
      </w:pPr>
      <w:bookmarkStart w:id="113" w:name="_Toc217394772"/>
      <w:bookmarkStart w:id="114" w:name="_Toc217395609"/>
      <w:bookmarkStart w:id="115" w:name="_Toc217396458"/>
      <w:bookmarkStart w:id="116" w:name="_Toc20213064"/>
      <w:bookmarkStart w:id="117" w:name="_Toc223620619"/>
      <w:bookmarkStart w:id="118" w:name="_Toc230010405"/>
      <w:r w:rsidRPr="008B13A5">
        <w:rPr>
          <w:noProof/>
        </w:rPr>
        <w:t>EU semiconductor market size estimation</w:t>
      </w:r>
      <w:bookmarkEnd w:id="113"/>
      <w:bookmarkEnd w:id="114"/>
      <w:bookmarkEnd w:id="115"/>
      <w:bookmarkEnd w:id="116"/>
      <w:bookmarkEnd w:id="117"/>
      <w:bookmarkEnd w:id="118"/>
    </w:p>
    <w:p w14:paraId="795B863A" w14:textId="091849A9" w:rsidR="00EC49AF" w:rsidRPr="008B13A5" w:rsidRDefault="00EC49AF" w:rsidP="009712FE">
      <w:pPr>
        <w:pStyle w:val="Heading3"/>
        <w:rPr>
          <w:noProof/>
        </w:rPr>
      </w:pPr>
      <w:bookmarkStart w:id="119" w:name="_Toc217395610"/>
      <w:bookmarkStart w:id="120" w:name="_Toc217396459"/>
      <w:bookmarkStart w:id="121" w:name="_Toc1871034005"/>
      <w:bookmarkStart w:id="122" w:name="_Toc223620620"/>
      <w:bookmarkStart w:id="123" w:name="_Toc230010406"/>
      <w:r w:rsidRPr="008B13A5">
        <w:rPr>
          <w:noProof/>
        </w:rPr>
        <w:t>Establishing a starting point for BAU scenario</w:t>
      </w:r>
      <w:bookmarkEnd w:id="119"/>
      <w:bookmarkEnd w:id="120"/>
      <w:bookmarkEnd w:id="121"/>
      <w:bookmarkEnd w:id="122"/>
      <w:bookmarkEnd w:id="123"/>
    </w:p>
    <w:p w14:paraId="47394A71" w14:textId="2C67DE82" w:rsidR="00EC49AF" w:rsidRPr="008B13A5" w:rsidRDefault="00EC49AF" w:rsidP="00EC49AF">
      <w:pPr>
        <w:rPr>
          <w:noProof/>
        </w:rPr>
      </w:pPr>
      <w:r w:rsidRPr="008B13A5">
        <w:rPr>
          <w:noProof/>
        </w:rPr>
        <w:t xml:space="preserve">This section establishes the baseline for the market size of Europe’s semiconductor industry by quantifying the total </w:t>
      </w:r>
      <w:r w:rsidRPr="008B13A5">
        <w:rPr>
          <w:b/>
          <w:noProof/>
        </w:rPr>
        <w:t>revenue generated</w:t>
      </w:r>
      <w:r w:rsidRPr="008B13A5">
        <w:rPr>
          <w:noProof/>
        </w:rPr>
        <w:t xml:space="preserve"> by firms headquartered </w:t>
      </w:r>
      <w:r w:rsidRPr="008B13A5">
        <w:rPr>
          <w:b/>
          <w:noProof/>
        </w:rPr>
        <w:t>within the EU27 in 2023</w:t>
      </w:r>
      <w:r w:rsidRPr="008B13A5">
        <w:rPr>
          <w:noProof/>
        </w:rPr>
        <w:t xml:space="preserve">. The analysis draws on the IDC 2030 Semiconductor Market and Global Value Chain Study, which provides harmonised data across the principal value chain segments and global regions. In this section we focus only on devices, for overall value chain analysis refer to </w:t>
      </w:r>
      <w:r w:rsidR="00F46189" w:rsidRPr="008B13A5">
        <w:rPr>
          <w:noProof/>
        </w:rPr>
        <w:t xml:space="preserve">the </w:t>
      </w:r>
      <w:r w:rsidRPr="008B13A5">
        <w:rPr>
          <w:noProof/>
        </w:rPr>
        <w:t>sections below.</w:t>
      </w:r>
    </w:p>
    <w:p w14:paraId="7BE9B620" w14:textId="6D5AB43E" w:rsidR="00EC49AF" w:rsidRPr="008B13A5" w:rsidRDefault="00EC49AF" w:rsidP="00EC49AF">
      <w:pPr>
        <w:rPr>
          <w:noProof/>
        </w:rPr>
      </w:pPr>
      <w:r w:rsidRPr="008B13A5">
        <w:rPr>
          <w:noProof/>
        </w:rPr>
        <w:t xml:space="preserve">The IDC dataset reports industry revenues at market (transaction) prices. Consequently, the figures represent the economic activity of semiconductor firms based in the EU27. Within this device-focused perspective (chip-level), </w:t>
      </w:r>
      <w:r w:rsidRPr="008B13A5">
        <w:rPr>
          <w:b/>
          <w:noProof/>
        </w:rPr>
        <w:t>Europe generated EUR 50.52 billion in semiconductor device revenues in 2023</w:t>
      </w:r>
      <w:r w:rsidRPr="008B13A5">
        <w:rPr>
          <w:noProof/>
        </w:rPr>
        <w:t>. This mostly reflects the activity of Europe’s major integrated device manufacturers (IDMs), including Infineon, NXP and STMicroelectronics, whose portfolios span automotive, industrial, power and application-specific devices.</w:t>
      </w:r>
    </w:p>
    <w:p w14:paraId="4FFCEB1A" w14:textId="1BDAB587" w:rsidR="00EC49AF" w:rsidRPr="008B13A5" w:rsidRDefault="00EC49AF" w:rsidP="00EC49AF">
      <w:pPr>
        <w:rPr>
          <w:noProof/>
        </w:rPr>
      </w:pPr>
      <w:r w:rsidRPr="008B13A5">
        <w:rPr>
          <w:noProof/>
        </w:rPr>
        <w:t xml:space="preserve">To provide further granularity, Table </w:t>
      </w:r>
      <w:r w:rsidR="00494805">
        <w:rPr>
          <w:noProof/>
        </w:rPr>
        <w:t>1</w:t>
      </w:r>
      <w:r w:rsidRPr="008B13A5">
        <w:rPr>
          <w:noProof/>
        </w:rPr>
        <w:t xml:space="preserve"> presents the device-level composition of semiconductor revenues in the EU27 in 2023. This breakdown will serve as the basis for modelling differential growth dynamics, as each device type follows a distinct global demand and pricing trajectory.</w:t>
      </w:r>
    </w:p>
    <w:p w14:paraId="34D4197D" w14:textId="3072C3E7" w:rsidR="00EC49AF" w:rsidRPr="008B13A5" w:rsidRDefault="00EC49AF" w:rsidP="00EC49AF">
      <w:pPr>
        <w:rPr>
          <w:b/>
          <w:bCs/>
          <w:noProof/>
        </w:rPr>
      </w:pPr>
      <w:bookmarkStart w:id="124" w:name="_Ref213680394"/>
      <w:r w:rsidRPr="008B13A5">
        <w:rPr>
          <w:b/>
          <w:bCs/>
          <w:noProof/>
          <w:szCs w:val="22"/>
        </w:rPr>
        <w:t xml:space="preserve">Table </w:t>
      </w:r>
      <w:bookmarkEnd w:id="124"/>
      <w:r w:rsidR="00494805">
        <w:rPr>
          <w:b/>
          <w:bCs/>
          <w:noProof/>
          <w:szCs w:val="22"/>
        </w:rPr>
        <w:t>1</w:t>
      </w:r>
      <w:r w:rsidRPr="008B13A5">
        <w:rPr>
          <w:b/>
          <w:bCs/>
          <w:noProof/>
          <w:szCs w:val="22"/>
        </w:rPr>
        <w:t>. EU27 semiconductor revenue by device category, 2023 (EUR million and % share).</w:t>
      </w:r>
      <w:r w:rsidRPr="008B13A5">
        <w:rPr>
          <w:b/>
          <w:bCs/>
          <w:i/>
          <w:iCs/>
          <w:noProof/>
          <w:szCs w:val="22"/>
        </w:rPr>
        <w:t xml:space="preserve"> </w:t>
      </w:r>
      <w:r w:rsidRPr="008B13A5">
        <w:rPr>
          <w:i/>
          <w:iCs/>
          <w:noProof/>
        </w:rPr>
        <w:t>Source: IDC 2030 study reporting</w:t>
      </w:r>
      <w:r w:rsidRPr="008B13A5">
        <w:rPr>
          <w:noProof/>
        </w:rPr>
        <w:t xml:space="preserve">. </w:t>
      </w:r>
    </w:p>
    <w:tbl>
      <w:tblPr>
        <w:tblStyle w:val="TableGrid"/>
        <w:tblW w:w="0" w:type="auto"/>
        <w:tblLook w:val="04A0" w:firstRow="1" w:lastRow="0" w:firstColumn="1" w:lastColumn="0" w:noHBand="0" w:noVBand="1"/>
      </w:tblPr>
      <w:tblGrid>
        <w:gridCol w:w="3120"/>
        <w:gridCol w:w="3222"/>
        <w:gridCol w:w="3228"/>
      </w:tblGrid>
      <w:tr w:rsidR="00EC49AF" w:rsidRPr="008B13A5" w14:paraId="371A8FAE" w14:textId="77777777">
        <w:tc>
          <w:tcPr>
            <w:tcW w:w="0" w:type="auto"/>
          </w:tcPr>
          <w:p w14:paraId="47E2B078" w14:textId="060BEA06" w:rsidR="00EC49AF" w:rsidRPr="008B13A5" w:rsidRDefault="00EC49AF">
            <w:pPr>
              <w:spacing w:after="0"/>
              <w:jc w:val="center"/>
              <w:rPr>
                <w:b/>
                <w:bCs/>
                <w:noProof/>
              </w:rPr>
            </w:pPr>
            <w:r w:rsidRPr="008B13A5">
              <w:rPr>
                <w:b/>
                <w:bCs/>
                <w:noProof/>
              </w:rPr>
              <w:t>Device category</w:t>
            </w:r>
          </w:p>
        </w:tc>
        <w:tc>
          <w:tcPr>
            <w:tcW w:w="3222" w:type="dxa"/>
          </w:tcPr>
          <w:p w14:paraId="5E98C030" w14:textId="3C6F981C" w:rsidR="00EC49AF" w:rsidRPr="008B13A5" w:rsidRDefault="00EC49AF">
            <w:pPr>
              <w:spacing w:after="0"/>
              <w:jc w:val="center"/>
              <w:rPr>
                <w:b/>
                <w:bCs/>
                <w:noProof/>
              </w:rPr>
            </w:pPr>
            <w:r w:rsidRPr="008B13A5">
              <w:rPr>
                <w:b/>
                <w:bCs/>
                <w:noProof/>
              </w:rPr>
              <w:t>2023 revenue (EUR million)</w:t>
            </w:r>
          </w:p>
        </w:tc>
        <w:tc>
          <w:tcPr>
            <w:tcW w:w="3228" w:type="dxa"/>
          </w:tcPr>
          <w:p w14:paraId="2511CE0D" w14:textId="1141F8E0" w:rsidR="00EC49AF" w:rsidRPr="008B13A5" w:rsidRDefault="00EC49AF">
            <w:pPr>
              <w:spacing w:after="0"/>
              <w:jc w:val="center"/>
              <w:rPr>
                <w:b/>
                <w:bCs/>
                <w:noProof/>
              </w:rPr>
            </w:pPr>
            <w:r w:rsidRPr="008B13A5">
              <w:rPr>
                <w:b/>
                <w:bCs/>
                <w:noProof/>
              </w:rPr>
              <w:t>Share of total EU semiconductor revenue (%)</w:t>
            </w:r>
            <w:r w:rsidR="00F274DD" w:rsidRPr="008B13A5">
              <w:rPr>
                <w:b/>
                <w:bCs/>
                <w:noProof/>
              </w:rPr>
              <w:t xml:space="preserve"> </w:t>
            </w:r>
            <w:r w:rsidRPr="008B13A5">
              <w:rPr>
                <w:b/>
                <w:bCs/>
                <w:noProof/>
              </w:rPr>
              <w:t>(</w:t>
            </w:r>
            <w:r w:rsidRPr="008B13A5">
              <w:rPr>
                <w:rStyle w:val="FootnoteReference"/>
                <w:b/>
                <w:bCs/>
                <w:noProof/>
              </w:rPr>
              <w:footnoteReference w:id="17"/>
            </w:r>
            <w:r w:rsidRPr="008B13A5">
              <w:rPr>
                <w:b/>
                <w:bCs/>
                <w:noProof/>
              </w:rPr>
              <w:t>)</w:t>
            </w:r>
          </w:p>
        </w:tc>
      </w:tr>
      <w:tr w:rsidR="00EC49AF" w:rsidRPr="008B13A5" w14:paraId="6826F545" w14:textId="77777777">
        <w:tc>
          <w:tcPr>
            <w:tcW w:w="0" w:type="auto"/>
          </w:tcPr>
          <w:p w14:paraId="1106E094" w14:textId="68D3EB57" w:rsidR="00EC49AF" w:rsidRPr="008B13A5" w:rsidRDefault="00EC49AF">
            <w:pPr>
              <w:spacing w:after="0"/>
              <w:jc w:val="center"/>
              <w:rPr>
                <w:noProof/>
              </w:rPr>
            </w:pPr>
            <w:r w:rsidRPr="008B13A5">
              <w:rPr>
                <w:noProof/>
              </w:rPr>
              <w:t>Application-specific (ASIC, ASSP, etc.)</w:t>
            </w:r>
          </w:p>
        </w:tc>
        <w:tc>
          <w:tcPr>
            <w:tcW w:w="3222" w:type="dxa"/>
          </w:tcPr>
          <w:p w14:paraId="4FE2437D" w14:textId="63A3DAE0" w:rsidR="00EC49AF" w:rsidRPr="008B13A5" w:rsidRDefault="00EC49AF">
            <w:pPr>
              <w:spacing w:after="0"/>
              <w:jc w:val="center"/>
              <w:rPr>
                <w:noProof/>
              </w:rPr>
            </w:pPr>
            <w:r w:rsidRPr="008B13A5">
              <w:rPr>
                <w:noProof/>
              </w:rPr>
              <w:t>14 871</w:t>
            </w:r>
          </w:p>
        </w:tc>
        <w:tc>
          <w:tcPr>
            <w:tcW w:w="3228" w:type="dxa"/>
          </w:tcPr>
          <w:p w14:paraId="3643F551" w14:textId="77777777" w:rsidR="00EC49AF" w:rsidRPr="008B13A5" w:rsidRDefault="00EC49AF">
            <w:pPr>
              <w:spacing w:after="0"/>
              <w:jc w:val="center"/>
              <w:rPr>
                <w:noProof/>
              </w:rPr>
            </w:pPr>
            <w:r w:rsidRPr="008B13A5">
              <w:rPr>
                <w:noProof/>
              </w:rPr>
              <w:t>29.4</w:t>
            </w:r>
          </w:p>
        </w:tc>
      </w:tr>
      <w:tr w:rsidR="00EC49AF" w:rsidRPr="008B13A5" w14:paraId="07924BF0" w14:textId="77777777">
        <w:tc>
          <w:tcPr>
            <w:tcW w:w="0" w:type="auto"/>
          </w:tcPr>
          <w:p w14:paraId="399C57E5" w14:textId="0CBF3B12" w:rsidR="00EC49AF" w:rsidRPr="00BD008E" w:rsidRDefault="00EC49AF">
            <w:pPr>
              <w:spacing w:after="0"/>
              <w:jc w:val="center"/>
              <w:rPr>
                <w:noProof/>
                <w:lang w:val="fr-BE"/>
              </w:rPr>
            </w:pPr>
            <w:r w:rsidRPr="00BD008E">
              <w:rPr>
                <w:noProof/>
                <w:lang w:val="fr-BE"/>
              </w:rPr>
              <w:t>Micro-components (MCUs, MPUs, DSPs)</w:t>
            </w:r>
          </w:p>
        </w:tc>
        <w:tc>
          <w:tcPr>
            <w:tcW w:w="3222" w:type="dxa"/>
          </w:tcPr>
          <w:p w14:paraId="3DE4C163" w14:textId="6E66CD28" w:rsidR="00EC49AF" w:rsidRPr="008B13A5" w:rsidRDefault="00EC49AF">
            <w:pPr>
              <w:spacing w:after="0"/>
              <w:jc w:val="center"/>
              <w:rPr>
                <w:noProof/>
              </w:rPr>
            </w:pPr>
            <w:r w:rsidRPr="008B13A5">
              <w:rPr>
                <w:noProof/>
              </w:rPr>
              <w:t>12 691</w:t>
            </w:r>
          </w:p>
        </w:tc>
        <w:tc>
          <w:tcPr>
            <w:tcW w:w="3228" w:type="dxa"/>
          </w:tcPr>
          <w:p w14:paraId="0BDBBA9A" w14:textId="77777777" w:rsidR="00EC49AF" w:rsidRPr="008B13A5" w:rsidRDefault="00EC49AF">
            <w:pPr>
              <w:spacing w:after="0"/>
              <w:jc w:val="center"/>
              <w:rPr>
                <w:noProof/>
              </w:rPr>
            </w:pPr>
            <w:r w:rsidRPr="008B13A5">
              <w:rPr>
                <w:noProof/>
              </w:rPr>
              <w:t>25.1</w:t>
            </w:r>
          </w:p>
        </w:tc>
      </w:tr>
      <w:tr w:rsidR="00EC49AF" w:rsidRPr="008B13A5" w14:paraId="0B325574" w14:textId="77777777">
        <w:tc>
          <w:tcPr>
            <w:tcW w:w="0" w:type="auto"/>
          </w:tcPr>
          <w:p w14:paraId="1277ED30" w14:textId="04F44C39" w:rsidR="00EC49AF" w:rsidRPr="008B13A5" w:rsidRDefault="00EC49AF">
            <w:pPr>
              <w:spacing w:after="0"/>
              <w:jc w:val="center"/>
              <w:rPr>
                <w:noProof/>
              </w:rPr>
            </w:pPr>
            <w:r w:rsidRPr="008B13A5">
              <w:rPr>
                <w:noProof/>
              </w:rPr>
              <w:t>Discretes, sensors, actuators</w:t>
            </w:r>
          </w:p>
        </w:tc>
        <w:tc>
          <w:tcPr>
            <w:tcW w:w="3222" w:type="dxa"/>
          </w:tcPr>
          <w:p w14:paraId="1DD30A5B" w14:textId="0B2AA2ED" w:rsidR="00EC49AF" w:rsidRPr="008B13A5" w:rsidRDefault="00EC49AF">
            <w:pPr>
              <w:spacing w:after="0"/>
              <w:jc w:val="center"/>
              <w:rPr>
                <w:noProof/>
              </w:rPr>
            </w:pPr>
            <w:r w:rsidRPr="008B13A5">
              <w:rPr>
                <w:noProof/>
              </w:rPr>
              <w:t>12 239</w:t>
            </w:r>
          </w:p>
        </w:tc>
        <w:tc>
          <w:tcPr>
            <w:tcW w:w="3228" w:type="dxa"/>
          </w:tcPr>
          <w:p w14:paraId="4440F636" w14:textId="77777777" w:rsidR="00EC49AF" w:rsidRPr="008B13A5" w:rsidRDefault="00EC49AF">
            <w:pPr>
              <w:spacing w:after="0"/>
              <w:jc w:val="center"/>
              <w:rPr>
                <w:noProof/>
              </w:rPr>
            </w:pPr>
            <w:r w:rsidRPr="008B13A5">
              <w:rPr>
                <w:noProof/>
              </w:rPr>
              <w:t>24.2</w:t>
            </w:r>
          </w:p>
        </w:tc>
      </w:tr>
      <w:tr w:rsidR="00EC49AF" w:rsidRPr="008B13A5" w14:paraId="35C28DBD" w14:textId="77777777">
        <w:tc>
          <w:tcPr>
            <w:tcW w:w="0" w:type="auto"/>
          </w:tcPr>
          <w:p w14:paraId="250502D5" w14:textId="77777777" w:rsidR="00EC49AF" w:rsidRPr="008B13A5" w:rsidRDefault="00EC49AF">
            <w:pPr>
              <w:spacing w:after="0"/>
              <w:jc w:val="center"/>
              <w:rPr>
                <w:noProof/>
              </w:rPr>
            </w:pPr>
            <w:r w:rsidRPr="008B13A5">
              <w:rPr>
                <w:noProof/>
              </w:rPr>
              <w:t>Analogue</w:t>
            </w:r>
          </w:p>
        </w:tc>
        <w:tc>
          <w:tcPr>
            <w:tcW w:w="3222" w:type="dxa"/>
          </w:tcPr>
          <w:p w14:paraId="4C4A67FD" w14:textId="3E6E56E3" w:rsidR="00EC49AF" w:rsidRPr="008B13A5" w:rsidRDefault="00EC49AF">
            <w:pPr>
              <w:spacing w:after="0"/>
              <w:jc w:val="center"/>
              <w:rPr>
                <w:noProof/>
              </w:rPr>
            </w:pPr>
            <w:r w:rsidRPr="008B13A5">
              <w:rPr>
                <w:noProof/>
              </w:rPr>
              <w:t>6 441</w:t>
            </w:r>
          </w:p>
        </w:tc>
        <w:tc>
          <w:tcPr>
            <w:tcW w:w="3228" w:type="dxa"/>
          </w:tcPr>
          <w:p w14:paraId="5D84411B" w14:textId="77777777" w:rsidR="00EC49AF" w:rsidRPr="008B13A5" w:rsidRDefault="00EC49AF">
            <w:pPr>
              <w:spacing w:after="0"/>
              <w:jc w:val="center"/>
              <w:rPr>
                <w:noProof/>
              </w:rPr>
            </w:pPr>
            <w:r w:rsidRPr="008B13A5">
              <w:rPr>
                <w:noProof/>
              </w:rPr>
              <w:t>12.7</w:t>
            </w:r>
          </w:p>
        </w:tc>
      </w:tr>
      <w:tr w:rsidR="00EC49AF" w:rsidRPr="008B13A5" w14:paraId="536E44D5" w14:textId="77777777">
        <w:tc>
          <w:tcPr>
            <w:tcW w:w="0" w:type="auto"/>
          </w:tcPr>
          <w:p w14:paraId="03C458D7" w14:textId="77777777" w:rsidR="00EC49AF" w:rsidRPr="008B13A5" w:rsidRDefault="00EC49AF">
            <w:pPr>
              <w:spacing w:after="0"/>
              <w:jc w:val="center"/>
              <w:rPr>
                <w:noProof/>
              </w:rPr>
            </w:pPr>
            <w:r w:rsidRPr="008B13A5">
              <w:rPr>
                <w:noProof/>
              </w:rPr>
              <w:t>Optoelectronics</w:t>
            </w:r>
          </w:p>
        </w:tc>
        <w:tc>
          <w:tcPr>
            <w:tcW w:w="3222" w:type="dxa"/>
          </w:tcPr>
          <w:p w14:paraId="1E90E708" w14:textId="13EDB11D" w:rsidR="00EC49AF" w:rsidRPr="008B13A5" w:rsidRDefault="00EC49AF">
            <w:pPr>
              <w:spacing w:after="0"/>
              <w:jc w:val="center"/>
              <w:rPr>
                <w:noProof/>
              </w:rPr>
            </w:pPr>
            <w:r w:rsidRPr="008B13A5">
              <w:rPr>
                <w:noProof/>
              </w:rPr>
              <w:t>2 611</w:t>
            </w:r>
          </w:p>
        </w:tc>
        <w:tc>
          <w:tcPr>
            <w:tcW w:w="3228" w:type="dxa"/>
          </w:tcPr>
          <w:p w14:paraId="37FBD6DA" w14:textId="77777777" w:rsidR="00EC49AF" w:rsidRPr="008B13A5" w:rsidRDefault="00EC49AF">
            <w:pPr>
              <w:spacing w:after="0"/>
              <w:jc w:val="center"/>
              <w:rPr>
                <w:noProof/>
              </w:rPr>
            </w:pPr>
            <w:r w:rsidRPr="008B13A5">
              <w:rPr>
                <w:noProof/>
              </w:rPr>
              <w:t>5.2</w:t>
            </w:r>
          </w:p>
        </w:tc>
      </w:tr>
      <w:tr w:rsidR="00EC49AF" w:rsidRPr="008B13A5" w14:paraId="7705D8E6" w14:textId="77777777">
        <w:tc>
          <w:tcPr>
            <w:tcW w:w="0" w:type="auto"/>
          </w:tcPr>
          <w:p w14:paraId="48537ED6" w14:textId="77777777" w:rsidR="00EC49AF" w:rsidRPr="008B13A5" w:rsidRDefault="00EC49AF">
            <w:pPr>
              <w:spacing w:after="0"/>
              <w:jc w:val="center"/>
              <w:rPr>
                <w:noProof/>
              </w:rPr>
            </w:pPr>
            <w:r w:rsidRPr="008B13A5">
              <w:rPr>
                <w:noProof/>
              </w:rPr>
              <w:t>Memory</w:t>
            </w:r>
          </w:p>
        </w:tc>
        <w:tc>
          <w:tcPr>
            <w:tcW w:w="3222" w:type="dxa"/>
          </w:tcPr>
          <w:p w14:paraId="4635C151" w14:textId="2B953442" w:rsidR="00EC49AF" w:rsidRPr="008B13A5" w:rsidRDefault="00EC49AF">
            <w:pPr>
              <w:spacing w:after="0"/>
              <w:jc w:val="center"/>
              <w:rPr>
                <w:noProof/>
              </w:rPr>
            </w:pPr>
            <w:r w:rsidRPr="008B13A5">
              <w:rPr>
                <w:noProof/>
              </w:rPr>
              <w:t>1 460</w:t>
            </w:r>
          </w:p>
        </w:tc>
        <w:tc>
          <w:tcPr>
            <w:tcW w:w="3228" w:type="dxa"/>
          </w:tcPr>
          <w:p w14:paraId="174617A5" w14:textId="77777777" w:rsidR="00EC49AF" w:rsidRPr="008B13A5" w:rsidRDefault="00EC49AF">
            <w:pPr>
              <w:spacing w:after="0"/>
              <w:jc w:val="center"/>
              <w:rPr>
                <w:noProof/>
              </w:rPr>
            </w:pPr>
            <w:r w:rsidRPr="008B13A5">
              <w:rPr>
                <w:noProof/>
              </w:rPr>
              <w:t>2.9</w:t>
            </w:r>
          </w:p>
        </w:tc>
      </w:tr>
      <w:tr w:rsidR="00EC49AF" w:rsidRPr="008B13A5" w14:paraId="7955E429" w14:textId="77777777">
        <w:tc>
          <w:tcPr>
            <w:tcW w:w="0" w:type="auto"/>
          </w:tcPr>
          <w:p w14:paraId="365EE618" w14:textId="77777777" w:rsidR="00EC49AF" w:rsidRPr="008B13A5" w:rsidRDefault="00EC49AF">
            <w:pPr>
              <w:spacing w:after="0"/>
              <w:jc w:val="center"/>
              <w:rPr>
                <w:noProof/>
              </w:rPr>
            </w:pPr>
            <w:r w:rsidRPr="008B13A5">
              <w:rPr>
                <w:noProof/>
              </w:rPr>
              <w:t>Logic</w:t>
            </w:r>
          </w:p>
        </w:tc>
        <w:tc>
          <w:tcPr>
            <w:tcW w:w="3222" w:type="dxa"/>
          </w:tcPr>
          <w:p w14:paraId="71ADE7FB" w14:textId="77777777" w:rsidR="00EC49AF" w:rsidRPr="008B13A5" w:rsidRDefault="00EC49AF">
            <w:pPr>
              <w:spacing w:after="0"/>
              <w:jc w:val="center"/>
              <w:rPr>
                <w:noProof/>
              </w:rPr>
            </w:pPr>
            <w:r w:rsidRPr="008B13A5">
              <w:rPr>
                <w:noProof/>
              </w:rPr>
              <w:t>204</w:t>
            </w:r>
          </w:p>
        </w:tc>
        <w:tc>
          <w:tcPr>
            <w:tcW w:w="3228" w:type="dxa"/>
          </w:tcPr>
          <w:p w14:paraId="37A96A0A" w14:textId="77777777" w:rsidR="00EC49AF" w:rsidRPr="008B13A5" w:rsidRDefault="00EC49AF">
            <w:pPr>
              <w:spacing w:after="0"/>
              <w:jc w:val="center"/>
              <w:rPr>
                <w:noProof/>
              </w:rPr>
            </w:pPr>
            <w:r w:rsidRPr="008B13A5">
              <w:rPr>
                <w:noProof/>
              </w:rPr>
              <w:t>0.4</w:t>
            </w:r>
          </w:p>
        </w:tc>
      </w:tr>
      <w:tr w:rsidR="00EC49AF" w:rsidRPr="008B13A5" w14:paraId="1BCB75F1" w14:textId="77777777">
        <w:tc>
          <w:tcPr>
            <w:tcW w:w="0" w:type="auto"/>
          </w:tcPr>
          <w:p w14:paraId="6F1EF3A0" w14:textId="77777777" w:rsidR="00EC49AF" w:rsidRPr="008B13A5" w:rsidRDefault="00EC49AF">
            <w:pPr>
              <w:spacing w:after="0"/>
              <w:jc w:val="center"/>
              <w:rPr>
                <w:noProof/>
              </w:rPr>
            </w:pPr>
            <w:r w:rsidRPr="008B13A5">
              <w:rPr>
                <w:b/>
                <w:bCs/>
                <w:noProof/>
              </w:rPr>
              <w:t>Total</w:t>
            </w:r>
          </w:p>
        </w:tc>
        <w:tc>
          <w:tcPr>
            <w:tcW w:w="3222" w:type="dxa"/>
          </w:tcPr>
          <w:p w14:paraId="11752F59" w14:textId="7D152B75" w:rsidR="00EC49AF" w:rsidRPr="008B13A5" w:rsidRDefault="00EC49AF">
            <w:pPr>
              <w:spacing w:after="0"/>
              <w:jc w:val="center"/>
              <w:rPr>
                <w:noProof/>
              </w:rPr>
            </w:pPr>
            <w:r w:rsidRPr="008B13A5">
              <w:rPr>
                <w:b/>
                <w:bCs/>
                <w:noProof/>
              </w:rPr>
              <w:t>50 518</w:t>
            </w:r>
          </w:p>
        </w:tc>
        <w:tc>
          <w:tcPr>
            <w:tcW w:w="3228" w:type="dxa"/>
          </w:tcPr>
          <w:p w14:paraId="57A6244D" w14:textId="77777777" w:rsidR="00EC49AF" w:rsidRPr="008B13A5" w:rsidRDefault="00EC49AF">
            <w:pPr>
              <w:spacing w:after="0"/>
              <w:jc w:val="center"/>
              <w:rPr>
                <w:noProof/>
              </w:rPr>
            </w:pPr>
            <w:r w:rsidRPr="008B13A5">
              <w:rPr>
                <w:b/>
                <w:bCs/>
                <w:noProof/>
              </w:rPr>
              <w:t>100.0</w:t>
            </w:r>
          </w:p>
        </w:tc>
      </w:tr>
    </w:tbl>
    <w:p w14:paraId="67785B77" w14:textId="7978F381" w:rsidR="00EC49AF" w:rsidRPr="008B13A5" w:rsidRDefault="00EC49AF" w:rsidP="00EC49AF">
      <w:pPr>
        <w:rPr>
          <w:noProof/>
        </w:rPr>
      </w:pPr>
      <w:r w:rsidRPr="008B13A5">
        <w:rPr>
          <w:noProof/>
        </w:rPr>
        <w:t xml:space="preserve">The device-level composition confirms that Europe’s semiconductor industry is dominated by mainstream semiconductors, i.e. in the application-specific devices, micro component, and analogue market segments. Together these 3 categories account for nearly 80% of total semiconductor manufacturing revenue in Europe. These areas align closely with Europe’s comparative advantages in automotive, industrial, and power electronics. </w:t>
      </w:r>
      <w:r w:rsidRPr="008B13A5">
        <w:rPr>
          <w:b/>
          <w:noProof/>
        </w:rPr>
        <w:t>Memory and logic represent marginal shares (below 4% combined)</w:t>
      </w:r>
      <w:r w:rsidRPr="008B13A5">
        <w:rPr>
          <w:noProof/>
        </w:rPr>
        <w:t xml:space="preserve">, whereas </w:t>
      </w:r>
      <w:r w:rsidR="0086576D" w:rsidRPr="008B13A5">
        <w:rPr>
          <w:noProof/>
        </w:rPr>
        <w:t xml:space="preserve">globally </w:t>
      </w:r>
      <w:r w:rsidRPr="008B13A5">
        <w:rPr>
          <w:noProof/>
        </w:rPr>
        <w:t>these two market segments represent the bulk of revenue growth in the coming decade, driven by artificial intelligence.</w:t>
      </w:r>
    </w:p>
    <w:p w14:paraId="0F59D7EC" w14:textId="02E54CB9" w:rsidR="00EC49AF" w:rsidRPr="008B13A5" w:rsidRDefault="00EC49AF" w:rsidP="009712FE">
      <w:pPr>
        <w:spacing w:after="0"/>
        <w:rPr>
          <w:noProof/>
        </w:rPr>
      </w:pPr>
      <w:r w:rsidRPr="008B13A5">
        <w:rPr>
          <w:noProof/>
        </w:rPr>
        <w:t>This product structure is critical for later-stage modelling, as different device types exhibit distinct price elasticity, innovation cycles, and capital intensity. For instance:</w:t>
      </w:r>
    </w:p>
    <w:p w14:paraId="04BD3D99" w14:textId="2D7464E1" w:rsidR="00EC49AF" w:rsidRPr="008B13A5" w:rsidRDefault="00EC49AF" w:rsidP="00F47256">
      <w:pPr>
        <w:pStyle w:val="ListParagraph"/>
        <w:numPr>
          <w:ilvl w:val="0"/>
          <w:numId w:val="79"/>
        </w:numPr>
        <w:spacing w:after="120"/>
        <w:rPr>
          <w:noProof/>
        </w:rPr>
      </w:pPr>
      <w:r w:rsidRPr="008B13A5">
        <w:rPr>
          <w:noProof/>
        </w:rPr>
        <w:t>Analogue and power devices have stable long-run demand linked to electrification and automotive transition, but lower revenue growth per wafer.</w:t>
      </w:r>
    </w:p>
    <w:p w14:paraId="6AF0C748" w14:textId="3E9A9342" w:rsidR="00EC49AF" w:rsidRPr="008B13A5" w:rsidRDefault="00EC49AF" w:rsidP="00F47256">
      <w:pPr>
        <w:pStyle w:val="ListParagraph"/>
        <w:numPr>
          <w:ilvl w:val="0"/>
          <w:numId w:val="79"/>
        </w:numPr>
        <w:spacing w:after="120"/>
        <w:rPr>
          <w:noProof/>
        </w:rPr>
      </w:pPr>
      <w:r w:rsidRPr="008B13A5">
        <w:rPr>
          <w:noProof/>
        </w:rPr>
        <w:t>Micro-components and application-specific devices capture system-level integration gains and drive mid-range revenue growth.</w:t>
      </w:r>
    </w:p>
    <w:p w14:paraId="321A17E8" w14:textId="6D7D03C8" w:rsidR="00EC49AF" w:rsidRPr="008B13A5" w:rsidRDefault="00EC49AF" w:rsidP="00F47256">
      <w:pPr>
        <w:pStyle w:val="ListParagraph"/>
        <w:numPr>
          <w:ilvl w:val="0"/>
          <w:numId w:val="79"/>
        </w:numPr>
        <w:spacing w:after="120"/>
        <w:rPr>
          <w:noProof/>
        </w:rPr>
      </w:pPr>
      <w:r w:rsidRPr="008B13A5">
        <w:rPr>
          <w:noProof/>
        </w:rPr>
        <w:t>Logic and memory, while minor in EU output, tend to experience high global price volatility and cyclical dynamics that are more visible in the more mature and commoditised segments, particularly older-generation logic and memory.</w:t>
      </w:r>
    </w:p>
    <w:p w14:paraId="2A65564F" w14:textId="77777777" w:rsidR="009712FE" w:rsidRPr="008B13A5" w:rsidRDefault="009712FE" w:rsidP="009712FE">
      <w:pPr>
        <w:pStyle w:val="ListParagraph"/>
        <w:spacing w:after="120"/>
        <w:ind w:left="1080"/>
        <w:rPr>
          <w:noProof/>
        </w:rPr>
      </w:pPr>
    </w:p>
    <w:p w14:paraId="2E13F7C6" w14:textId="25F25053" w:rsidR="00EC49AF" w:rsidRPr="008B13A5" w:rsidRDefault="00EC49AF" w:rsidP="009712FE">
      <w:pPr>
        <w:pStyle w:val="Heading3"/>
        <w:rPr>
          <w:noProof/>
        </w:rPr>
      </w:pPr>
      <w:bookmarkStart w:id="125" w:name="_Toc217395611"/>
      <w:bookmarkStart w:id="126" w:name="_Toc217396460"/>
      <w:bookmarkStart w:id="127" w:name="_Toc1545370913"/>
      <w:bookmarkStart w:id="128" w:name="_Toc223620621"/>
      <w:bookmarkStart w:id="129" w:name="_Toc230010407"/>
      <w:r w:rsidRPr="008B13A5">
        <w:rPr>
          <w:noProof/>
        </w:rPr>
        <w:t>Modelling the BAU scenario</w:t>
      </w:r>
      <w:bookmarkEnd w:id="125"/>
      <w:bookmarkEnd w:id="126"/>
      <w:bookmarkEnd w:id="127"/>
      <w:bookmarkEnd w:id="128"/>
      <w:bookmarkEnd w:id="129"/>
    </w:p>
    <w:p w14:paraId="4F152E43" w14:textId="71215528" w:rsidR="00EC49AF" w:rsidRPr="008B13A5" w:rsidRDefault="00EC49AF" w:rsidP="00EC49AF">
      <w:pPr>
        <w:rPr>
          <w:b/>
          <w:noProof/>
        </w:rPr>
      </w:pPr>
      <w:r w:rsidRPr="008B13A5">
        <w:rPr>
          <w:noProof/>
        </w:rPr>
        <w:t xml:space="preserve">The modelling draws primarily on IDC’s </w:t>
      </w:r>
      <w:r w:rsidRPr="008B13A5">
        <w:rPr>
          <w:rStyle w:val="Strong"/>
          <w:noProof/>
        </w:rPr>
        <w:t>2023–2030 forecast series</w:t>
      </w:r>
      <w:r w:rsidRPr="008B13A5">
        <w:rPr>
          <w:noProof/>
        </w:rPr>
        <w:t>,</w:t>
      </w:r>
      <w:r w:rsidR="00DC65C5" w:rsidRPr="008B13A5">
        <w:rPr>
          <w:noProof/>
        </w:rPr>
        <w:t>(</w:t>
      </w:r>
      <w:r w:rsidR="00DC65C5" w:rsidRPr="008B13A5">
        <w:rPr>
          <w:rStyle w:val="FootnoteReference"/>
          <w:noProof/>
        </w:rPr>
        <w:footnoteReference w:id="18"/>
      </w:r>
      <w:r w:rsidR="00DC65C5" w:rsidRPr="008B13A5">
        <w:rPr>
          <w:noProof/>
        </w:rPr>
        <w:t>)</w:t>
      </w:r>
      <w:r w:rsidRPr="008B13A5">
        <w:rPr>
          <w:noProof/>
        </w:rPr>
        <w:t xml:space="preserve"> which captures verified investment pipelines, corporate announcements, and regional growth expectations. The dataset reflects both global market recovery after the 2022 downturn and strong European capital formation driven by public subsidies and private investment in new fabs and equipment capacity.</w:t>
      </w:r>
    </w:p>
    <w:p w14:paraId="7A9C972E" w14:textId="6737BF87" w:rsidR="00EC49AF" w:rsidRPr="008B13A5" w:rsidRDefault="00EC49AF" w:rsidP="00EC49AF">
      <w:pPr>
        <w:rPr>
          <w:noProof/>
        </w:rPr>
      </w:pPr>
      <w:r w:rsidRPr="008B13A5">
        <w:rPr>
          <w:noProof/>
        </w:rPr>
        <w:t xml:space="preserve">According to IDC, </w:t>
      </w:r>
      <w:r w:rsidRPr="008B13A5">
        <w:rPr>
          <w:b/>
          <w:noProof/>
        </w:rPr>
        <w:t>EU27 device revenues are expected to reach EUR 85.073 billion by 2030</w:t>
      </w:r>
      <w:r w:rsidRPr="008B13A5">
        <w:rPr>
          <w:noProof/>
        </w:rPr>
        <w:t xml:space="preserve">, corresponding to a compound annual growth rate </w:t>
      </w:r>
      <w:r w:rsidRPr="008B13A5">
        <w:rPr>
          <w:b/>
          <w:noProof/>
        </w:rPr>
        <w:t>(CAGR) of 7.7 %</w:t>
      </w:r>
      <w:r w:rsidRPr="008B13A5">
        <w:rPr>
          <w:noProof/>
        </w:rPr>
        <w:t xml:space="preserve"> over the period 2023–2030. This IDC forecast forms the baseline from which the post-2030 device projections are developed. This is </w:t>
      </w:r>
      <w:r w:rsidRPr="008B13A5">
        <w:rPr>
          <w:b/>
          <w:noProof/>
        </w:rPr>
        <w:t>below the global CAGR of 8.75% and well below the US CAGR of 10.6%</w:t>
      </w:r>
      <w:r w:rsidRPr="008B13A5">
        <w:rPr>
          <w:noProof/>
        </w:rPr>
        <w:t xml:space="preserve">. </w:t>
      </w:r>
    </w:p>
    <w:p w14:paraId="6460AD8E" w14:textId="493EC85A" w:rsidR="00EC49AF" w:rsidRPr="008B13A5" w:rsidRDefault="00EC49AF" w:rsidP="00EC49AF">
      <w:pPr>
        <w:rPr>
          <w:noProof/>
        </w:rPr>
      </w:pPr>
      <w:r w:rsidRPr="008B13A5">
        <w:rPr>
          <w:noProof/>
        </w:rPr>
        <w:t>This lagging growth rate is understandable when considering that Europe does not have significant players in AI which is the key driver of growth</w:t>
      </w:r>
      <w:r w:rsidR="008378DC" w:rsidRPr="008B13A5">
        <w:rPr>
          <w:noProof/>
        </w:rPr>
        <w:t xml:space="preserve"> in the broader industry</w:t>
      </w:r>
      <w:r w:rsidRPr="008B13A5">
        <w:rPr>
          <w:noProof/>
        </w:rPr>
        <w:t>.</w:t>
      </w:r>
      <w:r w:rsidR="00F274DD" w:rsidRPr="008B13A5">
        <w:rPr>
          <w:noProof/>
        </w:rPr>
        <w:t xml:space="preserve"> </w:t>
      </w:r>
      <w:r w:rsidRPr="008B13A5">
        <w:rPr>
          <w:noProof/>
        </w:rPr>
        <w:t>(</w:t>
      </w:r>
      <w:r w:rsidRPr="008B13A5">
        <w:rPr>
          <w:rStyle w:val="FootnoteReference"/>
          <w:noProof/>
        </w:rPr>
        <w:footnoteReference w:id="19"/>
      </w:r>
      <w:r w:rsidRPr="008B13A5">
        <w:rPr>
          <w:noProof/>
        </w:rPr>
        <w:t xml:space="preserve">) Furthermore, European companies do not benefit from the price-setting capacity of </w:t>
      </w:r>
      <w:r w:rsidR="00171B4F" w:rsidRPr="008B13A5">
        <w:rPr>
          <w:noProof/>
        </w:rPr>
        <w:t xml:space="preserve">foundries active </w:t>
      </w:r>
      <w:r w:rsidRPr="008B13A5">
        <w:rPr>
          <w:noProof/>
        </w:rPr>
        <w:t xml:space="preserve">in </w:t>
      </w:r>
      <w:r w:rsidR="00171B4F" w:rsidRPr="008B13A5">
        <w:rPr>
          <w:noProof/>
        </w:rPr>
        <w:t xml:space="preserve">the </w:t>
      </w:r>
      <w:r w:rsidRPr="008B13A5">
        <w:rPr>
          <w:noProof/>
        </w:rPr>
        <w:t>7nm and below process nodes typical of AI chips.</w:t>
      </w:r>
      <w:r w:rsidR="00F274DD" w:rsidRPr="008B13A5">
        <w:rPr>
          <w:noProof/>
        </w:rPr>
        <w:t xml:space="preserve"> </w:t>
      </w:r>
      <w:r w:rsidRPr="008B13A5">
        <w:rPr>
          <w:noProof/>
        </w:rPr>
        <w:t>(</w:t>
      </w:r>
      <w:r w:rsidRPr="008B13A5">
        <w:rPr>
          <w:rStyle w:val="FootnoteReference"/>
          <w:noProof/>
        </w:rPr>
        <w:footnoteReference w:id="20"/>
      </w:r>
      <w:r w:rsidRPr="008B13A5">
        <w:rPr>
          <w:noProof/>
        </w:rPr>
        <w:t xml:space="preserve">) </w:t>
      </w:r>
    </w:p>
    <w:p w14:paraId="6BEF0583" w14:textId="77B47552" w:rsidR="00EC49AF" w:rsidRPr="008B13A5" w:rsidRDefault="00EC49AF" w:rsidP="00EC49AF">
      <w:pPr>
        <w:rPr>
          <w:noProof/>
        </w:rPr>
      </w:pPr>
      <w:r w:rsidRPr="008B13A5">
        <w:rPr>
          <w:noProof/>
        </w:rPr>
        <w:t>This AI boom is not volume-driven, unlike past cycles, but price-driven, fuelled by steep increases in average selling prices (ASPs) for AI devices</w:t>
      </w:r>
      <w:r w:rsidR="00F274DD" w:rsidRPr="008B13A5">
        <w:rPr>
          <w:noProof/>
        </w:rPr>
        <w:t xml:space="preserve"> </w:t>
      </w:r>
      <w:r w:rsidRPr="008B13A5">
        <w:rPr>
          <w:noProof/>
        </w:rPr>
        <w:t>(</w:t>
      </w:r>
      <w:r w:rsidRPr="008B13A5">
        <w:rPr>
          <w:rStyle w:val="FootnoteReference"/>
          <w:noProof/>
        </w:rPr>
        <w:footnoteReference w:id="21"/>
      </w:r>
      <w:r w:rsidRPr="008B13A5">
        <w:rPr>
          <w:noProof/>
        </w:rPr>
        <w:t xml:space="preserve">). </w:t>
      </w:r>
      <w:r w:rsidRPr="008B13A5">
        <w:rPr>
          <w:b/>
          <w:noProof/>
        </w:rPr>
        <w:t>Industry growth therefore reflects two dynamics</w:t>
      </w:r>
      <w:r w:rsidRPr="008B13A5">
        <w:rPr>
          <w:noProof/>
        </w:rPr>
        <w:t>: one driven by AI logic and AI memory inflation, and another covering mature nodes, automotive, and analogue devices which is growing more slowly</w:t>
      </w:r>
    </w:p>
    <w:p w14:paraId="4BB36621" w14:textId="4B87DEE6" w:rsidR="00EC49AF" w:rsidRPr="008B13A5" w:rsidRDefault="00EC49AF" w:rsidP="00EC49AF">
      <w:pPr>
        <w:rPr>
          <w:noProof/>
        </w:rPr>
      </w:pPr>
      <w:r w:rsidRPr="008B13A5">
        <w:rPr>
          <w:noProof/>
        </w:rPr>
        <w:t>Europe’s semiconductor industry is largely absent from AI-intensive segments. Its industrial base is concentrated in analogue, power, microcontroller, and application-specific semiconductors, which are vital for automotive, energy, and industrial systems but do not benefit from AI-driven ASP inflation. In fact, the automotive and industrial applications end-market represent 70% of the EU’s semiconductor revenues.</w:t>
      </w:r>
      <w:r w:rsidR="00F274DD" w:rsidRPr="008B13A5">
        <w:rPr>
          <w:noProof/>
        </w:rPr>
        <w:t xml:space="preserve"> </w:t>
      </w:r>
      <w:r w:rsidRPr="008B13A5">
        <w:rPr>
          <w:noProof/>
        </w:rPr>
        <w:t>(</w:t>
      </w:r>
      <w:r w:rsidRPr="008B13A5">
        <w:rPr>
          <w:rStyle w:val="FootnoteReference"/>
          <w:noProof/>
        </w:rPr>
        <w:footnoteReference w:id="22"/>
      </w:r>
      <w:r w:rsidRPr="008B13A5">
        <w:rPr>
          <w:noProof/>
        </w:rPr>
        <w:t>)</w:t>
      </w:r>
    </w:p>
    <w:p w14:paraId="3C61DD6D" w14:textId="6E7B35AF" w:rsidR="00EC49AF" w:rsidRPr="008B13A5" w:rsidRDefault="00EC49AF" w:rsidP="00EC49AF">
      <w:pPr>
        <w:pStyle w:val="NormalWeb"/>
        <w:spacing w:after="0" w:afterAutospacing="0"/>
        <w:jc w:val="both"/>
        <w:rPr>
          <w:noProof/>
        </w:rPr>
      </w:pPr>
      <w:r w:rsidRPr="008B13A5">
        <w:rPr>
          <w:noProof/>
        </w:rPr>
        <w:t>Therefore, the figure by IDC on the EU’s growth is in line with the</w:t>
      </w:r>
      <w:r w:rsidRPr="008B13A5">
        <w:rPr>
          <w:b/>
          <w:bCs/>
          <w:noProof/>
        </w:rPr>
        <w:t xml:space="preserve"> expectation that Europe’s revenue trajectory will</w:t>
      </w:r>
      <w:r w:rsidRPr="008B13A5">
        <w:rPr>
          <w:noProof/>
        </w:rPr>
        <w:t xml:space="preserve"> </w:t>
      </w:r>
      <w:r w:rsidRPr="008B13A5">
        <w:rPr>
          <w:rStyle w:val="Strong"/>
          <w:noProof/>
        </w:rPr>
        <w:t>lag global averages</w:t>
      </w:r>
      <w:r w:rsidRPr="008B13A5">
        <w:rPr>
          <w:b/>
          <w:bCs/>
          <w:noProof/>
        </w:rPr>
        <w:t xml:space="preserve"> beyond 2030</w:t>
      </w:r>
      <w:r w:rsidRPr="008B13A5">
        <w:rPr>
          <w:noProof/>
        </w:rPr>
        <w:t xml:space="preserve"> for structural reasons</w:t>
      </w:r>
      <w:r w:rsidR="00F9395B" w:rsidRPr="008B13A5">
        <w:rPr>
          <w:noProof/>
        </w:rPr>
        <w:t xml:space="preserve"> i.e.</w:t>
      </w:r>
      <w:r w:rsidRPr="008B13A5" w:rsidDel="005B45DC">
        <w:rPr>
          <w:noProof/>
        </w:rPr>
        <w:t xml:space="preserve"> </w:t>
      </w:r>
      <w:r w:rsidRPr="008B13A5">
        <w:rPr>
          <w:noProof/>
        </w:rPr>
        <w:t>Europe’s specialisation lies in mature nodes, notably analogue, power, and automotive semiconductors. These generate lower value added and grow more slowly in value than advanced logic and memory, where both demand and average selling prices are structurally higher. With AI-related products potentially reaching around 70 % of the global market by 2030, this divergence implies that Europe’s growth could lag the global average more markedly.</w:t>
      </w:r>
    </w:p>
    <w:p w14:paraId="1178657C" w14:textId="0CDB4310" w:rsidR="00EC49AF" w:rsidRPr="008B13A5" w:rsidRDefault="00EC49AF" w:rsidP="00EC49AF">
      <w:pPr>
        <w:pStyle w:val="NormalWeb"/>
        <w:spacing w:after="0"/>
        <w:jc w:val="both"/>
        <w:rPr>
          <w:noProof/>
        </w:rPr>
      </w:pPr>
      <w:r w:rsidRPr="008B13A5">
        <w:rPr>
          <w:noProof/>
        </w:rPr>
        <w:t>Given these structural conditions, Europe’s semiconductor device revenues under the BAU scenario are expected to grow in line with global foundry demand for mature and mid-range technology nodes.</w:t>
      </w:r>
    </w:p>
    <w:p w14:paraId="52D9F314" w14:textId="07C76640" w:rsidR="00EC49AF" w:rsidRPr="008B13A5" w:rsidRDefault="00EC49AF" w:rsidP="00EC49AF">
      <w:pPr>
        <w:pStyle w:val="NormalWeb"/>
        <w:spacing w:after="240" w:afterAutospacing="0"/>
        <w:jc w:val="both"/>
        <w:rPr>
          <w:noProof/>
        </w:rPr>
      </w:pPr>
      <w:r w:rsidRPr="008B13A5">
        <w:rPr>
          <w:noProof/>
        </w:rPr>
        <w:t xml:space="preserve">Projections from IBS (International Business Strategies) indicate that, between 2030 and 2035, foundry revenues at technology nodes of 40 nm and above are expected to grow at annual rates ranging from negative 1.5 % to positive 7.5 % growth, depending on the node size, with most mature nodes clustering around at least 5 % (Table </w:t>
      </w:r>
      <w:r w:rsidR="00494805">
        <w:rPr>
          <w:noProof/>
        </w:rPr>
        <w:t>2</w:t>
      </w:r>
      <w:r w:rsidRPr="008B13A5">
        <w:rPr>
          <w:noProof/>
        </w:rPr>
        <w:t>). This shows a clear divide in market growth for both advanced technology and mature nodes.</w:t>
      </w:r>
    </w:p>
    <w:p w14:paraId="0E4F267A" w14:textId="07AA597B" w:rsidR="00EC49AF" w:rsidRPr="008B13A5" w:rsidRDefault="00EC49AF" w:rsidP="00EC49AF">
      <w:pPr>
        <w:pStyle w:val="NormalWeb"/>
        <w:spacing w:before="0" w:beforeAutospacing="0" w:after="0" w:afterAutospacing="0"/>
        <w:rPr>
          <w:b/>
          <w:bCs/>
          <w:noProof/>
        </w:rPr>
      </w:pPr>
      <w:r w:rsidRPr="008B13A5">
        <w:rPr>
          <w:b/>
          <w:bCs/>
          <w:noProof/>
        </w:rPr>
        <w:t xml:space="preserve">Table </w:t>
      </w:r>
      <w:r w:rsidR="00494805">
        <w:rPr>
          <w:b/>
          <w:bCs/>
          <w:noProof/>
        </w:rPr>
        <w:t>2</w:t>
      </w:r>
      <w:r w:rsidRPr="008B13A5">
        <w:rPr>
          <w:b/>
          <w:bCs/>
          <w:noProof/>
        </w:rPr>
        <w:t xml:space="preserve">. Global Foundry market growth by technology node.  </w:t>
      </w:r>
      <w:r w:rsidRPr="008B13A5">
        <w:rPr>
          <w:i/>
          <w:iCs/>
          <w:noProof/>
        </w:rPr>
        <w:t>Source: IBS Analysis of Global Foundry Market, December 2025.</w:t>
      </w:r>
    </w:p>
    <w:tbl>
      <w:tblPr>
        <w:tblStyle w:val="TableGrid"/>
        <w:tblW w:w="0" w:type="auto"/>
        <w:jc w:val="center"/>
        <w:tblLook w:val="04A0" w:firstRow="1" w:lastRow="0" w:firstColumn="1" w:lastColumn="0" w:noHBand="0" w:noVBand="1"/>
      </w:tblPr>
      <w:tblGrid>
        <w:gridCol w:w="1130"/>
        <w:gridCol w:w="3896"/>
      </w:tblGrid>
      <w:tr w:rsidR="00EC49AF" w:rsidRPr="008B13A5" w14:paraId="4165955D" w14:textId="77777777">
        <w:trPr>
          <w:jc w:val="center"/>
        </w:trPr>
        <w:tc>
          <w:tcPr>
            <w:tcW w:w="0" w:type="auto"/>
          </w:tcPr>
          <w:p w14:paraId="0D83D27E" w14:textId="77777777" w:rsidR="00EC49AF" w:rsidRPr="008B13A5" w:rsidRDefault="00EC49AF">
            <w:pPr>
              <w:spacing w:after="0"/>
              <w:jc w:val="center"/>
              <w:rPr>
                <w:b/>
                <w:bCs/>
                <w:noProof/>
              </w:rPr>
            </w:pPr>
            <w:r w:rsidRPr="008B13A5">
              <w:rPr>
                <w:b/>
                <w:bCs/>
                <w:noProof/>
              </w:rPr>
              <w:t>Node</w:t>
            </w:r>
          </w:p>
        </w:tc>
        <w:tc>
          <w:tcPr>
            <w:tcW w:w="0" w:type="auto"/>
          </w:tcPr>
          <w:p w14:paraId="152ED9C8" w14:textId="0F3D2E52" w:rsidR="00EC49AF" w:rsidRPr="008B13A5" w:rsidRDefault="00EC49AF">
            <w:pPr>
              <w:spacing w:after="0"/>
              <w:jc w:val="center"/>
              <w:rPr>
                <w:b/>
                <w:bCs/>
                <w:noProof/>
              </w:rPr>
            </w:pPr>
            <w:r w:rsidRPr="008B13A5">
              <w:rPr>
                <w:b/>
                <w:bCs/>
                <w:noProof/>
              </w:rPr>
              <w:t>Growth rate around 2030–2035 (%)</w:t>
            </w:r>
          </w:p>
        </w:tc>
      </w:tr>
      <w:tr w:rsidR="00EC49AF" w:rsidRPr="008B13A5" w14:paraId="6B8DE815" w14:textId="77777777">
        <w:trPr>
          <w:jc w:val="center"/>
        </w:trPr>
        <w:tc>
          <w:tcPr>
            <w:tcW w:w="0" w:type="auto"/>
          </w:tcPr>
          <w:p w14:paraId="711FE41A" w14:textId="1EB1F29E" w:rsidR="00EC49AF" w:rsidRPr="008B13A5" w:rsidRDefault="00EC49AF">
            <w:pPr>
              <w:spacing w:after="0"/>
              <w:jc w:val="left"/>
              <w:rPr>
                <w:noProof/>
              </w:rPr>
            </w:pPr>
            <w:r w:rsidRPr="008B13A5">
              <w:rPr>
                <w:noProof/>
              </w:rPr>
              <w:t>45/40 nm</w:t>
            </w:r>
          </w:p>
        </w:tc>
        <w:tc>
          <w:tcPr>
            <w:tcW w:w="0" w:type="auto"/>
          </w:tcPr>
          <w:p w14:paraId="6F7EB90C" w14:textId="145BDA7F" w:rsidR="00EC49AF" w:rsidRPr="008B13A5" w:rsidRDefault="00EC49AF">
            <w:pPr>
              <w:spacing w:after="0"/>
              <w:jc w:val="center"/>
              <w:rPr>
                <w:noProof/>
              </w:rPr>
            </w:pPr>
            <w:r w:rsidRPr="008B13A5">
              <w:rPr>
                <w:noProof/>
              </w:rPr>
              <w:t>~6.25 – 6.72</w:t>
            </w:r>
          </w:p>
        </w:tc>
      </w:tr>
      <w:tr w:rsidR="00EC49AF" w:rsidRPr="008B13A5" w14:paraId="77CA883B" w14:textId="77777777">
        <w:trPr>
          <w:jc w:val="center"/>
        </w:trPr>
        <w:tc>
          <w:tcPr>
            <w:tcW w:w="0" w:type="auto"/>
          </w:tcPr>
          <w:p w14:paraId="3E0D6F08" w14:textId="1C35C074" w:rsidR="00EC49AF" w:rsidRPr="008B13A5" w:rsidRDefault="00EC49AF">
            <w:pPr>
              <w:spacing w:after="0"/>
              <w:jc w:val="left"/>
              <w:rPr>
                <w:noProof/>
              </w:rPr>
            </w:pPr>
            <w:r w:rsidRPr="008B13A5">
              <w:rPr>
                <w:noProof/>
              </w:rPr>
              <w:t>65 nm</w:t>
            </w:r>
          </w:p>
        </w:tc>
        <w:tc>
          <w:tcPr>
            <w:tcW w:w="0" w:type="auto"/>
          </w:tcPr>
          <w:p w14:paraId="2469540F" w14:textId="4BC87005" w:rsidR="00EC49AF" w:rsidRPr="008B13A5" w:rsidRDefault="00EC49AF">
            <w:pPr>
              <w:spacing w:after="0"/>
              <w:jc w:val="center"/>
              <w:rPr>
                <w:noProof/>
              </w:rPr>
            </w:pPr>
            <w:r w:rsidRPr="008B13A5">
              <w:rPr>
                <w:noProof/>
              </w:rPr>
              <w:t>~5,46 – 7.54</w:t>
            </w:r>
          </w:p>
        </w:tc>
      </w:tr>
      <w:tr w:rsidR="00EC49AF" w:rsidRPr="008B13A5" w14:paraId="7540F4F0" w14:textId="77777777">
        <w:trPr>
          <w:jc w:val="center"/>
        </w:trPr>
        <w:tc>
          <w:tcPr>
            <w:tcW w:w="0" w:type="auto"/>
          </w:tcPr>
          <w:p w14:paraId="2FD935E6" w14:textId="001B3957" w:rsidR="00EC49AF" w:rsidRPr="008B13A5" w:rsidRDefault="00EC49AF">
            <w:pPr>
              <w:spacing w:after="0"/>
              <w:jc w:val="left"/>
              <w:rPr>
                <w:noProof/>
              </w:rPr>
            </w:pPr>
            <w:r w:rsidRPr="008B13A5">
              <w:rPr>
                <w:noProof/>
              </w:rPr>
              <w:t>90 nm</w:t>
            </w:r>
          </w:p>
        </w:tc>
        <w:tc>
          <w:tcPr>
            <w:tcW w:w="0" w:type="auto"/>
          </w:tcPr>
          <w:p w14:paraId="3AF572C6" w14:textId="0A835659" w:rsidR="00EC49AF" w:rsidRPr="008B13A5" w:rsidRDefault="00EC49AF">
            <w:pPr>
              <w:spacing w:after="0"/>
              <w:jc w:val="center"/>
              <w:rPr>
                <w:noProof/>
              </w:rPr>
            </w:pPr>
            <w:r w:rsidRPr="008B13A5">
              <w:rPr>
                <w:noProof/>
              </w:rPr>
              <w:t xml:space="preserve">~(1.5) </w:t>
            </w:r>
            <w:r w:rsidRPr="008B13A5">
              <w:rPr>
                <w:i/>
                <w:iCs/>
                <w:noProof/>
              </w:rPr>
              <w:t>negative growth</w:t>
            </w:r>
          </w:p>
        </w:tc>
      </w:tr>
      <w:tr w:rsidR="00EC49AF" w:rsidRPr="008B13A5" w14:paraId="1AB75050" w14:textId="77777777">
        <w:trPr>
          <w:jc w:val="center"/>
        </w:trPr>
        <w:tc>
          <w:tcPr>
            <w:tcW w:w="0" w:type="auto"/>
          </w:tcPr>
          <w:p w14:paraId="58018150" w14:textId="32125332" w:rsidR="00EC49AF" w:rsidRPr="008B13A5" w:rsidRDefault="00EC49AF">
            <w:pPr>
              <w:spacing w:after="0"/>
              <w:jc w:val="left"/>
              <w:rPr>
                <w:noProof/>
              </w:rPr>
            </w:pPr>
            <w:r w:rsidRPr="008B13A5">
              <w:rPr>
                <w:noProof/>
              </w:rPr>
              <w:t>130 nm</w:t>
            </w:r>
          </w:p>
        </w:tc>
        <w:tc>
          <w:tcPr>
            <w:tcW w:w="0" w:type="auto"/>
          </w:tcPr>
          <w:p w14:paraId="4CCACA14" w14:textId="3C7A4C4C" w:rsidR="00EC49AF" w:rsidRPr="008B13A5" w:rsidRDefault="00EC49AF">
            <w:pPr>
              <w:spacing w:after="0"/>
              <w:jc w:val="center"/>
              <w:rPr>
                <w:noProof/>
              </w:rPr>
            </w:pPr>
            <w:r w:rsidRPr="008B13A5">
              <w:rPr>
                <w:noProof/>
              </w:rPr>
              <w:t>~5.60 – 5.78</w:t>
            </w:r>
          </w:p>
        </w:tc>
      </w:tr>
      <w:tr w:rsidR="00EC49AF" w:rsidRPr="008B13A5" w14:paraId="228C2483" w14:textId="77777777">
        <w:trPr>
          <w:jc w:val="center"/>
        </w:trPr>
        <w:tc>
          <w:tcPr>
            <w:tcW w:w="0" w:type="auto"/>
          </w:tcPr>
          <w:p w14:paraId="0590C7E3" w14:textId="058C28EB" w:rsidR="00EC49AF" w:rsidRPr="008B13A5" w:rsidRDefault="00EC49AF">
            <w:pPr>
              <w:spacing w:after="0"/>
              <w:jc w:val="left"/>
              <w:rPr>
                <w:noProof/>
              </w:rPr>
            </w:pPr>
            <w:r w:rsidRPr="008B13A5">
              <w:rPr>
                <w:noProof/>
              </w:rPr>
              <w:t>180 nm</w:t>
            </w:r>
          </w:p>
        </w:tc>
        <w:tc>
          <w:tcPr>
            <w:tcW w:w="0" w:type="auto"/>
          </w:tcPr>
          <w:p w14:paraId="1E50F322" w14:textId="54D566E3" w:rsidR="00EC49AF" w:rsidRPr="008B13A5" w:rsidRDefault="00EC49AF">
            <w:pPr>
              <w:spacing w:after="0"/>
              <w:jc w:val="center"/>
              <w:rPr>
                <w:noProof/>
              </w:rPr>
            </w:pPr>
            <w:r w:rsidRPr="008B13A5">
              <w:rPr>
                <w:noProof/>
              </w:rPr>
              <w:t>~5.29 – 5.59</w:t>
            </w:r>
          </w:p>
        </w:tc>
      </w:tr>
      <w:tr w:rsidR="00EC49AF" w:rsidRPr="008B13A5" w14:paraId="70B529AA" w14:textId="77777777">
        <w:trPr>
          <w:jc w:val="center"/>
        </w:trPr>
        <w:tc>
          <w:tcPr>
            <w:tcW w:w="0" w:type="auto"/>
          </w:tcPr>
          <w:p w14:paraId="7561822A" w14:textId="34F65B17" w:rsidR="00EC49AF" w:rsidRPr="008B13A5" w:rsidRDefault="00EC49AF">
            <w:pPr>
              <w:spacing w:after="0"/>
              <w:jc w:val="left"/>
              <w:rPr>
                <w:noProof/>
              </w:rPr>
            </w:pPr>
            <w:r w:rsidRPr="008B13A5">
              <w:rPr>
                <w:noProof/>
              </w:rPr>
              <w:t>250 nm</w:t>
            </w:r>
          </w:p>
        </w:tc>
        <w:tc>
          <w:tcPr>
            <w:tcW w:w="0" w:type="auto"/>
          </w:tcPr>
          <w:p w14:paraId="38CB7786" w14:textId="5F9691F4" w:rsidR="00EC49AF" w:rsidRPr="008B13A5" w:rsidRDefault="00EC49AF">
            <w:pPr>
              <w:spacing w:after="0"/>
              <w:jc w:val="center"/>
              <w:rPr>
                <w:noProof/>
              </w:rPr>
            </w:pPr>
            <w:r w:rsidRPr="008B13A5">
              <w:rPr>
                <w:noProof/>
              </w:rPr>
              <w:t>~6.27 – 6.67</w:t>
            </w:r>
          </w:p>
        </w:tc>
      </w:tr>
    </w:tbl>
    <w:p w14:paraId="710C64BA" w14:textId="2D3767F3" w:rsidR="00EC49AF" w:rsidRPr="008B13A5" w:rsidRDefault="00EC49AF" w:rsidP="00EC49AF">
      <w:pPr>
        <w:pStyle w:val="NormalWeb"/>
        <w:spacing w:after="240" w:afterAutospacing="0"/>
        <w:jc w:val="both"/>
        <w:rPr>
          <w:noProof/>
        </w:rPr>
      </w:pPr>
      <w:r w:rsidRPr="008B13A5">
        <w:rPr>
          <w:noProof/>
        </w:rPr>
        <w:t>Reflecting the EU’s current wafer mix, which remains concentrated in these mature nodes and has limited exposure to leading-edge (the AI-driven</w:t>
      </w:r>
      <w:r w:rsidRPr="008B13A5" w:rsidDel="004D4153">
        <w:rPr>
          <w:noProof/>
        </w:rPr>
        <w:t xml:space="preserve"> </w:t>
      </w:r>
      <w:r w:rsidRPr="008B13A5">
        <w:rPr>
          <w:noProof/>
        </w:rPr>
        <w:t xml:space="preserve">market segments), </w:t>
      </w:r>
      <w:r w:rsidRPr="008B13A5">
        <w:rPr>
          <w:b/>
          <w:noProof/>
        </w:rPr>
        <w:t>the BAU projection applies an average long-run revenue growth rate of approximately 5% per year for EU27 semiconductor device revenues over 2030–2035.</w:t>
      </w:r>
      <w:r w:rsidRPr="008B13A5">
        <w:rPr>
          <w:noProof/>
        </w:rPr>
        <w:t xml:space="preserve"> This rate lies below the global average but is consistent with the projected growth dynamics of the technology nodes most relevant to the European manufacturing base.</w:t>
      </w:r>
    </w:p>
    <w:p w14:paraId="03812B16" w14:textId="419BABD2" w:rsidR="00EC49AF" w:rsidRPr="008B13A5" w:rsidRDefault="00EC49AF" w:rsidP="00EC49AF">
      <w:pPr>
        <w:pStyle w:val="NormalWeb"/>
        <w:spacing w:before="0" w:beforeAutospacing="0"/>
        <w:jc w:val="both"/>
        <w:rPr>
          <w:b/>
          <w:bCs/>
          <w:noProof/>
        </w:rPr>
      </w:pPr>
      <w:r w:rsidRPr="008B13A5">
        <w:rPr>
          <w:b/>
          <w:bCs/>
          <w:noProof/>
        </w:rPr>
        <w:t xml:space="preserve">Table </w:t>
      </w:r>
      <w:r w:rsidR="00494805">
        <w:rPr>
          <w:b/>
          <w:bCs/>
          <w:noProof/>
        </w:rPr>
        <w:t>3</w:t>
      </w:r>
      <w:r w:rsidRPr="008B13A5">
        <w:rPr>
          <w:b/>
          <w:bCs/>
          <w:noProof/>
        </w:rPr>
        <w:t xml:space="preserve">. Assumptions for the revenue growth model. </w:t>
      </w:r>
      <w:r w:rsidRPr="008B13A5">
        <w:rPr>
          <w:i/>
          <w:iCs/>
          <w:noProof/>
        </w:rPr>
        <w:t>Source: Compiled by the authors.</w:t>
      </w:r>
      <w:r w:rsidRPr="008B13A5">
        <w:rPr>
          <w:b/>
          <w:bCs/>
          <w:noProof/>
        </w:rPr>
        <w:t xml:space="preserve"> </w:t>
      </w:r>
    </w:p>
    <w:tbl>
      <w:tblPr>
        <w:tblStyle w:val="TableGrid"/>
        <w:tblW w:w="0" w:type="auto"/>
        <w:tblLook w:val="04A0" w:firstRow="1" w:lastRow="0" w:firstColumn="1" w:lastColumn="0" w:noHBand="0" w:noVBand="1"/>
      </w:tblPr>
      <w:tblGrid>
        <w:gridCol w:w="1574"/>
        <w:gridCol w:w="2532"/>
        <w:gridCol w:w="2644"/>
        <w:gridCol w:w="2820"/>
      </w:tblGrid>
      <w:tr w:rsidR="00EC49AF" w:rsidRPr="008B13A5" w14:paraId="2CDCDFEB" w14:textId="77777777">
        <w:tc>
          <w:tcPr>
            <w:tcW w:w="0" w:type="auto"/>
          </w:tcPr>
          <w:p w14:paraId="0D5E93AF" w14:textId="77777777" w:rsidR="00EC49AF" w:rsidRPr="008B13A5" w:rsidRDefault="00EC49AF">
            <w:pPr>
              <w:spacing w:after="0"/>
              <w:jc w:val="center"/>
              <w:rPr>
                <w:b/>
                <w:bCs/>
                <w:noProof/>
              </w:rPr>
            </w:pPr>
            <w:r w:rsidRPr="008B13A5">
              <w:rPr>
                <w:b/>
                <w:bCs/>
                <w:noProof/>
              </w:rPr>
              <w:t>Parameter</w:t>
            </w:r>
          </w:p>
        </w:tc>
        <w:tc>
          <w:tcPr>
            <w:tcW w:w="0" w:type="auto"/>
          </w:tcPr>
          <w:p w14:paraId="005445E5" w14:textId="1967A046" w:rsidR="00EC49AF" w:rsidRPr="008B13A5" w:rsidRDefault="00EC49AF">
            <w:pPr>
              <w:spacing w:after="0"/>
              <w:jc w:val="center"/>
              <w:rPr>
                <w:b/>
                <w:bCs/>
                <w:noProof/>
              </w:rPr>
            </w:pPr>
            <w:r w:rsidRPr="008B13A5">
              <w:rPr>
                <w:b/>
                <w:bCs/>
                <w:noProof/>
              </w:rPr>
              <w:t>Global market</w:t>
            </w:r>
          </w:p>
        </w:tc>
        <w:tc>
          <w:tcPr>
            <w:tcW w:w="0" w:type="auto"/>
          </w:tcPr>
          <w:p w14:paraId="3C0A00D6" w14:textId="36FF288A" w:rsidR="00EC49AF" w:rsidRPr="008B13A5" w:rsidRDefault="00EC49AF">
            <w:pPr>
              <w:spacing w:after="0"/>
              <w:jc w:val="center"/>
              <w:rPr>
                <w:b/>
                <w:bCs/>
                <w:noProof/>
              </w:rPr>
            </w:pPr>
            <w:r w:rsidRPr="008B13A5">
              <w:rPr>
                <w:b/>
                <w:bCs/>
                <w:noProof/>
              </w:rPr>
              <w:t>Europe (BAU)</w:t>
            </w:r>
          </w:p>
        </w:tc>
        <w:tc>
          <w:tcPr>
            <w:tcW w:w="0" w:type="auto"/>
          </w:tcPr>
          <w:p w14:paraId="66CEF6BF" w14:textId="77777777" w:rsidR="00EC49AF" w:rsidRPr="008B13A5" w:rsidRDefault="00EC49AF">
            <w:pPr>
              <w:spacing w:after="0"/>
              <w:jc w:val="center"/>
              <w:rPr>
                <w:b/>
                <w:bCs/>
                <w:noProof/>
              </w:rPr>
            </w:pPr>
            <w:r w:rsidRPr="008B13A5">
              <w:rPr>
                <w:b/>
                <w:bCs/>
                <w:noProof/>
              </w:rPr>
              <w:t>Comment</w:t>
            </w:r>
          </w:p>
        </w:tc>
      </w:tr>
      <w:tr w:rsidR="00EC49AF" w:rsidRPr="008B13A5" w14:paraId="4ACC3ED4" w14:textId="77777777">
        <w:tc>
          <w:tcPr>
            <w:tcW w:w="0" w:type="auto"/>
          </w:tcPr>
          <w:p w14:paraId="30870EBE" w14:textId="5811CC13" w:rsidR="00EC49AF" w:rsidRPr="008B13A5" w:rsidRDefault="00EC49AF">
            <w:pPr>
              <w:spacing w:after="0"/>
              <w:jc w:val="left"/>
              <w:rPr>
                <w:noProof/>
              </w:rPr>
            </w:pPr>
            <w:r w:rsidRPr="008B13A5">
              <w:rPr>
                <w:b/>
                <w:bCs/>
                <w:noProof/>
              </w:rPr>
              <w:t>2030–2035 CAGR</w:t>
            </w:r>
          </w:p>
        </w:tc>
        <w:tc>
          <w:tcPr>
            <w:tcW w:w="0" w:type="auto"/>
          </w:tcPr>
          <w:p w14:paraId="484D56BB" w14:textId="449001A8" w:rsidR="00EC49AF" w:rsidRPr="008B13A5" w:rsidRDefault="00EC49AF">
            <w:pPr>
              <w:spacing w:after="0"/>
              <w:jc w:val="center"/>
              <w:rPr>
                <w:noProof/>
              </w:rPr>
            </w:pPr>
            <w:r w:rsidRPr="008B13A5">
              <w:rPr>
                <w:noProof/>
              </w:rPr>
              <w:t>~9 %</w:t>
            </w:r>
          </w:p>
          <w:p w14:paraId="5A051741" w14:textId="3578AB05" w:rsidR="00EC49AF" w:rsidRPr="008B13A5" w:rsidRDefault="00EC49AF">
            <w:pPr>
              <w:spacing w:after="0"/>
              <w:jc w:val="center"/>
              <w:rPr>
                <w:noProof/>
              </w:rPr>
            </w:pPr>
            <w:r w:rsidRPr="008B13A5">
              <w:rPr>
                <w:noProof/>
              </w:rPr>
              <w:t>(including all node sizes)</w:t>
            </w:r>
            <w:r w:rsidR="00F274DD" w:rsidRPr="008B13A5">
              <w:rPr>
                <w:noProof/>
              </w:rPr>
              <w:t xml:space="preserve"> </w:t>
            </w:r>
            <w:r w:rsidRPr="008B13A5">
              <w:rPr>
                <w:noProof/>
              </w:rPr>
              <w:t>(</w:t>
            </w:r>
            <w:r w:rsidRPr="008B13A5">
              <w:rPr>
                <w:rStyle w:val="FootnoteReference"/>
                <w:noProof/>
              </w:rPr>
              <w:footnoteReference w:id="23"/>
            </w:r>
            <w:r w:rsidRPr="008B13A5">
              <w:rPr>
                <w:noProof/>
              </w:rPr>
              <w:t>)</w:t>
            </w:r>
          </w:p>
        </w:tc>
        <w:tc>
          <w:tcPr>
            <w:tcW w:w="0" w:type="auto"/>
          </w:tcPr>
          <w:p w14:paraId="1059F1DB" w14:textId="77777777" w:rsidR="00EC49AF" w:rsidRPr="008B13A5" w:rsidRDefault="00EC49AF">
            <w:pPr>
              <w:spacing w:after="0"/>
              <w:jc w:val="center"/>
              <w:rPr>
                <w:noProof/>
              </w:rPr>
            </w:pPr>
            <w:r w:rsidRPr="008B13A5">
              <w:rPr>
                <w:noProof/>
              </w:rPr>
              <w:t>5%</w:t>
            </w:r>
          </w:p>
        </w:tc>
        <w:tc>
          <w:tcPr>
            <w:tcW w:w="0" w:type="auto"/>
          </w:tcPr>
          <w:p w14:paraId="65A01ED8" w14:textId="6820CEC8" w:rsidR="00EC49AF" w:rsidRPr="008B13A5" w:rsidRDefault="00EC49AF">
            <w:pPr>
              <w:spacing w:after="0"/>
              <w:jc w:val="center"/>
              <w:rPr>
                <w:noProof/>
              </w:rPr>
            </w:pPr>
            <w:r w:rsidRPr="008B13A5">
              <w:rPr>
                <w:noProof/>
              </w:rPr>
              <w:t>Adjusted for limited exposure to AI-driven growth and mature product mix</w:t>
            </w:r>
          </w:p>
        </w:tc>
      </w:tr>
      <w:tr w:rsidR="00EC49AF" w:rsidRPr="008B13A5" w14:paraId="68A57589" w14:textId="77777777">
        <w:tc>
          <w:tcPr>
            <w:tcW w:w="0" w:type="auto"/>
          </w:tcPr>
          <w:p w14:paraId="1893163F" w14:textId="0363C2C6" w:rsidR="00EC49AF" w:rsidRPr="008B13A5" w:rsidRDefault="00EC49AF">
            <w:pPr>
              <w:spacing w:after="0"/>
              <w:jc w:val="left"/>
              <w:rPr>
                <w:noProof/>
              </w:rPr>
            </w:pPr>
            <w:r w:rsidRPr="008B13A5">
              <w:rPr>
                <w:b/>
                <w:bCs/>
                <w:noProof/>
              </w:rPr>
              <w:t>Growth driver</w:t>
            </w:r>
          </w:p>
        </w:tc>
        <w:tc>
          <w:tcPr>
            <w:tcW w:w="0" w:type="auto"/>
          </w:tcPr>
          <w:p w14:paraId="5DC93073" w14:textId="090C4E60" w:rsidR="00EC49AF" w:rsidRPr="008B13A5" w:rsidRDefault="00EC49AF">
            <w:pPr>
              <w:spacing w:after="0"/>
              <w:jc w:val="center"/>
              <w:rPr>
                <w:noProof/>
              </w:rPr>
            </w:pPr>
            <w:r w:rsidRPr="008B13A5">
              <w:rPr>
                <w:noProof/>
              </w:rPr>
              <w:t>AI logic, HBM, accelerators</w:t>
            </w:r>
          </w:p>
        </w:tc>
        <w:tc>
          <w:tcPr>
            <w:tcW w:w="0" w:type="auto"/>
          </w:tcPr>
          <w:p w14:paraId="0A548326" w14:textId="5645D10D" w:rsidR="00EC49AF" w:rsidRPr="008B13A5" w:rsidRDefault="00EC49AF">
            <w:pPr>
              <w:spacing w:after="0"/>
              <w:jc w:val="center"/>
              <w:rPr>
                <w:noProof/>
              </w:rPr>
            </w:pPr>
            <w:r w:rsidRPr="008B13A5">
              <w:rPr>
                <w:noProof/>
              </w:rPr>
              <w:t>Automotive, power, industrial semiconductors</w:t>
            </w:r>
          </w:p>
        </w:tc>
        <w:tc>
          <w:tcPr>
            <w:tcW w:w="0" w:type="auto"/>
          </w:tcPr>
          <w:p w14:paraId="6737F456" w14:textId="5802A554" w:rsidR="00EC49AF" w:rsidRPr="008B13A5" w:rsidRDefault="00EC49AF">
            <w:pPr>
              <w:spacing w:after="0"/>
              <w:jc w:val="center"/>
              <w:rPr>
                <w:noProof/>
              </w:rPr>
            </w:pPr>
            <w:r w:rsidRPr="008B13A5">
              <w:rPr>
                <w:noProof/>
              </w:rPr>
              <w:t>ASP divergence</w:t>
            </w:r>
          </w:p>
        </w:tc>
      </w:tr>
      <w:tr w:rsidR="00EC49AF" w:rsidRPr="008B13A5" w14:paraId="38159AE8" w14:textId="77777777">
        <w:tc>
          <w:tcPr>
            <w:tcW w:w="0" w:type="auto"/>
          </w:tcPr>
          <w:p w14:paraId="2E9AF0FF" w14:textId="7DD596CC" w:rsidR="00EC49AF" w:rsidRPr="008B13A5" w:rsidRDefault="00EC49AF">
            <w:pPr>
              <w:spacing w:after="0"/>
              <w:jc w:val="left"/>
              <w:rPr>
                <w:noProof/>
              </w:rPr>
            </w:pPr>
            <w:r w:rsidRPr="008B13A5">
              <w:rPr>
                <w:b/>
                <w:bCs/>
                <w:noProof/>
              </w:rPr>
              <w:t>Relative global share</w:t>
            </w:r>
          </w:p>
        </w:tc>
        <w:tc>
          <w:tcPr>
            <w:tcW w:w="0" w:type="auto"/>
          </w:tcPr>
          <w:p w14:paraId="091C3384" w14:textId="78E0B2FB" w:rsidR="00EC49AF" w:rsidRPr="008B13A5" w:rsidRDefault="00EC49AF">
            <w:pPr>
              <w:spacing w:after="0"/>
              <w:jc w:val="center"/>
              <w:rPr>
                <w:noProof/>
              </w:rPr>
            </w:pPr>
            <w:r w:rsidRPr="008B13A5">
              <w:rPr>
                <w:noProof/>
              </w:rPr>
              <w:t>Concentration in Asia and US</w:t>
            </w:r>
          </w:p>
        </w:tc>
        <w:tc>
          <w:tcPr>
            <w:tcW w:w="0" w:type="auto"/>
          </w:tcPr>
          <w:p w14:paraId="19F1105E" w14:textId="47E76274" w:rsidR="00EC49AF" w:rsidRPr="008B13A5" w:rsidRDefault="00EC49AF">
            <w:pPr>
              <w:spacing w:after="0"/>
              <w:jc w:val="center"/>
              <w:rPr>
                <w:noProof/>
              </w:rPr>
            </w:pPr>
            <w:r w:rsidRPr="008B13A5">
              <w:rPr>
                <w:noProof/>
              </w:rPr>
              <w:t>Stable at 8–9 %</w:t>
            </w:r>
            <w:r w:rsidR="00F274DD" w:rsidRPr="008B13A5">
              <w:rPr>
                <w:noProof/>
              </w:rPr>
              <w:t xml:space="preserve"> </w:t>
            </w:r>
            <w:r w:rsidRPr="008B13A5">
              <w:rPr>
                <w:noProof/>
              </w:rPr>
              <w:t>(</w:t>
            </w:r>
            <w:r w:rsidRPr="008B13A5">
              <w:rPr>
                <w:rStyle w:val="FootnoteReference"/>
                <w:noProof/>
              </w:rPr>
              <w:footnoteReference w:id="24"/>
            </w:r>
            <w:r w:rsidRPr="008B13A5">
              <w:rPr>
                <w:noProof/>
              </w:rPr>
              <w:t>)</w:t>
            </w:r>
          </w:p>
        </w:tc>
        <w:tc>
          <w:tcPr>
            <w:tcW w:w="0" w:type="auto"/>
          </w:tcPr>
          <w:p w14:paraId="500DAF94" w14:textId="0EBBDA74" w:rsidR="00EC49AF" w:rsidRPr="008B13A5" w:rsidRDefault="00EC49AF">
            <w:pPr>
              <w:spacing w:after="0"/>
              <w:jc w:val="center"/>
              <w:rPr>
                <w:noProof/>
              </w:rPr>
            </w:pPr>
            <w:r w:rsidRPr="008B13A5">
              <w:rPr>
                <w:noProof/>
              </w:rPr>
              <w:t>No structural capacity shift expected</w:t>
            </w:r>
          </w:p>
        </w:tc>
      </w:tr>
      <w:tr w:rsidR="00EC49AF" w:rsidRPr="008B13A5" w14:paraId="38D8F621" w14:textId="77777777">
        <w:tc>
          <w:tcPr>
            <w:tcW w:w="0" w:type="auto"/>
          </w:tcPr>
          <w:p w14:paraId="2FE47D77" w14:textId="568E8851" w:rsidR="00EC49AF" w:rsidRPr="008B13A5" w:rsidRDefault="00EC49AF">
            <w:pPr>
              <w:spacing w:after="0"/>
              <w:jc w:val="left"/>
              <w:rPr>
                <w:noProof/>
              </w:rPr>
            </w:pPr>
            <w:r w:rsidRPr="008B13A5">
              <w:rPr>
                <w:b/>
                <w:bCs/>
                <w:noProof/>
              </w:rPr>
              <w:t>Key risks</w:t>
            </w:r>
          </w:p>
        </w:tc>
        <w:tc>
          <w:tcPr>
            <w:tcW w:w="0" w:type="auto"/>
          </w:tcPr>
          <w:p w14:paraId="6BAE0722" w14:textId="383F1D0F" w:rsidR="00EC49AF" w:rsidRPr="008B13A5" w:rsidRDefault="00EC49AF">
            <w:pPr>
              <w:spacing w:after="0"/>
              <w:jc w:val="center"/>
              <w:rPr>
                <w:noProof/>
              </w:rPr>
            </w:pPr>
            <w:r w:rsidRPr="008B13A5">
              <w:rPr>
                <w:noProof/>
              </w:rPr>
              <w:t>AI-cycle volatility, trade barriers, CAPEX constraints</w:t>
            </w:r>
          </w:p>
        </w:tc>
        <w:tc>
          <w:tcPr>
            <w:tcW w:w="0" w:type="auto"/>
          </w:tcPr>
          <w:p w14:paraId="0E549971" w14:textId="396794DA" w:rsidR="00EC49AF" w:rsidRPr="008B13A5" w:rsidRDefault="00EC49AF">
            <w:pPr>
              <w:spacing w:after="0"/>
              <w:jc w:val="center"/>
              <w:rPr>
                <w:noProof/>
              </w:rPr>
            </w:pPr>
            <w:r w:rsidRPr="008B13A5">
              <w:rPr>
                <w:noProof/>
              </w:rPr>
              <w:t>Energy prices, project delays, limited AI participation</w:t>
            </w:r>
          </w:p>
        </w:tc>
        <w:tc>
          <w:tcPr>
            <w:tcW w:w="0" w:type="auto"/>
          </w:tcPr>
          <w:p w14:paraId="5E8F41B7" w14:textId="132B3192" w:rsidR="00EC49AF" w:rsidRPr="008B13A5" w:rsidRDefault="00EC49AF">
            <w:pPr>
              <w:spacing w:after="0"/>
              <w:jc w:val="center"/>
              <w:rPr>
                <w:noProof/>
              </w:rPr>
            </w:pPr>
            <w:r w:rsidRPr="008B13A5">
              <w:rPr>
                <w:noProof/>
              </w:rPr>
              <w:t>Structural, not cyclical</w:t>
            </w:r>
          </w:p>
        </w:tc>
      </w:tr>
    </w:tbl>
    <w:p w14:paraId="22A46F10" w14:textId="07E0625B" w:rsidR="009712FE" w:rsidRPr="00BD008E" w:rsidRDefault="00EC49AF" w:rsidP="009712FE">
      <w:pPr>
        <w:pStyle w:val="NormalWeb"/>
        <w:spacing w:after="0" w:afterAutospacing="0"/>
        <w:rPr>
          <w:noProof/>
        </w:rPr>
      </w:pPr>
      <w:r w:rsidRPr="00BD008E">
        <w:rPr>
          <w:noProof/>
        </w:rPr>
        <w:t xml:space="preserve">Using the IDC 2030 device value of </w:t>
      </w:r>
      <w:r w:rsidRPr="00BD008E">
        <w:rPr>
          <w:rStyle w:val="Strong"/>
          <w:noProof/>
        </w:rPr>
        <w:t>EUR 85.073 billion</w:t>
      </w:r>
      <w:r w:rsidRPr="00BD008E">
        <w:rPr>
          <w:noProof/>
        </w:rPr>
        <w:t>, the following projections are obtained:</w:t>
      </w:r>
    </w:p>
    <w:p w14:paraId="6B2A64D0" w14:textId="5A1A2746" w:rsidR="00EC49AF" w:rsidRPr="00BD008E" w:rsidRDefault="00EC49AF" w:rsidP="00F47256">
      <w:pPr>
        <w:pStyle w:val="NormalWeb"/>
        <w:numPr>
          <w:ilvl w:val="0"/>
          <w:numId w:val="80"/>
        </w:numPr>
        <w:spacing w:before="0" w:beforeAutospacing="0"/>
        <w:rPr>
          <w:noProof/>
        </w:rPr>
      </w:pPr>
      <w:r w:rsidRPr="00BD008E">
        <w:rPr>
          <w:noProof/>
        </w:rPr>
        <w:t xml:space="preserve">5% CAGR </w:t>
      </w:r>
      <w:r w:rsidRPr="00BD008E">
        <w:rPr>
          <w:rFonts w:ascii="Wingdings" w:eastAsia="Wingdings" w:hAnsi="Wingdings" w:cs="Wingdings"/>
          <w:noProof/>
        </w:rPr>
        <w:t></w:t>
      </w:r>
      <w:r w:rsidRPr="00BD008E">
        <w:rPr>
          <w:noProof/>
        </w:rPr>
        <w:t xml:space="preserve"> 85.1×(1.05)</w:t>
      </w:r>
      <w:r w:rsidRPr="00BD008E">
        <w:rPr>
          <w:noProof/>
          <w:vertAlign w:val="superscript"/>
        </w:rPr>
        <w:t>5</w:t>
      </w:r>
      <w:r w:rsidRPr="00BD008E">
        <w:rPr>
          <w:noProof/>
        </w:rPr>
        <w:t>≈85.1×1.276≈EUR 108.6 billion</w:t>
      </w:r>
    </w:p>
    <w:p w14:paraId="0FCF0C57" w14:textId="21E79BF9" w:rsidR="00EC49AF" w:rsidRPr="008B13A5" w:rsidRDefault="0077526C" w:rsidP="00EC49AF">
      <w:pPr>
        <w:rPr>
          <w:noProof/>
        </w:rPr>
      </w:pPr>
      <w:r w:rsidRPr="008B13A5">
        <w:rPr>
          <w:noProof/>
        </w:rPr>
        <w:t>Therefore, u</w:t>
      </w:r>
      <w:r w:rsidR="00EC49AF" w:rsidRPr="008B13A5">
        <w:rPr>
          <w:noProof/>
        </w:rPr>
        <w:t xml:space="preserve">nder the BAU, EU27 device revenues increase from EUR 85.1 billion in 2030 to approximately EUR 108.6 billion in 2035. </w:t>
      </w:r>
      <w:r w:rsidR="006C54D4" w:rsidRPr="008B13A5">
        <w:rPr>
          <w:noProof/>
        </w:rPr>
        <w:t>Furthermore, o</w:t>
      </w:r>
      <w:r w:rsidR="00EC49AF" w:rsidRPr="008B13A5">
        <w:rPr>
          <w:noProof/>
        </w:rPr>
        <w:t>ver the full 2023–2035 period, the EU27 semiconductor device segment is therefore projected to grow from EUR 50.5 billion to around EUR 108.6 billion. This corresponds to a cumulative increase of roughly 115 % and an implied</w:t>
      </w:r>
      <w:r w:rsidR="00EC49AF" w:rsidRPr="008B13A5">
        <w:rPr>
          <w:b/>
          <w:bCs/>
          <w:noProof/>
        </w:rPr>
        <w:t xml:space="preserve"> average annual growth rate of approximately 6.6%.</w:t>
      </w:r>
      <w:r w:rsidR="00EC49AF" w:rsidRPr="008B13A5">
        <w:rPr>
          <w:noProof/>
        </w:rPr>
        <w:t xml:space="preserve"> This shows a deceleration of the European revenue growth, from the period 2025-2030 (7.7%) to the period 2030-2035 (5%), where the importance of AI and leading-edge </w:t>
      </w:r>
      <w:r w:rsidR="00A0738F" w:rsidRPr="008B13A5">
        <w:rPr>
          <w:noProof/>
        </w:rPr>
        <w:t xml:space="preserve">manufacturing </w:t>
      </w:r>
      <w:r w:rsidR="00EC49AF" w:rsidRPr="008B13A5">
        <w:rPr>
          <w:noProof/>
        </w:rPr>
        <w:t>will become more prominent.</w:t>
      </w:r>
    </w:p>
    <w:p w14:paraId="5160358A" w14:textId="1A10519A" w:rsidR="00EC49AF" w:rsidRPr="008B13A5" w:rsidRDefault="00EC49AF" w:rsidP="003A535A">
      <w:pPr>
        <w:pStyle w:val="Heading2"/>
        <w:rPr>
          <w:noProof/>
        </w:rPr>
      </w:pPr>
      <w:bookmarkStart w:id="130" w:name="_Toc217394773"/>
      <w:bookmarkStart w:id="131" w:name="_Toc217395612"/>
      <w:bookmarkStart w:id="132" w:name="_Toc217396461"/>
      <w:bookmarkStart w:id="133" w:name="_Toc1827318014"/>
      <w:bookmarkStart w:id="134" w:name="_Toc223620622"/>
      <w:bookmarkStart w:id="135" w:name="_Toc230010408"/>
      <w:r w:rsidRPr="008B13A5">
        <w:rPr>
          <w:noProof/>
        </w:rPr>
        <w:t>EU Semiconductor manufacturing capacity estimation</w:t>
      </w:r>
      <w:bookmarkEnd w:id="130"/>
      <w:bookmarkEnd w:id="131"/>
      <w:bookmarkEnd w:id="132"/>
      <w:bookmarkEnd w:id="133"/>
      <w:bookmarkEnd w:id="134"/>
      <w:bookmarkEnd w:id="135"/>
    </w:p>
    <w:p w14:paraId="72F2BF74" w14:textId="49B17793" w:rsidR="00EC49AF" w:rsidRPr="008B13A5" w:rsidRDefault="00EC49AF" w:rsidP="003A535A">
      <w:pPr>
        <w:pStyle w:val="Heading3"/>
        <w:rPr>
          <w:noProof/>
          <w:szCs w:val="22"/>
        </w:rPr>
      </w:pPr>
      <w:bookmarkStart w:id="136" w:name="_Toc217395613"/>
      <w:bookmarkStart w:id="137" w:name="_Toc217396462"/>
      <w:bookmarkStart w:id="138" w:name="_Toc1622890230"/>
      <w:bookmarkStart w:id="139" w:name="_Toc223620623"/>
      <w:bookmarkStart w:id="140" w:name="_Toc230010409"/>
      <w:r w:rsidRPr="008B13A5">
        <w:rPr>
          <w:noProof/>
          <w:szCs w:val="22"/>
        </w:rPr>
        <w:t>Establishing a starting point for BAU scenario</w:t>
      </w:r>
      <w:bookmarkEnd w:id="136"/>
      <w:bookmarkEnd w:id="137"/>
      <w:bookmarkEnd w:id="138"/>
      <w:bookmarkEnd w:id="139"/>
      <w:bookmarkEnd w:id="140"/>
    </w:p>
    <w:p w14:paraId="65A7BA8D" w14:textId="08716528" w:rsidR="00EC49AF" w:rsidRPr="008B13A5" w:rsidRDefault="00033A2C" w:rsidP="00EC49AF">
      <w:pPr>
        <w:pStyle w:val="NormalWeb"/>
        <w:jc w:val="both"/>
        <w:rPr>
          <w:noProof/>
        </w:rPr>
      </w:pPr>
      <w:r w:rsidRPr="008B13A5">
        <w:rPr>
          <w:noProof/>
        </w:rPr>
        <w:t>The below</w:t>
      </w:r>
      <w:r w:rsidR="00EC49AF" w:rsidRPr="008B13A5">
        <w:rPr>
          <w:noProof/>
        </w:rPr>
        <w:t xml:space="preserve"> estimate reflects </w:t>
      </w:r>
      <w:r w:rsidR="00EC49AF" w:rsidRPr="008B13A5">
        <w:rPr>
          <w:rStyle w:val="Strong"/>
          <w:rFonts w:eastAsia="MS Gothic"/>
          <w:noProof/>
        </w:rPr>
        <w:t>Europe’s physical potential to manufacture semiconductor wafers in front-end fabs</w:t>
      </w:r>
      <w:r w:rsidR="00EC49AF" w:rsidRPr="008B13A5">
        <w:rPr>
          <w:noProof/>
        </w:rPr>
        <w:t xml:space="preserve">, but it does not </w:t>
      </w:r>
      <w:r w:rsidR="001E0DCC" w:rsidRPr="008B13A5">
        <w:rPr>
          <w:noProof/>
        </w:rPr>
        <w:t xml:space="preserve">indicate </w:t>
      </w:r>
      <w:r w:rsidR="00EC49AF" w:rsidRPr="008B13A5">
        <w:rPr>
          <w:noProof/>
        </w:rPr>
        <w:t>how much is actually produced, nor the revenue or value chain contributions of other semiconductor segments.</w:t>
      </w:r>
    </w:p>
    <w:tbl>
      <w:tblPr>
        <w:tblStyle w:val="TableGrid"/>
        <w:tblW w:w="0" w:type="auto"/>
        <w:tblInd w:w="-108" w:type="dxa"/>
        <w:tblCellMar>
          <w:left w:w="0" w:type="dxa"/>
          <w:right w:w="0" w:type="dxa"/>
        </w:tblCellMar>
        <w:tblLook w:val="04A0" w:firstRow="1" w:lastRow="0" w:firstColumn="1" w:lastColumn="0" w:noHBand="0" w:noVBand="1"/>
      </w:tblPr>
      <w:tblGrid>
        <w:gridCol w:w="9472"/>
      </w:tblGrid>
      <w:tr w:rsidR="00EC49AF" w:rsidRPr="008B13A5" w14:paraId="3F822329" w14:textId="77777777">
        <w:tc>
          <w:tcPr>
            <w:tcW w:w="9628" w:type="dxa"/>
            <w:shd w:val="clear" w:color="auto" w:fill="FDE9D9"/>
          </w:tcPr>
          <w:p w14:paraId="6EACA556" w14:textId="3CADD495" w:rsidR="00EC49AF" w:rsidRPr="008B13A5" w:rsidRDefault="00EC49AF" w:rsidP="003A535A">
            <w:pPr>
              <w:spacing w:after="0"/>
              <w:jc w:val="center"/>
              <w:rPr>
                <w:b/>
                <w:noProof/>
                <w:szCs w:val="22"/>
              </w:rPr>
            </w:pPr>
            <w:r w:rsidRPr="008B13A5">
              <w:rPr>
                <w:b/>
                <w:noProof/>
                <w:szCs w:val="22"/>
              </w:rPr>
              <w:t>Data anchors</w:t>
            </w:r>
          </w:p>
          <w:p w14:paraId="704FC695" w14:textId="636DA50B" w:rsidR="00EC49AF" w:rsidRPr="008B13A5" w:rsidRDefault="00EC49AF" w:rsidP="003A535A">
            <w:pPr>
              <w:pStyle w:val="NormalWeb"/>
              <w:rPr>
                <w:noProof/>
                <w:sz w:val="22"/>
                <w:szCs w:val="22"/>
              </w:rPr>
            </w:pPr>
            <w:r w:rsidRPr="008B13A5">
              <w:rPr>
                <w:rStyle w:val="Strong"/>
                <w:rFonts w:eastAsia="MS Gothic"/>
                <w:noProof/>
              </w:rPr>
              <w:t>Global installed capacity, 2023:</w:t>
            </w:r>
            <w:r w:rsidRPr="008B13A5">
              <w:rPr>
                <w:b/>
                <w:bCs/>
                <w:noProof/>
              </w:rPr>
              <w:t xml:space="preserve"> 29.6 million wpm (wafers per month – 200 mm-equivalent)</w:t>
            </w:r>
            <w:r w:rsidRPr="008B13A5">
              <w:rPr>
                <w:noProof/>
              </w:rPr>
              <w:t>. Source: SEMI World Fab Forecast release of 2 January 2024</w:t>
            </w:r>
            <w:r w:rsidR="00F274DD" w:rsidRPr="008B13A5">
              <w:rPr>
                <w:noProof/>
              </w:rPr>
              <w:t xml:space="preserve"> </w:t>
            </w:r>
            <w:r w:rsidRPr="008B13A5">
              <w:rPr>
                <w:noProof/>
              </w:rPr>
              <w:t>(</w:t>
            </w:r>
            <w:r w:rsidRPr="008B13A5">
              <w:rPr>
                <w:rStyle w:val="FootnoteReference"/>
                <w:noProof/>
              </w:rPr>
              <w:footnoteReference w:id="25"/>
            </w:r>
            <w:r w:rsidRPr="008B13A5">
              <w:rPr>
                <w:noProof/>
              </w:rPr>
              <w:t>)202</w:t>
            </w:r>
            <w:r w:rsidR="00F274DD" w:rsidRPr="008B13A5">
              <w:rPr>
                <w:rStyle w:val="Strong"/>
                <w:noProof/>
              </w:rPr>
              <w:t xml:space="preserve"> </w:t>
            </w:r>
            <w:r w:rsidRPr="008B13A5">
              <w:rPr>
                <w:rStyle w:val="Strong"/>
                <w:noProof/>
              </w:rPr>
              <w:t>(</w:t>
            </w:r>
            <w:r w:rsidRPr="008B13A5">
              <w:rPr>
                <w:rStyle w:val="FootnoteReference"/>
                <w:noProof/>
              </w:rPr>
              <w:footnoteReference w:id="26"/>
            </w:r>
            <w:r w:rsidRPr="008B13A5">
              <w:rPr>
                <w:rStyle w:val="Strong"/>
                <w:noProof/>
              </w:rPr>
              <w:t>)</w:t>
            </w:r>
            <w:r w:rsidRPr="008B13A5">
              <w:rPr>
                <w:noProof/>
              </w:rPr>
              <w:t>. The IDC report also states that all manufacturing currently located in the EU is at mature nodes (≥ 40 nm) and that no advanced or leading-edge manufacturing is available in the region.</w:t>
            </w:r>
            <w:r w:rsidRPr="008B13A5">
              <w:rPr>
                <w:noProof/>
                <w:sz w:val="22"/>
                <w:szCs w:val="22"/>
              </w:rPr>
              <w:t xml:space="preserve"> </w:t>
            </w:r>
          </w:p>
        </w:tc>
      </w:tr>
    </w:tbl>
    <w:p w14:paraId="7E8BBE6C" w14:textId="77777777" w:rsidR="00EC49AF" w:rsidRPr="008B13A5" w:rsidRDefault="00EC49AF" w:rsidP="00EC49AF">
      <w:pPr>
        <w:pStyle w:val="NoSpacing"/>
        <w:rPr>
          <w:rFonts w:ascii="Times New Roman" w:hAnsi="Times New Roman" w:cs="Times New Roman"/>
          <w:b/>
          <w:bCs/>
          <w:noProof/>
        </w:rPr>
      </w:pPr>
    </w:p>
    <w:p w14:paraId="11DE04F4" w14:textId="51768623" w:rsidR="00EC49AF" w:rsidRPr="008B13A5" w:rsidRDefault="00EC49AF" w:rsidP="00BD008E">
      <w:pPr>
        <w:pStyle w:val="NoSpacing"/>
        <w:ind w:left="-142"/>
        <w:rPr>
          <w:rFonts w:ascii="Times New Roman" w:hAnsi="Times New Roman" w:cs="Times New Roman"/>
          <w:noProof/>
          <w:sz w:val="24"/>
          <w:szCs w:val="24"/>
        </w:rPr>
      </w:pPr>
      <w:r w:rsidRPr="008B13A5">
        <w:rPr>
          <w:rFonts w:ascii="Times New Roman" w:hAnsi="Times New Roman" w:cs="Times New Roman"/>
          <w:b/>
          <w:bCs/>
          <w:noProof/>
          <w:sz w:val="24"/>
          <w:szCs w:val="24"/>
        </w:rPr>
        <w:t>The EU27 share (8.1 %)</w:t>
      </w:r>
      <w:r w:rsidR="0018124A" w:rsidRPr="008B13A5">
        <w:rPr>
          <w:rStyle w:val="FootnoteReference"/>
          <w:rFonts w:ascii="Times New Roman" w:hAnsi="Times New Roman" w:cs="Times New Roman"/>
          <w:b/>
          <w:bCs/>
          <w:noProof/>
          <w:sz w:val="24"/>
          <w:szCs w:val="24"/>
        </w:rPr>
        <w:footnoteReference w:id="27"/>
      </w:r>
      <w:r w:rsidRPr="008B13A5">
        <w:rPr>
          <w:rFonts w:ascii="Times New Roman" w:hAnsi="Times New Roman" w:cs="Times New Roman"/>
          <w:b/>
          <w:bCs/>
          <w:noProof/>
          <w:sz w:val="24"/>
          <w:szCs w:val="24"/>
        </w:rPr>
        <w:t xml:space="preserve"> is applied to SEMI’s global installed capacity</w:t>
      </w:r>
      <w:r w:rsidRPr="008B13A5">
        <w:rPr>
          <w:rFonts w:ascii="Times New Roman" w:hAnsi="Times New Roman" w:cs="Times New Roman"/>
          <w:noProof/>
          <w:sz w:val="24"/>
          <w:szCs w:val="24"/>
        </w:rPr>
        <w:t>:</w:t>
      </w:r>
    </w:p>
    <w:p w14:paraId="0D70BF8A" w14:textId="16A54C27" w:rsidR="00EC49AF" w:rsidRPr="008B13A5" w:rsidRDefault="00EC49AF" w:rsidP="00BD008E">
      <w:pPr>
        <w:pStyle w:val="NoSpacing"/>
        <w:ind w:left="-142" w:firstLine="720"/>
        <w:rPr>
          <w:rStyle w:val="mord"/>
          <w:rFonts w:ascii="Times New Roman" w:eastAsia="Calibri" w:hAnsi="Times New Roman" w:cs="Times New Roman"/>
          <w:noProof/>
          <w:sz w:val="24"/>
          <w:szCs w:val="24"/>
        </w:rPr>
      </w:pPr>
      <w:r w:rsidRPr="008B13A5">
        <w:rPr>
          <w:rStyle w:val="mord"/>
          <w:rFonts w:ascii="Times New Roman" w:hAnsi="Times New Roman" w:cs="Times New Roman"/>
          <w:noProof/>
          <w:sz w:val="24"/>
          <w:szCs w:val="24"/>
        </w:rPr>
        <w:t>29.6</w:t>
      </w:r>
      <w:r w:rsidRPr="008B13A5">
        <w:rPr>
          <w:rStyle w:val="mspace"/>
          <w:rFonts w:ascii="Times New Roman" w:hAnsi="Times New Roman" w:cs="Times New Roman"/>
          <w:noProof/>
          <w:sz w:val="24"/>
          <w:szCs w:val="24"/>
        </w:rPr>
        <w:t xml:space="preserve"> </w:t>
      </w:r>
      <w:r w:rsidRPr="008B13A5">
        <w:rPr>
          <w:rStyle w:val="mord"/>
          <w:rFonts w:ascii="Times New Roman" w:hAnsi="Times New Roman" w:cs="Times New Roman"/>
          <w:noProof/>
          <w:sz w:val="24"/>
          <w:szCs w:val="24"/>
        </w:rPr>
        <w:t>million w</w:t>
      </w:r>
      <w:r w:rsidR="00C16ECE" w:rsidRPr="008B13A5">
        <w:rPr>
          <w:rStyle w:val="mord"/>
          <w:rFonts w:ascii="Times New Roman" w:hAnsi="Times New Roman" w:cs="Times New Roman"/>
          <w:noProof/>
          <w:sz w:val="24"/>
          <w:szCs w:val="24"/>
        </w:rPr>
        <w:t>s</w:t>
      </w:r>
      <w:r w:rsidRPr="008B13A5">
        <w:rPr>
          <w:rStyle w:val="mord"/>
          <w:rFonts w:ascii="Times New Roman" w:hAnsi="Times New Roman" w:cs="Times New Roman"/>
          <w:noProof/>
          <w:sz w:val="24"/>
          <w:szCs w:val="24"/>
        </w:rPr>
        <w:t>pm</w:t>
      </w:r>
      <w:r w:rsidR="005A115B" w:rsidRPr="008B13A5">
        <w:rPr>
          <w:rStyle w:val="mord"/>
          <w:rFonts w:ascii="Times New Roman" w:hAnsi="Times New Roman" w:cs="Times New Roman"/>
          <w:noProof/>
          <w:sz w:val="24"/>
          <w:szCs w:val="24"/>
        </w:rPr>
        <w:t xml:space="preserve"> </w:t>
      </w:r>
      <w:r w:rsidRPr="008B13A5">
        <w:rPr>
          <w:rStyle w:val="mbin"/>
          <w:rFonts w:ascii="Times New Roman" w:hAnsi="Times New Roman" w:cs="Times New Roman"/>
          <w:noProof/>
          <w:sz w:val="24"/>
          <w:szCs w:val="24"/>
        </w:rPr>
        <w:t>×</w:t>
      </w:r>
      <w:r w:rsidR="005A115B" w:rsidRPr="008B13A5">
        <w:rPr>
          <w:rStyle w:val="mbin"/>
          <w:rFonts w:ascii="Times New Roman" w:hAnsi="Times New Roman" w:cs="Times New Roman"/>
          <w:noProof/>
          <w:sz w:val="24"/>
          <w:szCs w:val="24"/>
        </w:rPr>
        <w:t xml:space="preserve"> </w:t>
      </w:r>
      <w:r w:rsidRPr="008B13A5">
        <w:rPr>
          <w:rStyle w:val="mord"/>
          <w:rFonts w:ascii="Times New Roman" w:hAnsi="Times New Roman" w:cs="Times New Roman"/>
          <w:noProof/>
          <w:sz w:val="24"/>
          <w:szCs w:val="24"/>
        </w:rPr>
        <w:t>0.081 =</w:t>
      </w:r>
      <w:r w:rsidR="00C16ECE" w:rsidRPr="008B13A5">
        <w:rPr>
          <w:rStyle w:val="mord"/>
          <w:rFonts w:ascii="Times New Roman" w:hAnsi="Times New Roman" w:cs="Times New Roman"/>
          <w:noProof/>
          <w:sz w:val="24"/>
          <w:szCs w:val="24"/>
        </w:rPr>
        <w:t xml:space="preserve"> </w:t>
      </w:r>
      <w:r w:rsidRPr="008B13A5">
        <w:rPr>
          <w:rStyle w:val="mord"/>
          <w:rFonts w:ascii="Times New Roman" w:hAnsi="Times New Roman" w:cs="Times New Roman"/>
          <w:noProof/>
          <w:sz w:val="24"/>
          <w:szCs w:val="24"/>
        </w:rPr>
        <w:t>2.40 million wpm (200 mm-equivalent)</w:t>
      </w:r>
    </w:p>
    <w:p w14:paraId="3970BBC5" w14:textId="05CDD926" w:rsidR="00EC49AF" w:rsidRPr="008B13A5" w:rsidRDefault="00EC49AF" w:rsidP="00C16ECE">
      <w:pPr>
        <w:spacing w:before="100" w:beforeAutospacing="1" w:after="0"/>
        <w:ind w:left="-142"/>
        <w:jc w:val="left"/>
        <w:rPr>
          <w:noProof/>
          <w:lang w:eastAsia="en-GB"/>
        </w:rPr>
      </w:pPr>
      <w:r w:rsidRPr="008B13A5">
        <w:rPr>
          <w:noProof/>
          <w:szCs w:val="22"/>
          <w:lang w:eastAsia="en-GB"/>
        </w:rPr>
        <w:t xml:space="preserve">IDC expresses all manufacturing capacity in </w:t>
      </w:r>
      <w:r w:rsidRPr="008B13A5">
        <w:rPr>
          <w:b/>
          <w:noProof/>
          <w:szCs w:val="22"/>
          <w:lang w:eastAsia="en-GB"/>
        </w:rPr>
        <w:t>300mm-equivalent</w:t>
      </w:r>
      <w:r w:rsidRPr="008B13A5">
        <w:rPr>
          <w:noProof/>
          <w:szCs w:val="22"/>
          <w:lang w:eastAsia="en-GB"/>
        </w:rPr>
        <w:t xml:space="preserve"> units.</w:t>
      </w:r>
      <w:r w:rsidRPr="008B13A5">
        <w:rPr>
          <w:noProof/>
          <w:lang w:eastAsia="en-GB"/>
        </w:rPr>
        <w:br/>
        <w:t>Wafer-size normalisation follows surface-area ratios:</w:t>
      </w:r>
    </w:p>
    <w:p w14:paraId="33F0570D" w14:textId="77777777" w:rsidR="0018124A" w:rsidRPr="008B13A5" w:rsidRDefault="0018124A" w:rsidP="0018124A">
      <w:pPr>
        <w:numPr>
          <w:ilvl w:val="0"/>
          <w:numId w:val="86"/>
        </w:numPr>
        <w:spacing w:before="100" w:beforeAutospacing="1" w:after="100" w:afterAutospacing="1"/>
        <w:jc w:val="left"/>
        <w:rPr>
          <w:noProof/>
          <w:lang w:eastAsia="en-GB"/>
        </w:rPr>
      </w:pPr>
      <w:r w:rsidRPr="008B13A5">
        <w:rPr>
          <w:noProof/>
          <w:lang w:eastAsia="en-GB"/>
        </w:rPr>
        <w:t>Surface area of a 200 mm wafer: π × 100²</w:t>
      </w:r>
    </w:p>
    <w:p w14:paraId="26485B93" w14:textId="77777777" w:rsidR="0018124A" w:rsidRPr="008B13A5" w:rsidRDefault="0018124A" w:rsidP="0018124A">
      <w:pPr>
        <w:numPr>
          <w:ilvl w:val="0"/>
          <w:numId w:val="86"/>
        </w:numPr>
        <w:spacing w:before="100" w:beforeAutospacing="1" w:after="100" w:afterAutospacing="1"/>
        <w:jc w:val="left"/>
        <w:rPr>
          <w:noProof/>
          <w:lang w:eastAsia="en-GB"/>
        </w:rPr>
      </w:pPr>
      <w:r w:rsidRPr="008B13A5">
        <w:rPr>
          <w:noProof/>
          <w:lang w:eastAsia="en-GB"/>
        </w:rPr>
        <w:t>Surface area of a 300 mm wafer: π × 150²</w:t>
      </w:r>
    </w:p>
    <w:p w14:paraId="6661FAB8" w14:textId="3FE91FBE" w:rsidR="00EC49AF" w:rsidRPr="00786C32" w:rsidRDefault="00EC49AF" w:rsidP="00BD008E">
      <w:pPr>
        <w:pStyle w:val="ListParagraph"/>
        <w:numPr>
          <w:ilvl w:val="0"/>
          <w:numId w:val="86"/>
        </w:numPr>
        <w:spacing w:before="100" w:beforeAutospacing="1" w:after="0"/>
        <w:jc w:val="left"/>
        <w:rPr>
          <w:noProof/>
          <w:lang w:val="fr-BE" w:eastAsia="en-GB"/>
        </w:rPr>
      </w:pPr>
      <w:r w:rsidRPr="00786C32" w:rsidDel="0018124A">
        <w:rPr>
          <w:noProof/>
          <w:lang w:val="fr-BE" w:eastAsia="en-GB"/>
        </w:rPr>
        <w:t>Surface Ratio: 200 mm / 300 mm wafer = 4/9 ≈ 0.444</w:t>
      </w:r>
    </w:p>
    <w:p w14:paraId="57DC5084" w14:textId="6D73A020" w:rsidR="00EC49AF" w:rsidRPr="008B13A5" w:rsidRDefault="00EC49AF" w:rsidP="00BD008E">
      <w:pPr>
        <w:spacing w:before="100" w:beforeAutospacing="1" w:after="100" w:afterAutospacing="1"/>
        <w:ind w:left="-142"/>
        <w:jc w:val="left"/>
        <w:rPr>
          <w:b/>
          <w:bCs/>
          <w:noProof/>
          <w:lang w:eastAsia="en-GB"/>
        </w:rPr>
      </w:pPr>
      <w:r w:rsidRPr="008B13A5">
        <w:rPr>
          <w:noProof/>
          <w:lang w:eastAsia="en-GB"/>
        </w:rPr>
        <w:t>Th</w:t>
      </w:r>
      <w:r w:rsidR="00B766AF" w:rsidRPr="008B13A5">
        <w:rPr>
          <w:noProof/>
          <w:lang w:eastAsia="en-GB"/>
        </w:rPr>
        <w:t>erefore</w:t>
      </w:r>
      <w:r w:rsidRPr="008B13A5">
        <w:rPr>
          <w:noProof/>
          <w:lang w:eastAsia="en-GB"/>
        </w:rPr>
        <w:t>: 2.40 million w</w:t>
      </w:r>
      <w:r w:rsidR="005A115B" w:rsidRPr="008B13A5">
        <w:rPr>
          <w:noProof/>
          <w:lang w:eastAsia="en-GB"/>
        </w:rPr>
        <w:t>s</w:t>
      </w:r>
      <w:r w:rsidRPr="008B13A5">
        <w:rPr>
          <w:noProof/>
          <w:lang w:eastAsia="en-GB"/>
        </w:rPr>
        <w:t>pm ×</w:t>
      </w:r>
      <w:r w:rsidR="005A115B" w:rsidRPr="008B13A5">
        <w:rPr>
          <w:noProof/>
          <w:lang w:eastAsia="en-GB"/>
        </w:rPr>
        <w:t xml:space="preserve"> </w:t>
      </w:r>
      <w:r w:rsidRPr="008B13A5">
        <w:rPr>
          <w:noProof/>
          <w:lang w:eastAsia="en-GB"/>
        </w:rPr>
        <w:t>0.444 ≈</w:t>
      </w:r>
      <w:r w:rsidRPr="008B13A5">
        <w:rPr>
          <w:b/>
          <w:bCs/>
          <w:noProof/>
          <w:lang w:eastAsia="en-GB"/>
        </w:rPr>
        <w:t>1.07 million wpm (300mm-equivalent)</w:t>
      </w:r>
    </w:p>
    <w:p w14:paraId="21106942" w14:textId="226FC73B" w:rsidR="00EC49AF" w:rsidRPr="008B13A5" w:rsidRDefault="00EC49AF" w:rsidP="00D85275">
      <w:pPr>
        <w:pStyle w:val="Heading3"/>
        <w:rPr>
          <w:noProof/>
        </w:rPr>
      </w:pPr>
      <w:bookmarkStart w:id="143" w:name="_Toc217395614"/>
      <w:bookmarkStart w:id="144" w:name="_Toc217396463"/>
      <w:bookmarkStart w:id="145" w:name="_Toc894331944"/>
      <w:bookmarkStart w:id="146" w:name="_Toc223620624"/>
      <w:bookmarkStart w:id="147" w:name="_Toc230010410"/>
      <w:r w:rsidRPr="008B13A5">
        <w:rPr>
          <w:noProof/>
        </w:rPr>
        <w:t>Modelling the BAU scenario</w:t>
      </w:r>
      <w:bookmarkEnd w:id="143"/>
      <w:bookmarkEnd w:id="144"/>
      <w:bookmarkEnd w:id="145"/>
      <w:bookmarkEnd w:id="146"/>
      <w:bookmarkEnd w:id="147"/>
    </w:p>
    <w:p w14:paraId="0DA2BD48" w14:textId="1B9D05B9" w:rsidR="00EC49AF" w:rsidRPr="008B13A5" w:rsidRDefault="0014123A" w:rsidP="00BD008E">
      <w:pPr>
        <w:rPr>
          <w:noProof/>
        </w:rPr>
      </w:pPr>
      <w:r w:rsidRPr="008B13A5">
        <w:rPr>
          <w:noProof/>
        </w:rPr>
        <w:t>The BAU scenario is anchored in a documented 2023 baseline and projected forward on that basis. Capacity projections are drawn from the IDC Semiconductor Fab database, which provides estimates of global and EU27 production capacity expressed in 300mm (12") wafer starts per month equivalents. As the dataset extends only to 2030, projections to 2035, the end of the next MFF, are derived by applying global production trends to the EU context.</w:t>
      </w:r>
      <w:r w:rsidR="00EC49AF" w:rsidRPr="008B13A5">
        <w:rPr>
          <w:noProof/>
        </w:rPr>
        <w:t>.</w:t>
      </w:r>
    </w:p>
    <w:p w14:paraId="37441E64" w14:textId="78C7D79B" w:rsidR="00EC49AF" w:rsidRPr="008B13A5" w:rsidRDefault="00EC49AF" w:rsidP="00EC49AF">
      <w:pPr>
        <w:rPr>
          <w:b/>
          <w:bCs/>
          <w:noProof/>
        </w:rPr>
      </w:pPr>
      <w:r w:rsidRPr="008B13A5">
        <w:rPr>
          <w:b/>
          <w:bCs/>
          <w:noProof/>
        </w:rPr>
        <w:t xml:space="preserve">Pipeline used in BAU </w:t>
      </w:r>
    </w:p>
    <w:p w14:paraId="51E9BA15" w14:textId="26ABE204" w:rsidR="009E583D" w:rsidRPr="008B13A5" w:rsidRDefault="009E583D" w:rsidP="00EC49AF">
      <w:pPr>
        <w:pStyle w:val="NormalWeb"/>
        <w:spacing w:before="0" w:beforeAutospacing="0" w:after="0" w:afterAutospacing="0"/>
        <w:jc w:val="both"/>
        <w:rPr>
          <w:noProof/>
        </w:rPr>
      </w:pPr>
      <w:r w:rsidRPr="008B13A5">
        <w:rPr>
          <w:noProof/>
        </w:rPr>
        <w:t xml:space="preserve">The construction of the BAU scenario relies on projections from the IDC Semiconductor Fab database. The figures in the table below reflect new projects that have already been announced (see Table </w:t>
      </w:r>
      <w:r w:rsidR="00384F6C">
        <w:rPr>
          <w:noProof/>
        </w:rPr>
        <w:t>4</w:t>
      </w:r>
      <w:r w:rsidRPr="008B13A5">
        <w:rPr>
          <w:noProof/>
        </w:rPr>
        <w:t>).</w:t>
      </w:r>
    </w:p>
    <w:p w14:paraId="0B267CB9" w14:textId="77777777" w:rsidR="00EC49AF" w:rsidRPr="008B13A5" w:rsidRDefault="00EC49AF" w:rsidP="00EC49AF">
      <w:pPr>
        <w:pStyle w:val="NormalWeb"/>
        <w:spacing w:before="0" w:beforeAutospacing="0" w:after="0" w:afterAutospacing="0"/>
        <w:rPr>
          <w:b/>
          <w:bCs/>
          <w:iCs/>
          <w:noProof/>
        </w:rPr>
      </w:pPr>
    </w:p>
    <w:p w14:paraId="5E8B7F46" w14:textId="2B0A898C" w:rsidR="00EC49AF" w:rsidRPr="008B13A5" w:rsidRDefault="00EC49AF" w:rsidP="00EC49AF">
      <w:pPr>
        <w:rPr>
          <w:i/>
          <w:noProof/>
        </w:rPr>
      </w:pPr>
      <w:r w:rsidRPr="008B13A5">
        <w:rPr>
          <w:b/>
          <w:bCs/>
          <w:iCs/>
          <w:noProof/>
          <w:szCs w:val="22"/>
        </w:rPr>
        <w:t xml:space="preserve">Table </w:t>
      </w:r>
      <w:r w:rsidR="00384F6C">
        <w:rPr>
          <w:b/>
          <w:bCs/>
          <w:iCs/>
          <w:noProof/>
          <w:szCs w:val="22"/>
        </w:rPr>
        <w:t>4</w:t>
      </w:r>
      <w:r w:rsidRPr="008B13A5">
        <w:rPr>
          <w:b/>
          <w:bCs/>
          <w:iCs/>
          <w:noProof/>
          <w:szCs w:val="22"/>
        </w:rPr>
        <w:t xml:space="preserve">. Projected new fab capacity resulting from the announced projects. </w:t>
      </w:r>
      <w:r w:rsidRPr="008B13A5">
        <w:rPr>
          <w:i/>
          <w:noProof/>
        </w:rPr>
        <w:t>Source: IDC Semiconductor Fab database.</w:t>
      </w:r>
    </w:p>
    <w:tbl>
      <w:tblPr>
        <w:tblStyle w:val="TableGrid"/>
        <w:tblW w:w="9876" w:type="dxa"/>
        <w:tblInd w:w="-147" w:type="dxa"/>
        <w:tblLayout w:type="fixed"/>
        <w:tblLook w:val="04A0" w:firstRow="1" w:lastRow="0" w:firstColumn="1" w:lastColumn="0" w:noHBand="0" w:noVBand="1"/>
      </w:tblPr>
      <w:tblGrid>
        <w:gridCol w:w="1705"/>
        <w:gridCol w:w="891"/>
        <w:gridCol w:w="891"/>
        <w:gridCol w:w="892"/>
        <w:gridCol w:w="891"/>
        <w:gridCol w:w="892"/>
        <w:gridCol w:w="891"/>
        <w:gridCol w:w="892"/>
        <w:gridCol w:w="891"/>
        <w:gridCol w:w="1040"/>
      </w:tblGrid>
      <w:tr w:rsidR="00EC49AF" w:rsidRPr="008B13A5" w14:paraId="56FA05B7" w14:textId="77777777" w:rsidTr="00B52FD3">
        <w:trPr>
          <w:trHeight w:val="288"/>
        </w:trPr>
        <w:tc>
          <w:tcPr>
            <w:tcW w:w="1705" w:type="dxa"/>
            <w:tcBorders>
              <w:top w:val="single" w:sz="4" w:space="0" w:color="auto"/>
              <w:left w:val="single" w:sz="4" w:space="0" w:color="auto"/>
              <w:bottom w:val="single" w:sz="4" w:space="0" w:color="auto"/>
              <w:right w:val="single" w:sz="4" w:space="0" w:color="auto"/>
            </w:tcBorders>
            <w:noWrap/>
            <w:vAlign w:val="center"/>
          </w:tcPr>
          <w:p w14:paraId="289E97DE" w14:textId="342B0F53" w:rsidR="00EC49AF" w:rsidRPr="008B13A5" w:rsidRDefault="00EC49AF">
            <w:pPr>
              <w:spacing w:after="0"/>
              <w:jc w:val="left"/>
              <w:rPr>
                <w:b/>
                <w:bCs/>
                <w:noProof/>
                <w:color w:val="000000"/>
                <w:sz w:val="20"/>
              </w:rPr>
            </w:pPr>
            <w:r w:rsidRPr="008B13A5">
              <w:rPr>
                <w:b/>
                <w:bCs/>
                <w:noProof/>
                <w:color w:val="000000"/>
                <w:sz w:val="20"/>
              </w:rPr>
              <w:t>Product Type</w:t>
            </w:r>
          </w:p>
        </w:tc>
        <w:tc>
          <w:tcPr>
            <w:tcW w:w="891" w:type="dxa"/>
            <w:tcBorders>
              <w:top w:val="single" w:sz="4" w:space="0" w:color="auto"/>
              <w:left w:val="nil"/>
              <w:bottom w:val="single" w:sz="4" w:space="0" w:color="auto"/>
              <w:right w:val="single" w:sz="4" w:space="0" w:color="auto"/>
            </w:tcBorders>
            <w:noWrap/>
            <w:vAlign w:val="center"/>
          </w:tcPr>
          <w:p w14:paraId="6734E7A7" w14:textId="77777777" w:rsidR="00EC49AF" w:rsidRPr="008B13A5" w:rsidRDefault="00EC49AF">
            <w:pPr>
              <w:spacing w:after="0"/>
              <w:jc w:val="center"/>
              <w:rPr>
                <w:b/>
                <w:bCs/>
                <w:noProof/>
                <w:color w:val="000000"/>
                <w:sz w:val="20"/>
              </w:rPr>
            </w:pPr>
            <w:r w:rsidRPr="00BD008E">
              <w:rPr>
                <w:b/>
                <w:noProof/>
                <w:color w:val="000000"/>
                <w:sz w:val="20"/>
              </w:rPr>
              <w:t>2023</w:t>
            </w:r>
          </w:p>
        </w:tc>
        <w:tc>
          <w:tcPr>
            <w:tcW w:w="891" w:type="dxa"/>
            <w:tcBorders>
              <w:top w:val="single" w:sz="4" w:space="0" w:color="auto"/>
              <w:left w:val="nil"/>
              <w:bottom w:val="single" w:sz="4" w:space="0" w:color="auto"/>
              <w:right w:val="single" w:sz="4" w:space="0" w:color="auto"/>
            </w:tcBorders>
            <w:noWrap/>
            <w:vAlign w:val="center"/>
          </w:tcPr>
          <w:p w14:paraId="73A7E0DC" w14:textId="77777777" w:rsidR="00EC49AF" w:rsidRPr="008B13A5" w:rsidRDefault="00EC49AF">
            <w:pPr>
              <w:spacing w:after="0"/>
              <w:jc w:val="center"/>
              <w:rPr>
                <w:b/>
                <w:bCs/>
                <w:noProof/>
                <w:color w:val="000000"/>
                <w:sz w:val="20"/>
              </w:rPr>
            </w:pPr>
            <w:r w:rsidRPr="008B13A5">
              <w:rPr>
                <w:b/>
                <w:bCs/>
                <w:noProof/>
                <w:color w:val="000000"/>
                <w:sz w:val="20"/>
              </w:rPr>
              <w:t>2024</w:t>
            </w:r>
          </w:p>
        </w:tc>
        <w:tc>
          <w:tcPr>
            <w:tcW w:w="892" w:type="dxa"/>
            <w:tcBorders>
              <w:top w:val="single" w:sz="4" w:space="0" w:color="auto"/>
              <w:left w:val="nil"/>
              <w:bottom w:val="single" w:sz="4" w:space="0" w:color="auto"/>
              <w:right w:val="single" w:sz="4" w:space="0" w:color="auto"/>
            </w:tcBorders>
            <w:noWrap/>
            <w:vAlign w:val="center"/>
          </w:tcPr>
          <w:p w14:paraId="0A6A470B" w14:textId="77777777" w:rsidR="00EC49AF" w:rsidRPr="008B13A5" w:rsidRDefault="00EC49AF">
            <w:pPr>
              <w:spacing w:after="0"/>
              <w:jc w:val="center"/>
              <w:rPr>
                <w:b/>
                <w:bCs/>
                <w:noProof/>
                <w:color w:val="000000"/>
                <w:sz w:val="20"/>
              </w:rPr>
            </w:pPr>
            <w:r w:rsidRPr="008B13A5">
              <w:rPr>
                <w:b/>
                <w:bCs/>
                <w:noProof/>
                <w:color w:val="000000"/>
                <w:sz w:val="20"/>
              </w:rPr>
              <w:t>2025</w:t>
            </w:r>
          </w:p>
        </w:tc>
        <w:tc>
          <w:tcPr>
            <w:tcW w:w="891" w:type="dxa"/>
            <w:tcBorders>
              <w:top w:val="single" w:sz="4" w:space="0" w:color="auto"/>
              <w:left w:val="nil"/>
              <w:bottom w:val="single" w:sz="4" w:space="0" w:color="auto"/>
              <w:right w:val="single" w:sz="4" w:space="0" w:color="auto"/>
            </w:tcBorders>
            <w:noWrap/>
            <w:vAlign w:val="center"/>
          </w:tcPr>
          <w:p w14:paraId="2A3432DC" w14:textId="77777777" w:rsidR="00EC49AF" w:rsidRPr="008B13A5" w:rsidRDefault="00EC49AF">
            <w:pPr>
              <w:spacing w:after="0"/>
              <w:jc w:val="center"/>
              <w:rPr>
                <w:b/>
                <w:bCs/>
                <w:noProof/>
                <w:color w:val="000000"/>
                <w:sz w:val="20"/>
              </w:rPr>
            </w:pPr>
            <w:r w:rsidRPr="008B13A5">
              <w:rPr>
                <w:b/>
                <w:bCs/>
                <w:noProof/>
                <w:color w:val="000000"/>
                <w:sz w:val="20"/>
              </w:rPr>
              <w:t>2026</w:t>
            </w:r>
          </w:p>
        </w:tc>
        <w:tc>
          <w:tcPr>
            <w:tcW w:w="892" w:type="dxa"/>
            <w:tcBorders>
              <w:top w:val="single" w:sz="4" w:space="0" w:color="auto"/>
              <w:left w:val="nil"/>
              <w:bottom w:val="single" w:sz="4" w:space="0" w:color="auto"/>
              <w:right w:val="single" w:sz="4" w:space="0" w:color="auto"/>
            </w:tcBorders>
            <w:noWrap/>
            <w:vAlign w:val="center"/>
          </w:tcPr>
          <w:p w14:paraId="2F8FEECD" w14:textId="77777777" w:rsidR="00EC49AF" w:rsidRPr="008B13A5" w:rsidRDefault="00EC49AF">
            <w:pPr>
              <w:spacing w:after="0"/>
              <w:jc w:val="center"/>
              <w:rPr>
                <w:b/>
                <w:bCs/>
                <w:noProof/>
                <w:color w:val="000000"/>
                <w:sz w:val="20"/>
              </w:rPr>
            </w:pPr>
            <w:r w:rsidRPr="008B13A5">
              <w:rPr>
                <w:b/>
                <w:bCs/>
                <w:noProof/>
                <w:color w:val="000000"/>
                <w:sz w:val="20"/>
              </w:rPr>
              <w:t>2027</w:t>
            </w:r>
          </w:p>
        </w:tc>
        <w:tc>
          <w:tcPr>
            <w:tcW w:w="891" w:type="dxa"/>
            <w:tcBorders>
              <w:top w:val="single" w:sz="4" w:space="0" w:color="auto"/>
              <w:left w:val="nil"/>
              <w:bottom w:val="single" w:sz="4" w:space="0" w:color="auto"/>
              <w:right w:val="single" w:sz="4" w:space="0" w:color="auto"/>
            </w:tcBorders>
            <w:noWrap/>
            <w:vAlign w:val="center"/>
          </w:tcPr>
          <w:p w14:paraId="3FC8EFE3" w14:textId="77777777" w:rsidR="00EC49AF" w:rsidRPr="008B13A5" w:rsidRDefault="00EC49AF">
            <w:pPr>
              <w:spacing w:after="0"/>
              <w:jc w:val="center"/>
              <w:rPr>
                <w:b/>
                <w:bCs/>
                <w:noProof/>
                <w:color w:val="000000"/>
                <w:sz w:val="20"/>
              </w:rPr>
            </w:pPr>
            <w:r w:rsidRPr="008B13A5">
              <w:rPr>
                <w:b/>
                <w:bCs/>
                <w:noProof/>
                <w:color w:val="000000"/>
                <w:sz w:val="20"/>
              </w:rPr>
              <w:t>2028</w:t>
            </w:r>
          </w:p>
        </w:tc>
        <w:tc>
          <w:tcPr>
            <w:tcW w:w="892" w:type="dxa"/>
            <w:tcBorders>
              <w:top w:val="single" w:sz="4" w:space="0" w:color="auto"/>
              <w:left w:val="nil"/>
              <w:bottom w:val="single" w:sz="4" w:space="0" w:color="auto"/>
              <w:right w:val="single" w:sz="4" w:space="0" w:color="auto"/>
            </w:tcBorders>
            <w:noWrap/>
            <w:vAlign w:val="center"/>
          </w:tcPr>
          <w:p w14:paraId="1AA7A0E6" w14:textId="77777777" w:rsidR="00EC49AF" w:rsidRPr="008B13A5" w:rsidRDefault="00EC49AF">
            <w:pPr>
              <w:spacing w:after="0"/>
              <w:jc w:val="center"/>
              <w:rPr>
                <w:b/>
                <w:bCs/>
                <w:noProof/>
                <w:color w:val="000000"/>
                <w:sz w:val="20"/>
              </w:rPr>
            </w:pPr>
            <w:r w:rsidRPr="008B13A5">
              <w:rPr>
                <w:b/>
                <w:bCs/>
                <w:noProof/>
                <w:color w:val="000000"/>
                <w:sz w:val="20"/>
              </w:rPr>
              <w:t>2029</w:t>
            </w:r>
          </w:p>
        </w:tc>
        <w:tc>
          <w:tcPr>
            <w:tcW w:w="891" w:type="dxa"/>
            <w:tcBorders>
              <w:top w:val="single" w:sz="4" w:space="0" w:color="auto"/>
              <w:left w:val="nil"/>
              <w:bottom w:val="single" w:sz="4" w:space="0" w:color="auto"/>
              <w:right w:val="single" w:sz="4" w:space="0" w:color="auto"/>
            </w:tcBorders>
            <w:noWrap/>
            <w:vAlign w:val="center"/>
          </w:tcPr>
          <w:p w14:paraId="2BD44B55" w14:textId="77777777" w:rsidR="00EC49AF" w:rsidRPr="008B13A5" w:rsidRDefault="00EC49AF">
            <w:pPr>
              <w:spacing w:after="0"/>
              <w:jc w:val="center"/>
              <w:rPr>
                <w:b/>
                <w:bCs/>
                <w:noProof/>
                <w:color w:val="000000"/>
                <w:sz w:val="20"/>
              </w:rPr>
            </w:pPr>
            <w:r w:rsidRPr="008B13A5">
              <w:rPr>
                <w:b/>
                <w:bCs/>
                <w:noProof/>
                <w:color w:val="000000"/>
                <w:sz w:val="20"/>
              </w:rPr>
              <w:t>2030</w:t>
            </w:r>
          </w:p>
        </w:tc>
        <w:tc>
          <w:tcPr>
            <w:tcW w:w="1040" w:type="dxa"/>
            <w:tcBorders>
              <w:top w:val="single" w:sz="4" w:space="0" w:color="auto"/>
              <w:left w:val="nil"/>
              <w:bottom w:val="single" w:sz="4" w:space="0" w:color="auto"/>
              <w:right w:val="single" w:sz="4" w:space="0" w:color="auto"/>
            </w:tcBorders>
            <w:noWrap/>
            <w:vAlign w:val="center"/>
          </w:tcPr>
          <w:p w14:paraId="0A5AC310" w14:textId="77777777" w:rsidR="00EC49AF" w:rsidRPr="008B13A5" w:rsidRDefault="00EC49AF">
            <w:pPr>
              <w:spacing w:after="0"/>
              <w:jc w:val="center"/>
              <w:rPr>
                <w:b/>
                <w:bCs/>
                <w:noProof/>
                <w:color w:val="000000"/>
                <w:sz w:val="20"/>
              </w:rPr>
            </w:pPr>
            <w:r w:rsidRPr="008B13A5">
              <w:rPr>
                <w:b/>
                <w:bCs/>
                <w:noProof/>
                <w:color w:val="000000"/>
                <w:sz w:val="20"/>
              </w:rPr>
              <w:t>Total</w:t>
            </w:r>
          </w:p>
        </w:tc>
      </w:tr>
      <w:tr w:rsidR="00EC49AF" w:rsidRPr="008B13A5" w14:paraId="70129540" w14:textId="77777777" w:rsidTr="00B52FD3">
        <w:trPr>
          <w:trHeight w:val="288"/>
        </w:trPr>
        <w:tc>
          <w:tcPr>
            <w:tcW w:w="1705" w:type="dxa"/>
            <w:tcBorders>
              <w:top w:val="nil"/>
              <w:left w:val="single" w:sz="4" w:space="0" w:color="auto"/>
              <w:bottom w:val="single" w:sz="4" w:space="0" w:color="auto"/>
              <w:right w:val="single" w:sz="4" w:space="0" w:color="auto"/>
            </w:tcBorders>
            <w:noWrap/>
            <w:vAlign w:val="center"/>
          </w:tcPr>
          <w:p w14:paraId="50BA3391" w14:textId="77777777" w:rsidR="00EC49AF" w:rsidRPr="008B13A5" w:rsidRDefault="00EC49AF">
            <w:pPr>
              <w:spacing w:after="0"/>
              <w:jc w:val="left"/>
              <w:rPr>
                <w:noProof/>
                <w:color w:val="000000"/>
                <w:sz w:val="20"/>
              </w:rPr>
            </w:pPr>
            <w:r w:rsidRPr="00BD008E">
              <w:rPr>
                <w:noProof/>
                <w:color w:val="000000"/>
                <w:sz w:val="20"/>
              </w:rPr>
              <w:t>MEMs</w:t>
            </w:r>
          </w:p>
        </w:tc>
        <w:tc>
          <w:tcPr>
            <w:tcW w:w="891" w:type="dxa"/>
            <w:tcBorders>
              <w:top w:val="nil"/>
              <w:left w:val="nil"/>
              <w:bottom w:val="single" w:sz="4" w:space="0" w:color="auto"/>
              <w:right w:val="single" w:sz="4" w:space="0" w:color="auto"/>
            </w:tcBorders>
            <w:noWrap/>
            <w:vAlign w:val="center"/>
          </w:tcPr>
          <w:p w14:paraId="125925B5" w14:textId="21D5B395" w:rsidR="00EC49AF" w:rsidRPr="008B13A5" w:rsidRDefault="00F274DD">
            <w:pPr>
              <w:spacing w:after="0"/>
              <w:jc w:val="center"/>
              <w:rPr>
                <w:b/>
                <w:bCs/>
                <w:noProof/>
                <w:color w:val="000000"/>
                <w:sz w:val="20"/>
              </w:rPr>
            </w:pPr>
            <w:r w:rsidRPr="00BD008E">
              <w:rPr>
                <w:b/>
                <w:noProof/>
                <w:color w:val="000000"/>
                <w:sz w:val="20"/>
              </w:rPr>
              <w:t xml:space="preserve"> </w:t>
            </w:r>
          </w:p>
        </w:tc>
        <w:tc>
          <w:tcPr>
            <w:tcW w:w="891" w:type="dxa"/>
            <w:tcBorders>
              <w:top w:val="nil"/>
              <w:left w:val="nil"/>
              <w:bottom w:val="single" w:sz="4" w:space="0" w:color="auto"/>
              <w:right w:val="single" w:sz="4" w:space="0" w:color="auto"/>
            </w:tcBorders>
            <w:noWrap/>
            <w:vAlign w:val="center"/>
          </w:tcPr>
          <w:p w14:paraId="0108570A" w14:textId="0E48116E" w:rsidR="00EC49AF" w:rsidRPr="008B13A5" w:rsidRDefault="00F274DD">
            <w:pPr>
              <w:spacing w:after="0"/>
              <w:jc w:val="center"/>
              <w:rPr>
                <w:b/>
                <w:bCs/>
                <w:noProof/>
                <w:color w:val="000000"/>
                <w:sz w:val="20"/>
              </w:rPr>
            </w:pPr>
            <w:r w:rsidRPr="00BD008E">
              <w:rPr>
                <w:b/>
                <w:noProof/>
                <w:color w:val="000000"/>
                <w:sz w:val="20"/>
              </w:rPr>
              <w:t xml:space="preserve"> </w:t>
            </w:r>
          </w:p>
        </w:tc>
        <w:tc>
          <w:tcPr>
            <w:tcW w:w="892" w:type="dxa"/>
            <w:tcBorders>
              <w:top w:val="nil"/>
              <w:left w:val="nil"/>
              <w:bottom w:val="single" w:sz="4" w:space="0" w:color="auto"/>
              <w:right w:val="single" w:sz="4" w:space="0" w:color="auto"/>
            </w:tcBorders>
            <w:noWrap/>
            <w:vAlign w:val="center"/>
          </w:tcPr>
          <w:p w14:paraId="37FFDCA5" w14:textId="6532B694" w:rsidR="00EC49AF" w:rsidRPr="008B13A5" w:rsidRDefault="00F274DD">
            <w:pPr>
              <w:spacing w:after="0"/>
              <w:jc w:val="center"/>
              <w:rPr>
                <w:b/>
                <w:bCs/>
                <w:noProof/>
                <w:color w:val="000000"/>
                <w:sz w:val="20"/>
              </w:rPr>
            </w:pPr>
            <w:r w:rsidRPr="00BD008E">
              <w:rPr>
                <w:b/>
                <w:noProof/>
                <w:color w:val="000000"/>
                <w:sz w:val="20"/>
              </w:rPr>
              <w:t xml:space="preserve"> </w:t>
            </w:r>
          </w:p>
        </w:tc>
        <w:tc>
          <w:tcPr>
            <w:tcW w:w="891" w:type="dxa"/>
            <w:tcBorders>
              <w:top w:val="nil"/>
              <w:left w:val="nil"/>
              <w:bottom w:val="single" w:sz="4" w:space="0" w:color="auto"/>
              <w:right w:val="single" w:sz="4" w:space="0" w:color="auto"/>
            </w:tcBorders>
            <w:noWrap/>
            <w:vAlign w:val="center"/>
          </w:tcPr>
          <w:p w14:paraId="6DC080C1" w14:textId="5E29C286" w:rsidR="00EC49AF" w:rsidRPr="008B13A5" w:rsidRDefault="00F274DD">
            <w:pPr>
              <w:spacing w:after="0"/>
              <w:jc w:val="center"/>
              <w:rPr>
                <w:b/>
                <w:bCs/>
                <w:noProof/>
                <w:color w:val="000000"/>
                <w:sz w:val="20"/>
              </w:rPr>
            </w:pPr>
            <w:r w:rsidRPr="00BD008E">
              <w:rPr>
                <w:b/>
                <w:noProof/>
                <w:color w:val="000000"/>
                <w:sz w:val="20"/>
              </w:rPr>
              <w:t xml:space="preserve"> </w:t>
            </w:r>
          </w:p>
        </w:tc>
        <w:tc>
          <w:tcPr>
            <w:tcW w:w="892" w:type="dxa"/>
            <w:tcBorders>
              <w:top w:val="nil"/>
              <w:left w:val="nil"/>
              <w:bottom w:val="single" w:sz="4" w:space="0" w:color="auto"/>
              <w:right w:val="single" w:sz="4" w:space="0" w:color="auto"/>
            </w:tcBorders>
            <w:noWrap/>
            <w:vAlign w:val="center"/>
          </w:tcPr>
          <w:p w14:paraId="0D18571D" w14:textId="5CECAB47" w:rsidR="00EC49AF" w:rsidRPr="008B13A5" w:rsidRDefault="00F274DD">
            <w:pPr>
              <w:spacing w:after="0"/>
              <w:jc w:val="center"/>
              <w:rPr>
                <w:b/>
                <w:bCs/>
                <w:noProof/>
                <w:color w:val="000000"/>
                <w:sz w:val="20"/>
              </w:rPr>
            </w:pPr>
            <w:r w:rsidRPr="00BD008E">
              <w:rPr>
                <w:b/>
                <w:noProof/>
                <w:color w:val="000000"/>
                <w:sz w:val="20"/>
              </w:rPr>
              <w:t xml:space="preserve"> </w:t>
            </w:r>
          </w:p>
        </w:tc>
        <w:tc>
          <w:tcPr>
            <w:tcW w:w="891" w:type="dxa"/>
            <w:tcBorders>
              <w:top w:val="nil"/>
              <w:left w:val="nil"/>
              <w:bottom w:val="single" w:sz="4" w:space="0" w:color="auto"/>
              <w:right w:val="single" w:sz="4" w:space="0" w:color="auto"/>
            </w:tcBorders>
            <w:noWrap/>
            <w:vAlign w:val="center"/>
          </w:tcPr>
          <w:p w14:paraId="79D2B5B2" w14:textId="351BD237" w:rsidR="00EC49AF" w:rsidRPr="008B13A5" w:rsidRDefault="00F274DD">
            <w:pPr>
              <w:spacing w:after="0"/>
              <w:jc w:val="center"/>
              <w:rPr>
                <w:b/>
                <w:bCs/>
                <w:noProof/>
                <w:color w:val="000000"/>
                <w:sz w:val="20"/>
              </w:rPr>
            </w:pPr>
            <w:r w:rsidRPr="00BD008E">
              <w:rPr>
                <w:b/>
                <w:noProof/>
                <w:color w:val="000000"/>
                <w:sz w:val="20"/>
              </w:rPr>
              <w:t xml:space="preserve"> </w:t>
            </w:r>
          </w:p>
        </w:tc>
        <w:tc>
          <w:tcPr>
            <w:tcW w:w="892" w:type="dxa"/>
            <w:tcBorders>
              <w:top w:val="nil"/>
              <w:left w:val="nil"/>
              <w:bottom w:val="single" w:sz="4" w:space="0" w:color="auto"/>
              <w:right w:val="single" w:sz="4" w:space="0" w:color="auto"/>
            </w:tcBorders>
            <w:noWrap/>
            <w:vAlign w:val="center"/>
          </w:tcPr>
          <w:p w14:paraId="2391566A" w14:textId="7E3E45AA" w:rsidR="00EC49AF" w:rsidRPr="008B13A5" w:rsidRDefault="00F274DD">
            <w:pPr>
              <w:spacing w:after="0"/>
              <w:jc w:val="center"/>
              <w:rPr>
                <w:noProof/>
                <w:color w:val="000000"/>
                <w:sz w:val="20"/>
              </w:rPr>
            </w:pPr>
            <w:r w:rsidRPr="00BD008E">
              <w:rPr>
                <w:noProof/>
                <w:color w:val="000000"/>
                <w:sz w:val="20"/>
              </w:rPr>
              <w:t xml:space="preserve"> </w:t>
            </w:r>
          </w:p>
        </w:tc>
        <w:tc>
          <w:tcPr>
            <w:tcW w:w="891" w:type="dxa"/>
            <w:tcBorders>
              <w:top w:val="nil"/>
              <w:left w:val="nil"/>
              <w:bottom w:val="single" w:sz="4" w:space="0" w:color="auto"/>
              <w:right w:val="single" w:sz="4" w:space="0" w:color="auto"/>
            </w:tcBorders>
            <w:noWrap/>
            <w:vAlign w:val="center"/>
          </w:tcPr>
          <w:p w14:paraId="19ACF7F4" w14:textId="77777777" w:rsidR="00EC49AF" w:rsidRPr="008B13A5" w:rsidRDefault="00EC49AF">
            <w:pPr>
              <w:spacing w:after="0"/>
              <w:jc w:val="center"/>
              <w:rPr>
                <w:noProof/>
                <w:color w:val="000000"/>
                <w:sz w:val="20"/>
              </w:rPr>
            </w:pPr>
            <w:r w:rsidRPr="00BD008E">
              <w:rPr>
                <w:noProof/>
                <w:color w:val="000000"/>
                <w:sz w:val="20"/>
              </w:rPr>
              <w:t>14,000</w:t>
            </w:r>
          </w:p>
        </w:tc>
        <w:tc>
          <w:tcPr>
            <w:tcW w:w="1040" w:type="dxa"/>
            <w:tcBorders>
              <w:top w:val="nil"/>
              <w:left w:val="nil"/>
              <w:bottom w:val="single" w:sz="4" w:space="0" w:color="auto"/>
              <w:right w:val="single" w:sz="4" w:space="0" w:color="auto"/>
            </w:tcBorders>
            <w:noWrap/>
            <w:vAlign w:val="center"/>
          </w:tcPr>
          <w:p w14:paraId="1BB0FE25" w14:textId="77777777" w:rsidR="00EC49AF" w:rsidRPr="008B13A5" w:rsidRDefault="00EC49AF">
            <w:pPr>
              <w:spacing w:after="0"/>
              <w:jc w:val="center"/>
              <w:rPr>
                <w:noProof/>
                <w:color w:val="000000"/>
                <w:sz w:val="20"/>
              </w:rPr>
            </w:pPr>
            <w:r w:rsidRPr="00BD008E">
              <w:rPr>
                <w:noProof/>
                <w:color w:val="000000"/>
                <w:sz w:val="20"/>
              </w:rPr>
              <w:t>14,000</w:t>
            </w:r>
          </w:p>
        </w:tc>
      </w:tr>
      <w:tr w:rsidR="006470E3" w:rsidRPr="008B13A5" w14:paraId="0BCA897C" w14:textId="77777777" w:rsidTr="00B52FD3">
        <w:trPr>
          <w:trHeight w:val="288"/>
        </w:trPr>
        <w:tc>
          <w:tcPr>
            <w:tcW w:w="1705" w:type="dxa"/>
            <w:tcBorders>
              <w:top w:val="nil"/>
              <w:left w:val="single" w:sz="4" w:space="0" w:color="auto"/>
              <w:bottom w:val="single" w:sz="4" w:space="0" w:color="auto"/>
              <w:right w:val="single" w:sz="4" w:space="0" w:color="auto"/>
            </w:tcBorders>
            <w:noWrap/>
            <w:vAlign w:val="center"/>
          </w:tcPr>
          <w:p w14:paraId="13F4A0DA" w14:textId="407856CE" w:rsidR="00EC49AF" w:rsidRPr="008B13A5" w:rsidRDefault="00EC49AF">
            <w:pPr>
              <w:spacing w:after="0"/>
              <w:jc w:val="left"/>
              <w:rPr>
                <w:noProof/>
                <w:color w:val="000000"/>
                <w:sz w:val="20"/>
              </w:rPr>
            </w:pPr>
            <w:r w:rsidRPr="008B13A5">
              <w:rPr>
                <w:noProof/>
                <w:color w:val="000000"/>
                <w:sz w:val="20"/>
              </w:rPr>
              <w:t>Analog/Mixed Signal</w:t>
            </w:r>
          </w:p>
        </w:tc>
        <w:tc>
          <w:tcPr>
            <w:tcW w:w="891" w:type="dxa"/>
            <w:tcBorders>
              <w:top w:val="nil"/>
              <w:left w:val="nil"/>
              <w:bottom w:val="single" w:sz="4" w:space="0" w:color="auto"/>
              <w:right w:val="single" w:sz="4" w:space="0" w:color="auto"/>
            </w:tcBorders>
            <w:noWrap/>
            <w:vAlign w:val="center"/>
          </w:tcPr>
          <w:p w14:paraId="2ACB948D" w14:textId="16B9C360" w:rsidR="00EC49AF" w:rsidRPr="008B13A5" w:rsidRDefault="00F274DD">
            <w:pPr>
              <w:spacing w:after="0"/>
              <w:jc w:val="center"/>
              <w:rPr>
                <w:noProof/>
                <w:color w:val="000000"/>
                <w:sz w:val="20"/>
              </w:rPr>
            </w:pPr>
            <w:r w:rsidRPr="00BD008E">
              <w:rPr>
                <w:noProof/>
                <w:color w:val="000000"/>
                <w:sz w:val="20"/>
              </w:rPr>
              <w:t xml:space="preserve"> </w:t>
            </w:r>
          </w:p>
        </w:tc>
        <w:tc>
          <w:tcPr>
            <w:tcW w:w="891" w:type="dxa"/>
            <w:tcBorders>
              <w:top w:val="nil"/>
              <w:left w:val="nil"/>
              <w:bottom w:val="single" w:sz="4" w:space="0" w:color="auto"/>
              <w:right w:val="single" w:sz="4" w:space="0" w:color="auto"/>
            </w:tcBorders>
            <w:noWrap/>
          </w:tcPr>
          <w:p w14:paraId="5F0EB864" w14:textId="76F19A3B" w:rsidR="00EC49AF" w:rsidRPr="008B13A5" w:rsidRDefault="00F274DD">
            <w:pPr>
              <w:spacing w:after="0"/>
              <w:jc w:val="center"/>
              <w:rPr>
                <w:noProof/>
                <w:color w:val="000000"/>
                <w:sz w:val="20"/>
              </w:rPr>
            </w:pPr>
            <w:r w:rsidRPr="00BD008E">
              <w:rPr>
                <w:noProof/>
                <w:color w:val="000000"/>
                <w:sz w:val="20"/>
              </w:rPr>
              <w:t xml:space="preserve"> </w:t>
            </w:r>
          </w:p>
        </w:tc>
        <w:tc>
          <w:tcPr>
            <w:tcW w:w="892" w:type="dxa"/>
            <w:tcBorders>
              <w:top w:val="nil"/>
              <w:left w:val="nil"/>
              <w:bottom w:val="single" w:sz="4" w:space="0" w:color="auto"/>
              <w:right w:val="single" w:sz="4" w:space="0" w:color="auto"/>
            </w:tcBorders>
            <w:noWrap/>
            <w:vAlign w:val="center"/>
          </w:tcPr>
          <w:p w14:paraId="52C4C5FE" w14:textId="77777777" w:rsidR="00EC49AF" w:rsidRPr="008B13A5" w:rsidRDefault="00EC49AF">
            <w:pPr>
              <w:spacing w:after="0"/>
              <w:jc w:val="center"/>
              <w:rPr>
                <w:noProof/>
                <w:color w:val="000000"/>
                <w:sz w:val="20"/>
              </w:rPr>
            </w:pPr>
            <w:r w:rsidRPr="00BD008E">
              <w:rPr>
                <w:noProof/>
                <w:color w:val="000000"/>
                <w:sz w:val="20"/>
              </w:rPr>
              <w:t>6,700</w:t>
            </w:r>
          </w:p>
        </w:tc>
        <w:tc>
          <w:tcPr>
            <w:tcW w:w="891" w:type="dxa"/>
            <w:tcBorders>
              <w:top w:val="nil"/>
              <w:left w:val="nil"/>
              <w:bottom w:val="single" w:sz="4" w:space="0" w:color="auto"/>
              <w:right w:val="single" w:sz="4" w:space="0" w:color="auto"/>
            </w:tcBorders>
            <w:noWrap/>
            <w:vAlign w:val="center"/>
          </w:tcPr>
          <w:p w14:paraId="61EC902A" w14:textId="55826511" w:rsidR="00EC49AF" w:rsidRPr="008B13A5" w:rsidRDefault="00F274DD">
            <w:pPr>
              <w:spacing w:after="0"/>
              <w:jc w:val="center"/>
              <w:rPr>
                <w:noProof/>
                <w:color w:val="000000"/>
                <w:sz w:val="20"/>
              </w:rPr>
            </w:pPr>
            <w:r w:rsidRPr="00BD008E">
              <w:rPr>
                <w:noProof/>
                <w:color w:val="000000"/>
                <w:sz w:val="20"/>
              </w:rPr>
              <w:t xml:space="preserve"> </w:t>
            </w:r>
          </w:p>
        </w:tc>
        <w:tc>
          <w:tcPr>
            <w:tcW w:w="892" w:type="dxa"/>
            <w:tcBorders>
              <w:top w:val="nil"/>
              <w:left w:val="nil"/>
              <w:bottom w:val="single" w:sz="4" w:space="0" w:color="auto"/>
              <w:right w:val="single" w:sz="4" w:space="0" w:color="auto"/>
            </w:tcBorders>
            <w:noWrap/>
            <w:vAlign w:val="center"/>
          </w:tcPr>
          <w:p w14:paraId="4B6394DE" w14:textId="77777777" w:rsidR="00EC49AF" w:rsidRPr="008B13A5" w:rsidRDefault="00EC49AF">
            <w:pPr>
              <w:spacing w:after="0"/>
              <w:jc w:val="center"/>
              <w:rPr>
                <w:noProof/>
                <w:color w:val="000000"/>
                <w:sz w:val="20"/>
              </w:rPr>
            </w:pPr>
            <w:r w:rsidRPr="00BD008E">
              <w:rPr>
                <w:noProof/>
                <w:color w:val="000000"/>
                <w:sz w:val="20"/>
              </w:rPr>
              <w:t>48,000</w:t>
            </w:r>
          </w:p>
        </w:tc>
        <w:tc>
          <w:tcPr>
            <w:tcW w:w="891" w:type="dxa"/>
            <w:tcBorders>
              <w:top w:val="nil"/>
              <w:left w:val="nil"/>
              <w:bottom w:val="single" w:sz="4" w:space="0" w:color="auto"/>
              <w:right w:val="single" w:sz="4" w:space="0" w:color="auto"/>
            </w:tcBorders>
            <w:noWrap/>
          </w:tcPr>
          <w:p w14:paraId="4652DAEB" w14:textId="7F95B9C3" w:rsidR="00EC49AF" w:rsidRPr="008B13A5" w:rsidRDefault="00F274DD">
            <w:pPr>
              <w:spacing w:after="0"/>
              <w:jc w:val="center"/>
              <w:rPr>
                <w:noProof/>
                <w:color w:val="000000"/>
                <w:sz w:val="20"/>
              </w:rPr>
            </w:pPr>
            <w:r w:rsidRPr="00BD008E">
              <w:rPr>
                <w:noProof/>
                <w:color w:val="000000"/>
                <w:sz w:val="20"/>
              </w:rPr>
              <w:t xml:space="preserve"> </w:t>
            </w:r>
          </w:p>
        </w:tc>
        <w:tc>
          <w:tcPr>
            <w:tcW w:w="892" w:type="dxa"/>
            <w:tcBorders>
              <w:top w:val="nil"/>
              <w:left w:val="nil"/>
              <w:bottom w:val="single" w:sz="4" w:space="0" w:color="auto"/>
              <w:right w:val="single" w:sz="4" w:space="0" w:color="auto"/>
            </w:tcBorders>
            <w:noWrap/>
          </w:tcPr>
          <w:p w14:paraId="73A55424" w14:textId="7BD04439" w:rsidR="00EC49AF" w:rsidRPr="008B13A5" w:rsidRDefault="00F274DD">
            <w:pPr>
              <w:spacing w:after="0"/>
              <w:jc w:val="center"/>
              <w:rPr>
                <w:noProof/>
                <w:color w:val="000000"/>
                <w:sz w:val="20"/>
              </w:rPr>
            </w:pPr>
            <w:r w:rsidRPr="00BD008E">
              <w:rPr>
                <w:noProof/>
                <w:color w:val="000000"/>
                <w:sz w:val="20"/>
              </w:rPr>
              <w:t xml:space="preserve"> </w:t>
            </w:r>
          </w:p>
        </w:tc>
        <w:tc>
          <w:tcPr>
            <w:tcW w:w="891" w:type="dxa"/>
            <w:tcBorders>
              <w:top w:val="nil"/>
              <w:left w:val="nil"/>
              <w:bottom w:val="single" w:sz="4" w:space="0" w:color="auto"/>
              <w:right w:val="single" w:sz="4" w:space="0" w:color="auto"/>
            </w:tcBorders>
            <w:noWrap/>
          </w:tcPr>
          <w:p w14:paraId="2899E310" w14:textId="5A0FD8C4" w:rsidR="00EC49AF" w:rsidRPr="008B13A5" w:rsidRDefault="00F274DD">
            <w:pPr>
              <w:spacing w:after="0"/>
              <w:jc w:val="center"/>
              <w:rPr>
                <w:noProof/>
                <w:color w:val="000000"/>
                <w:sz w:val="20"/>
              </w:rPr>
            </w:pPr>
            <w:r w:rsidRPr="00BD008E">
              <w:rPr>
                <w:noProof/>
                <w:color w:val="000000"/>
                <w:sz w:val="20"/>
              </w:rPr>
              <w:t xml:space="preserve"> </w:t>
            </w:r>
          </w:p>
        </w:tc>
        <w:tc>
          <w:tcPr>
            <w:tcW w:w="1040" w:type="dxa"/>
            <w:tcBorders>
              <w:top w:val="nil"/>
              <w:left w:val="nil"/>
              <w:bottom w:val="single" w:sz="4" w:space="0" w:color="auto"/>
              <w:right w:val="single" w:sz="4" w:space="0" w:color="auto"/>
            </w:tcBorders>
            <w:noWrap/>
            <w:vAlign w:val="center"/>
          </w:tcPr>
          <w:p w14:paraId="32A8AB90" w14:textId="77777777" w:rsidR="00EC49AF" w:rsidRPr="008B13A5" w:rsidRDefault="00EC49AF">
            <w:pPr>
              <w:spacing w:after="0"/>
              <w:jc w:val="center"/>
              <w:rPr>
                <w:noProof/>
                <w:color w:val="000000"/>
                <w:sz w:val="20"/>
              </w:rPr>
            </w:pPr>
            <w:r w:rsidRPr="00BD008E">
              <w:rPr>
                <w:noProof/>
                <w:color w:val="000000"/>
                <w:sz w:val="20"/>
              </w:rPr>
              <w:t>54,700</w:t>
            </w:r>
          </w:p>
        </w:tc>
      </w:tr>
      <w:tr w:rsidR="00EC49AF" w:rsidRPr="008B13A5" w14:paraId="7C1DDE70" w14:textId="77777777" w:rsidTr="00B52FD3">
        <w:trPr>
          <w:trHeight w:val="288"/>
        </w:trPr>
        <w:tc>
          <w:tcPr>
            <w:tcW w:w="1705" w:type="dxa"/>
            <w:tcBorders>
              <w:top w:val="nil"/>
              <w:left w:val="single" w:sz="4" w:space="0" w:color="auto"/>
              <w:bottom w:val="single" w:sz="4" w:space="0" w:color="auto"/>
              <w:right w:val="single" w:sz="4" w:space="0" w:color="auto"/>
            </w:tcBorders>
            <w:noWrap/>
            <w:vAlign w:val="center"/>
          </w:tcPr>
          <w:p w14:paraId="7409092D" w14:textId="3EC8E7A3" w:rsidR="00EC49AF" w:rsidRPr="008B13A5" w:rsidRDefault="00EC49AF">
            <w:pPr>
              <w:spacing w:after="0"/>
              <w:jc w:val="left"/>
              <w:rPr>
                <w:noProof/>
                <w:color w:val="000000"/>
                <w:sz w:val="20"/>
              </w:rPr>
            </w:pPr>
            <w:r w:rsidRPr="008B13A5">
              <w:rPr>
                <w:noProof/>
                <w:color w:val="000000"/>
                <w:sz w:val="20"/>
              </w:rPr>
              <w:t>Discrete (incl. power)</w:t>
            </w:r>
          </w:p>
        </w:tc>
        <w:tc>
          <w:tcPr>
            <w:tcW w:w="891" w:type="dxa"/>
            <w:tcBorders>
              <w:top w:val="nil"/>
              <w:left w:val="nil"/>
              <w:bottom w:val="single" w:sz="4" w:space="0" w:color="auto"/>
              <w:right w:val="single" w:sz="4" w:space="0" w:color="auto"/>
            </w:tcBorders>
            <w:noWrap/>
            <w:vAlign w:val="center"/>
          </w:tcPr>
          <w:p w14:paraId="19B1E6DB" w14:textId="7594A9F7" w:rsidR="00EC49AF" w:rsidRPr="008B13A5" w:rsidRDefault="00F274DD">
            <w:pPr>
              <w:spacing w:after="0"/>
              <w:jc w:val="center"/>
              <w:rPr>
                <w:noProof/>
                <w:color w:val="000000"/>
                <w:sz w:val="20"/>
              </w:rPr>
            </w:pPr>
            <w:r w:rsidRPr="00BD008E">
              <w:rPr>
                <w:noProof/>
                <w:color w:val="000000"/>
                <w:sz w:val="20"/>
              </w:rPr>
              <w:t xml:space="preserve"> </w:t>
            </w:r>
          </w:p>
        </w:tc>
        <w:tc>
          <w:tcPr>
            <w:tcW w:w="891" w:type="dxa"/>
            <w:tcBorders>
              <w:top w:val="nil"/>
              <w:left w:val="nil"/>
              <w:bottom w:val="single" w:sz="4" w:space="0" w:color="auto"/>
              <w:right w:val="single" w:sz="4" w:space="0" w:color="auto"/>
            </w:tcBorders>
            <w:noWrap/>
            <w:vAlign w:val="center"/>
          </w:tcPr>
          <w:p w14:paraId="58F21B6D" w14:textId="1006C4B3" w:rsidR="00EC49AF" w:rsidRPr="008B13A5" w:rsidRDefault="00F274DD">
            <w:pPr>
              <w:spacing w:after="0"/>
              <w:jc w:val="center"/>
              <w:rPr>
                <w:noProof/>
                <w:color w:val="000000"/>
                <w:sz w:val="20"/>
              </w:rPr>
            </w:pPr>
            <w:r w:rsidRPr="00BD008E">
              <w:rPr>
                <w:noProof/>
                <w:color w:val="000000"/>
                <w:sz w:val="20"/>
              </w:rPr>
              <w:t xml:space="preserve"> </w:t>
            </w:r>
          </w:p>
        </w:tc>
        <w:tc>
          <w:tcPr>
            <w:tcW w:w="892" w:type="dxa"/>
            <w:tcBorders>
              <w:top w:val="nil"/>
              <w:left w:val="nil"/>
              <w:bottom w:val="single" w:sz="4" w:space="0" w:color="auto"/>
              <w:right w:val="single" w:sz="4" w:space="0" w:color="auto"/>
            </w:tcBorders>
            <w:noWrap/>
            <w:vAlign w:val="center"/>
          </w:tcPr>
          <w:p w14:paraId="5B130375" w14:textId="77777777" w:rsidR="00EC49AF" w:rsidRPr="008B13A5" w:rsidRDefault="00EC49AF">
            <w:pPr>
              <w:spacing w:after="0"/>
              <w:jc w:val="center"/>
              <w:rPr>
                <w:noProof/>
                <w:color w:val="000000"/>
                <w:sz w:val="20"/>
              </w:rPr>
            </w:pPr>
            <w:r w:rsidRPr="00BD008E">
              <w:rPr>
                <w:noProof/>
                <w:color w:val="000000"/>
                <w:sz w:val="20"/>
              </w:rPr>
              <w:t>50,000</w:t>
            </w:r>
          </w:p>
        </w:tc>
        <w:tc>
          <w:tcPr>
            <w:tcW w:w="891" w:type="dxa"/>
            <w:tcBorders>
              <w:top w:val="nil"/>
              <w:left w:val="nil"/>
              <w:bottom w:val="single" w:sz="4" w:space="0" w:color="auto"/>
              <w:right w:val="single" w:sz="4" w:space="0" w:color="auto"/>
            </w:tcBorders>
            <w:noWrap/>
            <w:vAlign w:val="center"/>
          </w:tcPr>
          <w:p w14:paraId="037877B3" w14:textId="77777777" w:rsidR="00EC49AF" w:rsidRPr="008B13A5" w:rsidRDefault="00EC49AF">
            <w:pPr>
              <w:spacing w:after="0"/>
              <w:jc w:val="center"/>
              <w:rPr>
                <w:noProof/>
                <w:color w:val="000000"/>
                <w:sz w:val="20"/>
              </w:rPr>
            </w:pPr>
            <w:r w:rsidRPr="00BD008E">
              <w:rPr>
                <w:noProof/>
                <w:color w:val="000000"/>
                <w:sz w:val="20"/>
              </w:rPr>
              <w:t>20,000</w:t>
            </w:r>
          </w:p>
        </w:tc>
        <w:tc>
          <w:tcPr>
            <w:tcW w:w="892" w:type="dxa"/>
            <w:tcBorders>
              <w:top w:val="nil"/>
              <w:left w:val="nil"/>
              <w:bottom w:val="single" w:sz="4" w:space="0" w:color="auto"/>
              <w:right w:val="single" w:sz="4" w:space="0" w:color="auto"/>
            </w:tcBorders>
            <w:noWrap/>
            <w:vAlign w:val="center"/>
          </w:tcPr>
          <w:p w14:paraId="3F94B97C" w14:textId="77777777" w:rsidR="00EC49AF" w:rsidRPr="008B13A5" w:rsidRDefault="00EC49AF">
            <w:pPr>
              <w:spacing w:after="0"/>
              <w:jc w:val="center"/>
              <w:rPr>
                <w:noProof/>
                <w:color w:val="000000"/>
                <w:sz w:val="20"/>
              </w:rPr>
            </w:pPr>
            <w:r w:rsidRPr="00BD008E">
              <w:rPr>
                <w:noProof/>
                <w:color w:val="000000"/>
                <w:sz w:val="20"/>
              </w:rPr>
              <w:t>48,000</w:t>
            </w:r>
          </w:p>
        </w:tc>
        <w:tc>
          <w:tcPr>
            <w:tcW w:w="891" w:type="dxa"/>
            <w:tcBorders>
              <w:top w:val="nil"/>
              <w:left w:val="nil"/>
              <w:bottom w:val="single" w:sz="4" w:space="0" w:color="auto"/>
              <w:right w:val="single" w:sz="4" w:space="0" w:color="auto"/>
            </w:tcBorders>
            <w:noWrap/>
          </w:tcPr>
          <w:p w14:paraId="479CB15F" w14:textId="25A32134" w:rsidR="00EC49AF" w:rsidRPr="008B13A5" w:rsidRDefault="00F274DD">
            <w:pPr>
              <w:spacing w:after="0"/>
              <w:jc w:val="center"/>
              <w:rPr>
                <w:noProof/>
                <w:color w:val="000000"/>
                <w:sz w:val="20"/>
              </w:rPr>
            </w:pPr>
            <w:r w:rsidRPr="00BD008E">
              <w:rPr>
                <w:noProof/>
                <w:color w:val="000000"/>
                <w:sz w:val="20"/>
              </w:rPr>
              <w:t xml:space="preserve"> </w:t>
            </w:r>
          </w:p>
        </w:tc>
        <w:tc>
          <w:tcPr>
            <w:tcW w:w="892" w:type="dxa"/>
            <w:tcBorders>
              <w:top w:val="nil"/>
              <w:left w:val="nil"/>
              <w:bottom w:val="single" w:sz="4" w:space="0" w:color="auto"/>
              <w:right w:val="single" w:sz="4" w:space="0" w:color="auto"/>
            </w:tcBorders>
            <w:noWrap/>
          </w:tcPr>
          <w:p w14:paraId="614D75DB" w14:textId="18C68A68" w:rsidR="00EC49AF" w:rsidRPr="008B13A5" w:rsidRDefault="00F274DD">
            <w:pPr>
              <w:spacing w:after="0"/>
              <w:jc w:val="center"/>
              <w:rPr>
                <w:noProof/>
                <w:color w:val="000000"/>
                <w:sz w:val="20"/>
              </w:rPr>
            </w:pPr>
            <w:r w:rsidRPr="00BD008E">
              <w:rPr>
                <w:noProof/>
                <w:color w:val="000000"/>
                <w:sz w:val="20"/>
              </w:rPr>
              <w:t xml:space="preserve"> </w:t>
            </w:r>
          </w:p>
        </w:tc>
        <w:tc>
          <w:tcPr>
            <w:tcW w:w="891" w:type="dxa"/>
            <w:tcBorders>
              <w:top w:val="nil"/>
              <w:left w:val="nil"/>
              <w:bottom w:val="single" w:sz="4" w:space="0" w:color="auto"/>
              <w:right w:val="single" w:sz="4" w:space="0" w:color="auto"/>
            </w:tcBorders>
            <w:noWrap/>
            <w:vAlign w:val="center"/>
          </w:tcPr>
          <w:p w14:paraId="73AF456C" w14:textId="77777777" w:rsidR="00EC49AF" w:rsidRPr="008B13A5" w:rsidRDefault="00EC49AF">
            <w:pPr>
              <w:spacing w:after="0"/>
              <w:jc w:val="center"/>
              <w:rPr>
                <w:noProof/>
                <w:color w:val="000000"/>
                <w:sz w:val="20"/>
              </w:rPr>
            </w:pPr>
            <w:r w:rsidRPr="00BD008E">
              <w:rPr>
                <w:noProof/>
                <w:color w:val="000000"/>
                <w:sz w:val="20"/>
              </w:rPr>
              <w:t>28,900</w:t>
            </w:r>
          </w:p>
        </w:tc>
        <w:tc>
          <w:tcPr>
            <w:tcW w:w="1040" w:type="dxa"/>
            <w:tcBorders>
              <w:top w:val="nil"/>
              <w:left w:val="nil"/>
              <w:bottom w:val="single" w:sz="4" w:space="0" w:color="auto"/>
              <w:right w:val="single" w:sz="4" w:space="0" w:color="auto"/>
            </w:tcBorders>
            <w:noWrap/>
            <w:vAlign w:val="center"/>
          </w:tcPr>
          <w:p w14:paraId="26072B89" w14:textId="77777777" w:rsidR="00EC49AF" w:rsidRPr="008B13A5" w:rsidRDefault="00EC49AF">
            <w:pPr>
              <w:spacing w:after="0"/>
              <w:jc w:val="center"/>
              <w:rPr>
                <w:noProof/>
                <w:color w:val="000000"/>
                <w:sz w:val="20"/>
              </w:rPr>
            </w:pPr>
            <w:r w:rsidRPr="00BD008E">
              <w:rPr>
                <w:noProof/>
                <w:color w:val="000000"/>
                <w:sz w:val="20"/>
              </w:rPr>
              <w:t>146,900</w:t>
            </w:r>
          </w:p>
        </w:tc>
      </w:tr>
      <w:tr w:rsidR="00EC49AF" w:rsidRPr="008B13A5" w14:paraId="553CCD89" w14:textId="77777777" w:rsidTr="00B52FD3">
        <w:trPr>
          <w:trHeight w:val="288"/>
        </w:trPr>
        <w:tc>
          <w:tcPr>
            <w:tcW w:w="1705" w:type="dxa"/>
            <w:tcBorders>
              <w:top w:val="nil"/>
              <w:left w:val="single" w:sz="4" w:space="0" w:color="auto"/>
              <w:bottom w:val="single" w:sz="4" w:space="0" w:color="auto"/>
              <w:right w:val="single" w:sz="4" w:space="0" w:color="auto"/>
            </w:tcBorders>
            <w:noWrap/>
            <w:vAlign w:val="center"/>
          </w:tcPr>
          <w:p w14:paraId="20EB6D52" w14:textId="77777777" w:rsidR="00EC49AF" w:rsidRPr="008B13A5" w:rsidRDefault="00EC49AF">
            <w:pPr>
              <w:spacing w:after="0"/>
              <w:jc w:val="left"/>
              <w:rPr>
                <w:noProof/>
                <w:color w:val="000000"/>
                <w:sz w:val="20"/>
              </w:rPr>
            </w:pPr>
            <w:r w:rsidRPr="008B13A5">
              <w:rPr>
                <w:noProof/>
                <w:color w:val="000000"/>
                <w:sz w:val="20"/>
              </w:rPr>
              <w:t>Foundry</w:t>
            </w:r>
          </w:p>
        </w:tc>
        <w:tc>
          <w:tcPr>
            <w:tcW w:w="891" w:type="dxa"/>
            <w:tcBorders>
              <w:top w:val="nil"/>
              <w:left w:val="nil"/>
              <w:bottom w:val="single" w:sz="4" w:space="0" w:color="auto"/>
              <w:right w:val="single" w:sz="4" w:space="0" w:color="auto"/>
            </w:tcBorders>
            <w:noWrap/>
            <w:vAlign w:val="center"/>
          </w:tcPr>
          <w:p w14:paraId="02CD955F" w14:textId="28DFE7A5" w:rsidR="00EC49AF" w:rsidRPr="008B13A5" w:rsidRDefault="00F274DD">
            <w:pPr>
              <w:spacing w:after="0"/>
              <w:jc w:val="center"/>
              <w:rPr>
                <w:noProof/>
                <w:color w:val="000000"/>
                <w:sz w:val="20"/>
              </w:rPr>
            </w:pPr>
            <w:r w:rsidRPr="00BD008E">
              <w:rPr>
                <w:noProof/>
                <w:color w:val="000000"/>
                <w:sz w:val="20"/>
              </w:rPr>
              <w:t xml:space="preserve"> </w:t>
            </w:r>
          </w:p>
        </w:tc>
        <w:tc>
          <w:tcPr>
            <w:tcW w:w="891" w:type="dxa"/>
            <w:tcBorders>
              <w:top w:val="nil"/>
              <w:left w:val="nil"/>
              <w:bottom w:val="single" w:sz="4" w:space="0" w:color="auto"/>
              <w:right w:val="single" w:sz="4" w:space="0" w:color="auto"/>
            </w:tcBorders>
            <w:noWrap/>
            <w:vAlign w:val="center"/>
          </w:tcPr>
          <w:p w14:paraId="23E801EE" w14:textId="47B5EA74" w:rsidR="00EC49AF" w:rsidRPr="008B13A5" w:rsidRDefault="00F274DD">
            <w:pPr>
              <w:spacing w:after="0"/>
              <w:jc w:val="center"/>
              <w:rPr>
                <w:noProof/>
                <w:color w:val="000000"/>
                <w:sz w:val="20"/>
              </w:rPr>
            </w:pPr>
            <w:r w:rsidRPr="008B13A5">
              <w:rPr>
                <w:noProof/>
                <w:color w:val="000000"/>
                <w:sz w:val="20"/>
              </w:rPr>
              <w:t xml:space="preserve"> </w:t>
            </w:r>
          </w:p>
        </w:tc>
        <w:tc>
          <w:tcPr>
            <w:tcW w:w="892" w:type="dxa"/>
            <w:tcBorders>
              <w:top w:val="nil"/>
              <w:left w:val="nil"/>
              <w:bottom w:val="single" w:sz="4" w:space="0" w:color="auto"/>
              <w:right w:val="single" w:sz="4" w:space="0" w:color="auto"/>
            </w:tcBorders>
            <w:noWrap/>
            <w:vAlign w:val="center"/>
          </w:tcPr>
          <w:p w14:paraId="169EC595" w14:textId="21BAAC8D" w:rsidR="00EC49AF" w:rsidRPr="008B13A5" w:rsidRDefault="00F274DD">
            <w:pPr>
              <w:spacing w:after="0"/>
              <w:jc w:val="center"/>
              <w:rPr>
                <w:noProof/>
                <w:color w:val="000000"/>
                <w:sz w:val="20"/>
              </w:rPr>
            </w:pPr>
            <w:r w:rsidRPr="008B13A5">
              <w:rPr>
                <w:noProof/>
                <w:color w:val="000000"/>
                <w:sz w:val="20"/>
              </w:rPr>
              <w:t xml:space="preserve"> </w:t>
            </w:r>
          </w:p>
        </w:tc>
        <w:tc>
          <w:tcPr>
            <w:tcW w:w="891" w:type="dxa"/>
            <w:tcBorders>
              <w:top w:val="nil"/>
              <w:left w:val="nil"/>
              <w:bottom w:val="single" w:sz="4" w:space="0" w:color="auto"/>
              <w:right w:val="single" w:sz="4" w:space="0" w:color="auto"/>
            </w:tcBorders>
            <w:noWrap/>
            <w:vAlign w:val="center"/>
          </w:tcPr>
          <w:p w14:paraId="640E9F7F" w14:textId="1D796910" w:rsidR="00EC49AF" w:rsidRPr="008B13A5" w:rsidRDefault="00F274DD">
            <w:pPr>
              <w:spacing w:after="0"/>
              <w:jc w:val="center"/>
              <w:rPr>
                <w:noProof/>
                <w:color w:val="000000"/>
                <w:sz w:val="20"/>
              </w:rPr>
            </w:pPr>
            <w:r w:rsidRPr="008B13A5">
              <w:rPr>
                <w:noProof/>
                <w:color w:val="000000"/>
                <w:sz w:val="20"/>
              </w:rPr>
              <w:t xml:space="preserve"> </w:t>
            </w:r>
          </w:p>
        </w:tc>
        <w:tc>
          <w:tcPr>
            <w:tcW w:w="892" w:type="dxa"/>
            <w:tcBorders>
              <w:top w:val="nil"/>
              <w:left w:val="nil"/>
              <w:bottom w:val="single" w:sz="4" w:space="0" w:color="auto"/>
              <w:right w:val="single" w:sz="4" w:space="0" w:color="auto"/>
            </w:tcBorders>
            <w:noWrap/>
            <w:vAlign w:val="center"/>
          </w:tcPr>
          <w:p w14:paraId="2009B816" w14:textId="77777777" w:rsidR="00EC49AF" w:rsidRPr="008B13A5" w:rsidRDefault="00EC49AF">
            <w:pPr>
              <w:spacing w:after="0"/>
              <w:jc w:val="center"/>
              <w:rPr>
                <w:noProof/>
                <w:color w:val="000000"/>
                <w:sz w:val="20"/>
              </w:rPr>
            </w:pPr>
            <w:r w:rsidRPr="00BD008E">
              <w:rPr>
                <w:noProof/>
                <w:color w:val="000000"/>
                <w:sz w:val="20"/>
              </w:rPr>
              <w:t>9,200</w:t>
            </w:r>
          </w:p>
        </w:tc>
        <w:tc>
          <w:tcPr>
            <w:tcW w:w="891" w:type="dxa"/>
            <w:tcBorders>
              <w:top w:val="nil"/>
              <w:left w:val="nil"/>
              <w:bottom w:val="single" w:sz="4" w:space="0" w:color="auto"/>
              <w:right w:val="single" w:sz="4" w:space="0" w:color="auto"/>
            </w:tcBorders>
            <w:noWrap/>
            <w:vAlign w:val="center"/>
          </w:tcPr>
          <w:p w14:paraId="2FE7DB84" w14:textId="4CF9D958" w:rsidR="00EC49AF" w:rsidRPr="008B13A5" w:rsidRDefault="00F274DD">
            <w:pPr>
              <w:spacing w:after="0"/>
              <w:jc w:val="center"/>
              <w:rPr>
                <w:noProof/>
                <w:color w:val="000000"/>
                <w:sz w:val="20"/>
              </w:rPr>
            </w:pPr>
            <w:r w:rsidRPr="00BD008E">
              <w:rPr>
                <w:noProof/>
                <w:color w:val="000000"/>
                <w:sz w:val="20"/>
              </w:rPr>
              <w:t xml:space="preserve"> </w:t>
            </w:r>
          </w:p>
        </w:tc>
        <w:tc>
          <w:tcPr>
            <w:tcW w:w="892" w:type="dxa"/>
            <w:tcBorders>
              <w:top w:val="nil"/>
              <w:left w:val="nil"/>
              <w:bottom w:val="single" w:sz="4" w:space="0" w:color="auto"/>
              <w:right w:val="single" w:sz="4" w:space="0" w:color="auto"/>
            </w:tcBorders>
            <w:noWrap/>
            <w:vAlign w:val="center"/>
          </w:tcPr>
          <w:p w14:paraId="6CDD2148" w14:textId="1F79A44D" w:rsidR="00EC49AF" w:rsidRPr="008B13A5" w:rsidRDefault="00F274DD">
            <w:pPr>
              <w:spacing w:after="0"/>
              <w:jc w:val="center"/>
              <w:rPr>
                <w:noProof/>
                <w:color w:val="000000"/>
                <w:sz w:val="20"/>
              </w:rPr>
            </w:pPr>
            <w:r w:rsidRPr="008B13A5">
              <w:rPr>
                <w:noProof/>
                <w:color w:val="000000"/>
                <w:sz w:val="20"/>
              </w:rPr>
              <w:t xml:space="preserve"> </w:t>
            </w:r>
          </w:p>
        </w:tc>
        <w:tc>
          <w:tcPr>
            <w:tcW w:w="891" w:type="dxa"/>
            <w:tcBorders>
              <w:top w:val="nil"/>
              <w:left w:val="nil"/>
              <w:bottom w:val="single" w:sz="4" w:space="0" w:color="auto"/>
              <w:right w:val="single" w:sz="4" w:space="0" w:color="auto"/>
            </w:tcBorders>
            <w:noWrap/>
            <w:vAlign w:val="center"/>
          </w:tcPr>
          <w:p w14:paraId="7A52A82F" w14:textId="6FE2D42B" w:rsidR="00EC49AF" w:rsidRPr="008B13A5" w:rsidRDefault="00F274DD">
            <w:pPr>
              <w:spacing w:after="0"/>
              <w:jc w:val="center"/>
              <w:rPr>
                <w:noProof/>
                <w:color w:val="000000"/>
                <w:sz w:val="20"/>
              </w:rPr>
            </w:pPr>
            <w:r w:rsidRPr="008B13A5">
              <w:rPr>
                <w:noProof/>
                <w:color w:val="000000"/>
                <w:sz w:val="20"/>
              </w:rPr>
              <w:t xml:space="preserve"> </w:t>
            </w:r>
          </w:p>
        </w:tc>
        <w:tc>
          <w:tcPr>
            <w:tcW w:w="1040" w:type="dxa"/>
            <w:tcBorders>
              <w:top w:val="nil"/>
              <w:left w:val="nil"/>
              <w:bottom w:val="single" w:sz="4" w:space="0" w:color="auto"/>
              <w:right w:val="single" w:sz="4" w:space="0" w:color="auto"/>
            </w:tcBorders>
            <w:noWrap/>
            <w:vAlign w:val="center"/>
          </w:tcPr>
          <w:p w14:paraId="500B1BF8" w14:textId="77777777" w:rsidR="00EC49AF" w:rsidRPr="008B13A5" w:rsidRDefault="00EC49AF">
            <w:pPr>
              <w:spacing w:after="0"/>
              <w:jc w:val="center"/>
              <w:rPr>
                <w:noProof/>
                <w:color w:val="000000"/>
                <w:sz w:val="20"/>
              </w:rPr>
            </w:pPr>
            <w:r w:rsidRPr="00BD008E">
              <w:rPr>
                <w:noProof/>
                <w:color w:val="000000"/>
                <w:sz w:val="20"/>
              </w:rPr>
              <w:t>9,200</w:t>
            </w:r>
          </w:p>
        </w:tc>
      </w:tr>
      <w:tr w:rsidR="00ED744F" w:rsidRPr="008B13A5" w14:paraId="4D9B3E0D" w14:textId="77777777" w:rsidTr="00B52FD3">
        <w:trPr>
          <w:trHeight w:val="288"/>
        </w:trPr>
        <w:tc>
          <w:tcPr>
            <w:tcW w:w="1705" w:type="dxa"/>
            <w:tcBorders>
              <w:top w:val="nil"/>
              <w:left w:val="single" w:sz="4" w:space="0" w:color="auto"/>
              <w:bottom w:val="single" w:sz="4" w:space="0" w:color="auto"/>
              <w:right w:val="single" w:sz="4" w:space="0" w:color="auto"/>
            </w:tcBorders>
            <w:noWrap/>
            <w:vAlign w:val="center"/>
          </w:tcPr>
          <w:p w14:paraId="18A5F5CF" w14:textId="77777777" w:rsidR="00EC49AF" w:rsidRPr="008B13A5" w:rsidRDefault="00EC49AF">
            <w:pPr>
              <w:spacing w:after="0"/>
              <w:jc w:val="left"/>
              <w:rPr>
                <w:noProof/>
                <w:color w:val="000000"/>
                <w:sz w:val="20"/>
              </w:rPr>
            </w:pPr>
            <w:r w:rsidRPr="008B13A5">
              <w:rPr>
                <w:noProof/>
                <w:color w:val="000000"/>
                <w:sz w:val="20"/>
              </w:rPr>
              <w:t>Logic</w:t>
            </w:r>
          </w:p>
        </w:tc>
        <w:tc>
          <w:tcPr>
            <w:tcW w:w="891" w:type="dxa"/>
            <w:tcBorders>
              <w:top w:val="nil"/>
              <w:left w:val="nil"/>
              <w:bottom w:val="single" w:sz="4" w:space="0" w:color="auto"/>
              <w:right w:val="single" w:sz="4" w:space="0" w:color="auto"/>
            </w:tcBorders>
            <w:noWrap/>
            <w:vAlign w:val="center"/>
          </w:tcPr>
          <w:p w14:paraId="31D3D566" w14:textId="77777777" w:rsidR="00EC49AF" w:rsidRPr="008B13A5" w:rsidRDefault="00EC49AF">
            <w:pPr>
              <w:spacing w:after="0"/>
              <w:jc w:val="center"/>
              <w:rPr>
                <w:noProof/>
                <w:color w:val="000000"/>
                <w:sz w:val="20"/>
              </w:rPr>
            </w:pPr>
            <w:r w:rsidRPr="00BD008E">
              <w:rPr>
                <w:noProof/>
                <w:color w:val="000000"/>
                <w:sz w:val="20"/>
              </w:rPr>
              <w:t>35,000</w:t>
            </w:r>
          </w:p>
        </w:tc>
        <w:tc>
          <w:tcPr>
            <w:tcW w:w="891" w:type="dxa"/>
            <w:tcBorders>
              <w:top w:val="nil"/>
              <w:left w:val="nil"/>
              <w:bottom w:val="single" w:sz="4" w:space="0" w:color="auto"/>
              <w:right w:val="single" w:sz="4" w:space="0" w:color="auto"/>
            </w:tcBorders>
            <w:noWrap/>
          </w:tcPr>
          <w:p w14:paraId="26AE83AC" w14:textId="4AF8E6F1" w:rsidR="00EC49AF" w:rsidRPr="008B13A5" w:rsidRDefault="00F274DD">
            <w:pPr>
              <w:spacing w:after="0"/>
              <w:jc w:val="center"/>
              <w:rPr>
                <w:noProof/>
                <w:color w:val="000000"/>
                <w:sz w:val="20"/>
              </w:rPr>
            </w:pPr>
            <w:r w:rsidRPr="00BD008E">
              <w:rPr>
                <w:noProof/>
                <w:color w:val="000000"/>
                <w:sz w:val="20"/>
              </w:rPr>
              <w:t xml:space="preserve"> </w:t>
            </w:r>
          </w:p>
        </w:tc>
        <w:tc>
          <w:tcPr>
            <w:tcW w:w="892" w:type="dxa"/>
            <w:tcBorders>
              <w:top w:val="nil"/>
              <w:left w:val="nil"/>
              <w:bottom w:val="single" w:sz="4" w:space="0" w:color="auto"/>
              <w:right w:val="single" w:sz="4" w:space="0" w:color="auto"/>
            </w:tcBorders>
            <w:noWrap/>
            <w:vAlign w:val="bottom"/>
          </w:tcPr>
          <w:p w14:paraId="0FFE1A41" w14:textId="77BEF689" w:rsidR="00EC49AF" w:rsidRPr="008B13A5" w:rsidRDefault="00F274DD">
            <w:pPr>
              <w:spacing w:after="0"/>
              <w:jc w:val="left"/>
              <w:rPr>
                <w:rFonts w:ascii="Aptos Narrow" w:hAnsi="Aptos Narrow"/>
                <w:noProof/>
                <w:color w:val="000000"/>
                <w:szCs w:val="22"/>
              </w:rPr>
            </w:pPr>
            <w:r w:rsidRPr="00BD008E">
              <w:rPr>
                <w:rFonts w:ascii="Aptos Narrow" w:hAnsi="Aptos Narrow"/>
                <w:noProof/>
                <w:color w:val="000000"/>
                <w:szCs w:val="22"/>
              </w:rPr>
              <w:t xml:space="preserve"> </w:t>
            </w:r>
          </w:p>
        </w:tc>
        <w:tc>
          <w:tcPr>
            <w:tcW w:w="891" w:type="dxa"/>
            <w:tcBorders>
              <w:top w:val="nil"/>
              <w:left w:val="nil"/>
              <w:bottom w:val="single" w:sz="4" w:space="0" w:color="auto"/>
              <w:right w:val="single" w:sz="4" w:space="0" w:color="auto"/>
            </w:tcBorders>
            <w:noWrap/>
            <w:vAlign w:val="center"/>
          </w:tcPr>
          <w:p w14:paraId="2241EF01" w14:textId="77777777" w:rsidR="00EC49AF" w:rsidRPr="008B13A5" w:rsidRDefault="00EC49AF">
            <w:pPr>
              <w:spacing w:after="0"/>
              <w:jc w:val="center"/>
              <w:rPr>
                <w:noProof/>
                <w:color w:val="000000"/>
                <w:sz w:val="20"/>
              </w:rPr>
            </w:pPr>
            <w:r w:rsidRPr="00BD008E">
              <w:rPr>
                <w:noProof/>
                <w:color w:val="000000"/>
                <w:sz w:val="20"/>
              </w:rPr>
              <w:t>21,700</w:t>
            </w:r>
          </w:p>
        </w:tc>
        <w:tc>
          <w:tcPr>
            <w:tcW w:w="892" w:type="dxa"/>
            <w:tcBorders>
              <w:top w:val="nil"/>
              <w:left w:val="nil"/>
              <w:bottom w:val="single" w:sz="4" w:space="0" w:color="auto"/>
              <w:right w:val="single" w:sz="4" w:space="0" w:color="auto"/>
            </w:tcBorders>
            <w:noWrap/>
            <w:vAlign w:val="bottom"/>
          </w:tcPr>
          <w:p w14:paraId="567AC677" w14:textId="7850F1B9" w:rsidR="00EC49AF" w:rsidRPr="008B13A5" w:rsidRDefault="00F274DD">
            <w:pPr>
              <w:spacing w:after="0"/>
              <w:jc w:val="left"/>
              <w:rPr>
                <w:rFonts w:ascii="Aptos Narrow" w:hAnsi="Aptos Narrow"/>
                <w:noProof/>
                <w:color w:val="000000"/>
                <w:szCs w:val="22"/>
              </w:rPr>
            </w:pPr>
            <w:r w:rsidRPr="00BD008E">
              <w:rPr>
                <w:rFonts w:ascii="Aptos Narrow" w:hAnsi="Aptos Narrow"/>
                <w:noProof/>
                <w:color w:val="000000"/>
                <w:szCs w:val="22"/>
              </w:rPr>
              <w:t xml:space="preserve"> </w:t>
            </w:r>
          </w:p>
        </w:tc>
        <w:tc>
          <w:tcPr>
            <w:tcW w:w="891" w:type="dxa"/>
            <w:tcBorders>
              <w:top w:val="nil"/>
              <w:left w:val="nil"/>
              <w:bottom w:val="single" w:sz="4" w:space="0" w:color="auto"/>
              <w:right w:val="single" w:sz="4" w:space="0" w:color="auto"/>
            </w:tcBorders>
            <w:noWrap/>
            <w:vAlign w:val="center"/>
          </w:tcPr>
          <w:p w14:paraId="3F1C998C" w14:textId="77777777" w:rsidR="00EC49AF" w:rsidRPr="008B13A5" w:rsidRDefault="00EC49AF">
            <w:pPr>
              <w:spacing w:after="0"/>
              <w:jc w:val="center"/>
              <w:rPr>
                <w:noProof/>
                <w:color w:val="000000"/>
                <w:sz w:val="20"/>
              </w:rPr>
            </w:pPr>
            <w:r w:rsidRPr="00BD008E">
              <w:rPr>
                <w:noProof/>
                <w:color w:val="000000"/>
                <w:sz w:val="20"/>
              </w:rPr>
              <w:t>40,000</w:t>
            </w:r>
          </w:p>
        </w:tc>
        <w:tc>
          <w:tcPr>
            <w:tcW w:w="892" w:type="dxa"/>
            <w:tcBorders>
              <w:top w:val="nil"/>
              <w:left w:val="nil"/>
              <w:bottom w:val="single" w:sz="4" w:space="0" w:color="auto"/>
              <w:right w:val="single" w:sz="4" w:space="0" w:color="auto"/>
            </w:tcBorders>
            <w:noWrap/>
          </w:tcPr>
          <w:p w14:paraId="473B734A" w14:textId="0A1A9B73" w:rsidR="00EC49AF" w:rsidRPr="008B13A5" w:rsidRDefault="00F274DD">
            <w:pPr>
              <w:spacing w:after="0"/>
              <w:jc w:val="center"/>
              <w:rPr>
                <w:noProof/>
                <w:color w:val="000000"/>
                <w:sz w:val="20"/>
              </w:rPr>
            </w:pPr>
            <w:r w:rsidRPr="00BD008E">
              <w:rPr>
                <w:noProof/>
                <w:color w:val="000000"/>
                <w:sz w:val="20"/>
              </w:rPr>
              <w:t xml:space="preserve"> </w:t>
            </w:r>
          </w:p>
        </w:tc>
        <w:tc>
          <w:tcPr>
            <w:tcW w:w="891" w:type="dxa"/>
            <w:tcBorders>
              <w:top w:val="nil"/>
              <w:left w:val="nil"/>
              <w:bottom w:val="single" w:sz="4" w:space="0" w:color="auto"/>
              <w:right w:val="single" w:sz="4" w:space="0" w:color="auto"/>
            </w:tcBorders>
            <w:noWrap/>
          </w:tcPr>
          <w:p w14:paraId="4EC2B925" w14:textId="20F39C12" w:rsidR="00EC49AF" w:rsidRPr="008B13A5" w:rsidRDefault="00F274DD">
            <w:pPr>
              <w:spacing w:after="0"/>
              <w:jc w:val="center"/>
              <w:rPr>
                <w:noProof/>
                <w:color w:val="000000"/>
                <w:sz w:val="20"/>
              </w:rPr>
            </w:pPr>
            <w:r w:rsidRPr="00BD008E">
              <w:rPr>
                <w:noProof/>
                <w:color w:val="000000"/>
                <w:sz w:val="20"/>
              </w:rPr>
              <w:t xml:space="preserve"> </w:t>
            </w:r>
          </w:p>
        </w:tc>
        <w:tc>
          <w:tcPr>
            <w:tcW w:w="1040" w:type="dxa"/>
            <w:tcBorders>
              <w:top w:val="nil"/>
              <w:left w:val="nil"/>
              <w:bottom w:val="single" w:sz="4" w:space="0" w:color="auto"/>
              <w:right w:val="single" w:sz="4" w:space="0" w:color="auto"/>
            </w:tcBorders>
            <w:noWrap/>
            <w:vAlign w:val="center"/>
          </w:tcPr>
          <w:p w14:paraId="1F45A36D" w14:textId="77777777" w:rsidR="00EC49AF" w:rsidRPr="008B13A5" w:rsidRDefault="00EC49AF">
            <w:pPr>
              <w:spacing w:after="0"/>
              <w:jc w:val="center"/>
              <w:rPr>
                <w:noProof/>
                <w:color w:val="000000"/>
                <w:sz w:val="20"/>
              </w:rPr>
            </w:pPr>
            <w:r w:rsidRPr="00BD008E">
              <w:rPr>
                <w:noProof/>
                <w:color w:val="000000"/>
                <w:sz w:val="20"/>
              </w:rPr>
              <w:t>96,700</w:t>
            </w:r>
          </w:p>
        </w:tc>
      </w:tr>
      <w:tr w:rsidR="00EC49AF" w:rsidRPr="008B13A5" w14:paraId="22A7689C" w14:textId="77777777" w:rsidTr="00B52FD3">
        <w:trPr>
          <w:trHeight w:val="288"/>
        </w:trPr>
        <w:tc>
          <w:tcPr>
            <w:tcW w:w="1705" w:type="dxa"/>
            <w:tcBorders>
              <w:top w:val="nil"/>
              <w:left w:val="single" w:sz="4" w:space="0" w:color="auto"/>
              <w:bottom w:val="single" w:sz="4" w:space="0" w:color="auto"/>
              <w:right w:val="single" w:sz="4" w:space="0" w:color="auto"/>
            </w:tcBorders>
            <w:noWrap/>
            <w:vAlign w:val="center"/>
          </w:tcPr>
          <w:p w14:paraId="57A84E11" w14:textId="56775268" w:rsidR="00EC49AF" w:rsidRPr="008B13A5" w:rsidRDefault="00EC49AF">
            <w:pPr>
              <w:spacing w:after="0"/>
              <w:jc w:val="left"/>
              <w:rPr>
                <w:b/>
                <w:bCs/>
                <w:noProof/>
                <w:color w:val="000000"/>
                <w:sz w:val="20"/>
              </w:rPr>
            </w:pPr>
            <w:r w:rsidRPr="008B13A5">
              <w:rPr>
                <w:b/>
                <w:bCs/>
                <w:noProof/>
                <w:color w:val="000000"/>
                <w:sz w:val="20"/>
              </w:rPr>
              <w:t>EU27 total</w:t>
            </w:r>
          </w:p>
        </w:tc>
        <w:tc>
          <w:tcPr>
            <w:tcW w:w="891" w:type="dxa"/>
            <w:tcBorders>
              <w:top w:val="nil"/>
              <w:left w:val="nil"/>
              <w:bottom w:val="single" w:sz="4" w:space="0" w:color="auto"/>
              <w:right w:val="single" w:sz="4" w:space="0" w:color="auto"/>
            </w:tcBorders>
            <w:noWrap/>
            <w:vAlign w:val="center"/>
          </w:tcPr>
          <w:p w14:paraId="6EC7B7BE" w14:textId="77777777" w:rsidR="00EC49AF" w:rsidRPr="008B13A5" w:rsidRDefault="00EC49AF">
            <w:pPr>
              <w:spacing w:after="0"/>
              <w:jc w:val="center"/>
              <w:rPr>
                <w:b/>
                <w:bCs/>
                <w:noProof/>
                <w:color w:val="000000"/>
                <w:sz w:val="20"/>
              </w:rPr>
            </w:pPr>
            <w:r w:rsidRPr="00BD008E">
              <w:rPr>
                <w:b/>
                <w:noProof/>
                <w:color w:val="000000"/>
                <w:sz w:val="20"/>
              </w:rPr>
              <w:t>35,000</w:t>
            </w:r>
          </w:p>
        </w:tc>
        <w:tc>
          <w:tcPr>
            <w:tcW w:w="891" w:type="dxa"/>
            <w:tcBorders>
              <w:top w:val="nil"/>
              <w:left w:val="nil"/>
              <w:bottom w:val="single" w:sz="4" w:space="0" w:color="auto"/>
              <w:right w:val="single" w:sz="4" w:space="0" w:color="auto"/>
            </w:tcBorders>
            <w:noWrap/>
            <w:vAlign w:val="center"/>
          </w:tcPr>
          <w:p w14:paraId="7EE0DE7E" w14:textId="77777777" w:rsidR="00EC49AF" w:rsidRPr="008B13A5" w:rsidRDefault="00EC49AF">
            <w:pPr>
              <w:spacing w:after="0"/>
              <w:jc w:val="center"/>
              <w:rPr>
                <w:b/>
                <w:bCs/>
                <w:noProof/>
                <w:color w:val="000000"/>
                <w:sz w:val="20"/>
              </w:rPr>
            </w:pPr>
            <w:r w:rsidRPr="00BD008E">
              <w:rPr>
                <w:b/>
                <w:noProof/>
                <w:color w:val="000000"/>
                <w:sz w:val="20"/>
              </w:rPr>
              <w:t>0</w:t>
            </w:r>
          </w:p>
        </w:tc>
        <w:tc>
          <w:tcPr>
            <w:tcW w:w="892" w:type="dxa"/>
            <w:tcBorders>
              <w:top w:val="nil"/>
              <w:left w:val="nil"/>
              <w:bottom w:val="single" w:sz="4" w:space="0" w:color="auto"/>
              <w:right w:val="single" w:sz="4" w:space="0" w:color="auto"/>
            </w:tcBorders>
            <w:noWrap/>
            <w:vAlign w:val="center"/>
          </w:tcPr>
          <w:p w14:paraId="13C48C53" w14:textId="77777777" w:rsidR="00EC49AF" w:rsidRPr="008B13A5" w:rsidRDefault="00EC49AF">
            <w:pPr>
              <w:spacing w:after="0"/>
              <w:jc w:val="center"/>
              <w:rPr>
                <w:b/>
                <w:bCs/>
                <w:noProof/>
                <w:color w:val="000000"/>
                <w:sz w:val="20"/>
              </w:rPr>
            </w:pPr>
            <w:r w:rsidRPr="008B13A5">
              <w:rPr>
                <w:b/>
                <w:bCs/>
                <w:noProof/>
                <w:color w:val="000000"/>
                <w:sz w:val="20"/>
              </w:rPr>
              <w:t>56,700</w:t>
            </w:r>
          </w:p>
        </w:tc>
        <w:tc>
          <w:tcPr>
            <w:tcW w:w="891" w:type="dxa"/>
            <w:tcBorders>
              <w:top w:val="nil"/>
              <w:left w:val="nil"/>
              <w:bottom w:val="single" w:sz="4" w:space="0" w:color="auto"/>
              <w:right w:val="single" w:sz="4" w:space="0" w:color="auto"/>
            </w:tcBorders>
            <w:noWrap/>
            <w:vAlign w:val="center"/>
          </w:tcPr>
          <w:p w14:paraId="76480C10" w14:textId="77777777" w:rsidR="00EC49AF" w:rsidRPr="008B13A5" w:rsidRDefault="00EC49AF">
            <w:pPr>
              <w:spacing w:after="0"/>
              <w:jc w:val="center"/>
              <w:rPr>
                <w:b/>
                <w:bCs/>
                <w:noProof/>
                <w:color w:val="000000"/>
                <w:sz w:val="20"/>
              </w:rPr>
            </w:pPr>
            <w:r w:rsidRPr="00BD008E">
              <w:rPr>
                <w:b/>
                <w:noProof/>
                <w:color w:val="000000"/>
                <w:sz w:val="20"/>
              </w:rPr>
              <w:t>41,700</w:t>
            </w:r>
          </w:p>
        </w:tc>
        <w:tc>
          <w:tcPr>
            <w:tcW w:w="892" w:type="dxa"/>
            <w:tcBorders>
              <w:top w:val="nil"/>
              <w:left w:val="nil"/>
              <w:bottom w:val="single" w:sz="4" w:space="0" w:color="auto"/>
              <w:right w:val="single" w:sz="4" w:space="0" w:color="auto"/>
            </w:tcBorders>
            <w:noWrap/>
            <w:vAlign w:val="center"/>
          </w:tcPr>
          <w:p w14:paraId="4503BFB1" w14:textId="77777777" w:rsidR="00EC49AF" w:rsidRPr="008B13A5" w:rsidRDefault="00EC49AF">
            <w:pPr>
              <w:spacing w:after="0"/>
              <w:jc w:val="center"/>
              <w:rPr>
                <w:b/>
                <w:bCs/>
                <w:noProof/>
                <w:color w:val="000000"/>
                <w:sz w:val="20"/>
              </w:rPr>
            </w:pPr>
            <w:r w:rsidRPr="00BD008E">
              <w:rPr>
                <w:b/>
                <w:noProof/>
                <w:color w:val="000000"/>
                <w:sz w:val="20"/>
              </w:rPr>
              <w:t>105,200</w:t>
            </w:r>
          </w:p>
        </w:tc>
        <w:tc>
          <w:tcPr>
            <w:tcW w:w="891" w:type="dxa"/>
            <w:tcBorders>
              <w:top w:val="nil"/>
              <w:left w:val="nil"/>
              <w:bottom w:val="single" w:sz="4" w:space="0" w:color="auto"/>
              <w:right w:val="single" w:sz="4" w:space="0" w:color="auto"/>
            </w:tcBorders>
            <w:noWrap/>
            <w:vAlign w:val="center"/>
          </w:tcPr>
          <w:p w14:paraId="3BDDC922" w14:textId="77777777" w:rsidR="00EC49AF" w:rsidRPr="008B13A5" w:rsidRDefault="00EC49AF">
            <w:pPr>
              <w:spacing w:after="0"/>
              <w:jc w:val="center"/>
              <w:rPr>
                <w:b/>
                <w:bCs/>
                <w:noProof/>
                <w:color w:val="000000"/>
                <w:sz w:val="20"/>
              </w:rPr>
            </w:pPr>
            <w:r w:rsidRPr="00BD008E">
              <w:rPr>
                <w:b/>
                <w:noProof/>
                <w:color w:val="000000"/>
                <w:sz w:val="20"/>
              </w:rPr>
              <w:t>40,000</w:t>
            </w:r>
          </w:p>
        </w:tc>
        <w:tc>
          <w:tcPr>
            <w:tcW w:w="892" w:type="dxa"/>
            <w:tcBorders>
              <w:top w:val="nil"/>
              <w:left w:val="nil"/>
              <w:bottom w:val="single" w:sz="4" w:space="0" w:color="auto"/>
              <w:right w:val="single" w:sz="4" w:space="0" w:color="auto"/>
            </w:tcBorders>
            <w:noWrap/>
            <w:vAlign w:val="center"/>
          </w:tcPr>
          <w:p w14:paraId="467A0367" w14:textId="77777777" w:rsidR="00EC49AF" w:rsidRPr="008B13A5" w:rsidRDefault="00EC49AF">
            <w:pPr>
              <w:spacing w:after="0"/>
              <w:jc w:val="center"/>
              <w:rPr>
                <w:b/>
                <w:bCs/>
                <w:noProof/>
                <w:color w:val="000000"/>
                <w:sz w:val="20"/>
              </w:rPr>
            </w:pPr>
            <w:r w:rsidRPr="00BD008E">
              <w:rPr>
                <w:b/>
                <w:noProof/>
                <w:color w:val="000000"/>
                <w:sz w:val="20"/>
              </w:rPr>
              <w:t>0</w:t>
            </w:r>
          </w:p>
        </w:tc>
        <w:tc>
          <w:tcPr>
            <w:tcW w:w="891" w:type="dxa"/>
            <w:tcBorders>
              <w:top w:val="nil"/>
              <w:left w:val="nil"/>
              <w:bottom w:val="single" w:sz="4" w:space="0" w:color="auto"/>
              <w:right w:val="single" w:sz="4" w:space="0" w:color="auto"/>
            </w:tcBorders>
            <w:noWrap/>
            <w:vAlign w:val="center"/>
          </w:tcPr>
          <w:p w14:paraId="51E16F64" w14:textId="77777777" w:rsidR="00EC49AF" w:rsidRPr="008B13A5" w:rsidRDefault="00EC49AF">
            <w:pPr>
              <w:spacing w:after="0"/>
              <w:jc w:val="center"/>
              <w:rPr>
                <w:b/>
                <w:bCs/>
                <w:noProof/>
                <w:color w:val="000000"/>
                <w:sz w:val="20"/>
              </w:rPr>
            </w:pPr>
            <w:r w:rsidRPr="00BD008E">
              <w:rPr>
                <w:b/>
                <w:noProof/>
                <w:color w:val="000000"/>
                <w:sz w:val="20"/>
              </w:rPr>
              <w:t>42,900</w:t>
            </w:r>
          </w:p>
        </w:tc>
        <w:tc>
          <w:tcPr>
            <w:tcW w:w="1040" w:type="dxa"/>
            <w:tcBorders>
              <w:top w:val="nil"/>
              <w:left w:val="nil"/>
              <w:bottom w:val="single" w:sz="4" w:space="0" w:color="auto"/>
              <w:right w:val="single" w:sz="4" w:space="0" w:color="auto"/>
            </w:tcBorders>
            <w:noWrap/>
            <w:vAlign w:val="center"/>
          </w:tcPr>
          <w:p w14:paraId="507B3B86" w14:textId="77777777" w:rsidR="00EC49AF" w:rsidRPr="008B13A5" w:rsidRDefault="00EC49AF">
            <w:pPr>
              <w:spacing w:after="0"/>
              <w:jc w:val="center"/>
              <w:rPr>
                <w:b/>
                <w:bCs/>
                <w:noProof/>
                <w:color w:val="000000"/>
                <w:sz w:val="20"/>
              </w:rPr>
            </w:pPr>
            <w:r w:rsidRPr="00BD008E">
              <w:rPr>
                <w:b/>
                <w:noProof/>
                <w:color w:val="000000"/>
                <w:sz w:val="20"/>
              </w:rPr>
              <w:t>321,500</w:t>
            </w:r>
          </w:p>
        </w:tc>
      </w:tr>
    </w:tbl>
    <w:p w14:paraId="64572C8D" w14:textId="77777777" w:rsidR="00D85275" w:rsidRPr="008B13A5" w:rsidRDefault="00D85275" w:rsidP="00D7479C">
      <w:pPr>
        <w:spacing w:after="0"/>
        <w:rPr>
          <w:noProof/>
        </w:rPr>
      </w:pPr>
    </w:p>
    <w:p w14:paraId="0B64F5DA" w14:textId="3FADEBED" w:rsidR="00EC49AF" w:rsidRPr="008B13A5" w:rsidRDefault="00EC49AF" w:rsidP="00EC49AF">
      <w:pPr>
        <w:rPr>
          <w:noProof/>
        </w:rPr>
      </w:pPr>
      <w:r w:rsidRPr="008B13A5">
        <w:rPr>
          <w:noProof/>
        </w:rPr>
        <w:t xml:space="preserve">Based on announced and already committed semiconductor manufacturing projects in Europe, </w:t>
      </w:r>
      <w:r w:rsidRPr="008B13A5">
        <w:rPr>
          <w:b/>
          <w:bCs/>
          <w:noProof/>
        </w:rPr>
        <w:t>the EU’s installed wafer fabrication capacity is projected to rise from approximately 1.07 million wafers per month (12-inch, 300 mm equivalent) in 2023 to over 1.39 million by 2030</w:t>
      </w:r>
      <w:r w:rsidRPr="008B13A5">
        <w:rPr>
          <w:noProof/>
        </w:rPr>
        <w:t>. This represents an overall increase of about 3</w:t>
      </w:r>
      <w:r w:rsidR="00FC308E" w:rsidRPr="008B13A5">
        <w:rPr>
          <w:noProof/>
        </w:rPr>
        <w:t>0</w:t>
      </w:r>
      <w:r w:rsidRPr="008B13A5">
        <w:rPr>
          <w:noProof/>
        </w:rPr>
        <w:t xml:space="preserve">%, </w:t>
      </w:r>
      <w:r w:rsidRPr="008B13A5">
        <w:rPr>
          <w:b/>
          <w:noProof/>
        </w:rPr>
        <w:t xml:space="preserve">corresponding to an average annual growth rate of </w:t>
      </w:r>
      <w:r w:rsidRPr="008B13A5">
        <w:rPr>
          <w:b/>
          <w:bCs/>
          <w:noProof/>
        </w:rPr>
        <w:t>3.9%</w:t>
      </w:r>
      <w:r w:rsidRPr="008B13A5">
        <w:rPr>
          <w:noProof/>
        </w:rPr>
        <w:t xml:space="preserve"> in capacity. These figures cover only projects that are publicly announced and sufficiently advanced to be included in the business-as-usual (BAU) scenario. They do not take into account potential future investments</w:t>
      </w:r>
      <w:r w:rsidRPr="008B13A5" w:rsidDel="00E72591">
        <w:rPr>
          <w:noProof/>
        </w:rPr>
        <w:t xml:space="preserve"> </w:t>
      </w:r>
      <w:r w:rsidR="00E72591" w:rsidRPr="008B13A5">
        <w:rPr>
          <w:noProof/>
        </w:rPr>
        <w:t xml:space="preserve">or </w:t>
      </w:r>
      <w:r w:rsidR="000F5C4B" w:rsidRPr="008B13A5">
        <w:rPr>
          <w:noProof/>
        </w:rPr>
        <w:t>investments currently under scrutiny for State aid</w:t>
      </w:r>
      <w:r w:rsidRPr="008B13A5">
        <w:rPr>
          <w:noProof/>
        </w:rPr>
        <w:t xml:space="preserve">. The estimate therefore provides a conservative baseline for Europe’s manufacturing capacity under existing commitments. </w:t>
      </w:r>
    </w:p>
    <w:p w14:paraId="3B38631E" w14:textId="58D306B3" w:rsidR="00EC49AF" w:rsidRPr="008B13A5" w:rsidRDefault="00EC49AF" w:rsidP="00EC49AF">
      <w:pPr>
        <w:rPr>
          <w:noProof/>
          <w:highlight w:val="yellow"/>
        </w:rPr>
      </w:pPr>
      <w:r w:rsidRPr="008B13A5">
        <w:rPr>
          <w:noProof/>
        </w:rPr>
        <w:t>The fastest market expansion is anticipated in leading-edge segments</w:t>
      </w:r>
      <w:r w:rsidRPr="008B13A5" w:rsidDel="002742BC">
        <w:rPr>
          <w:noProof/>
        </w:rPr>
        <w:t xml:space="preserve">, </w:t>
      </w:r>
      <w:r w:rsidRPr="008B13A5">
        <w:rPr>
          <w:noProof/>
        </w:rPr>
        <w:t xml:space="preserve">where EU-headquartered players have limited presence. </w:t>
      </w:r>
      <w:r w:rsidR="00453B2A" w:rsidRPr="008B13A5">
        <w:rPr>
          <w:noProof/>
        </w:rPr>
        <w:t>In this segment, growth in manufacturing capacity is expected to be more limited in Europe than in other world regions. Furthermore, any such increase is likely to serve an IDM model rather than operate as an open foundry.</w:t>
      </w:r>
    </w:p>
    <w:p w14:paraId="01B4ADE5" w14:textId="32B4EA87" w:rsidR="00EC49AF" w:rsidRPr="008B13A5" w:rsidRDefault="00EC49AF" w:rsidP="00D7479C">
      <w:pPr>
        <w:pStyle w:val="NormalWeb"/>
        <w:jc w:val="both"/>
        <w:rPr>
          <w:noProof/>
          <w:sz w:val="28"/>
          <w:szCs w:val="28"/>
        </w:rPr>
      </w:pPr>
      <w:r w:rsidRPr="008B13A5">
        <w:rPr>
          <w:noProof/>
        </w:rPr>
        <w:t xml:space="preserve">In line with these findings, this BAU model assumes that all announced and already funded projects determine Europe’s capacity growth up to 2030, which is already represented in the IDC projections data. </w:t>
      </w:r>
      <w:r w:rsidRPr="008B13A5">
        <w:rPr>
          <w:b/>
          <w:bCs/>
          <w:noProof/>
        </w:rPr>
        <w:t xml:space="preserve">After 2030, capacity increases are assumed to result from incremental brownfield expansion, tool upgrades, and new projects yet to be announced. </w:t>
      </w:r>
      <w:r w:rsidRPr="008B13A5">
        <w:rPr>
          <w:b/>
          <w:noProof/>
        </w:rPr>
        <w:t>To represent this trend, and in line with the manufacturing vs. revenue growth over the period 2023-2030 summarised in the previous paragraph,</w:t>
      </w:r>
      <w:r w:rsidRPr="008B13A5">
        <w:rPr>
          <w:b/>
          <w:bCs/>
          <w:noProof/>
        </w:rPr>
        <w:t xml:space="preserve"> scenarios of organic growth factors of +2 %, +3 %, and +4 % per year are envisaged from 2031 onwards </w:t>
      </w:r>
      <w:r w:rsidRPr="008B13A5">
        <w:rPr>
          <w:noProof/>
        </w:rPr>
        <w:t xml:space="preserve">to the 2030 installed capacity level of 1 391 500 wafers per month (300 mm equivalent), in order to determine the manufacturing capacity by 2035 (Table </w:t>
      </w:r>
      <w:r w:rsidR="00384F6C">
        <w:rPr>
          <w:noProof/>
        </w:rPr>
        <w:t>5</w:t>
      </w:r>
      <w:r w:rsidRPr="008B13A5">
        <w:rPr>
          <w:noProof/>
        </w:rPr>
        <w:t>).</w:t>
      </w:r>
    </w:p>
    <w:p w14:paraId="0B7FE35D" w14:textId="61960D4A" w:rsidR="00EC49AF" w:rsidRPr="008B13A5" w:rsidRDefault="00EC49AF" w:rsidP="00EC49AF">
      <w:pPr>
        <w:pStyle w:val="NormalWeb"/>
        <w:spacing w:before="0" w:beforeAutospacing="0"/>
        <w:rPr>
          <w:b/>
          <w:bCs/>
          <w:noProof/>
          <w:sz w:val="22"/>
          <w:szCs w:val="22"/>
        </w:rPr>
      </w:pPr>
      <w:r w:rsidRPr="008B13A5">
        <w:rPr>
          <w:b/>
          <w:bCs/>
          <w:noProof/>
          <w:sz w:val="22"/>
          <w:szCs w:val="22"/>
        </w:rPr>
        <w:t xml:space="preserve">Table </w:t>
      </w:r>
      <w:r w:rsidR="00384F6C">
        <w:rPr>
          <w:b/>
          <w:bCs/>
          <w:noProof/>
          <w:sz w:val="22"/>
          <w:szCs w:val="22"/>
        </w:rPr>
        <w:t>5</w:t>
      </w:r>
      <w:r w:rsidRPr="008B13A5">
        <w:rPr>
          <w:b/>
          <w:bCs/>
          <w:noProof/>
          <w:sz w:val="22"/>
          <w:szCs w:val="22"/>
        </w:rPr>
        <w:t>. Projection of Europe</w:t>
      </w:r>
      <w:r w:rsidR="00497125" w:rsidRPr="008B13A5">
        <w:rPr>
          <w:b/>
          <w:bCs/>
          <w:noProof/>
          <w:sz w:val="22"/>
          <w:szCs w:val="22"/>
        </w:rPr>
        <w:t>’</w:t>
      </w:r>
      <w:r w:rsidRPr="008B13A5">
        <w:rPr>
          <w:b/>
          <w:bCs/>
          <w:noProof/>
          <w:sz w:val="22"/>
          <w:szCs w:val="22"/>
        </w:rPr>
        <w:t xml:space="preserve">s manufacturing capacity following the organic growth assumption. </w:t>
      </w:r>
      <w:r w:rsidRPr="008B13A5">
        <w:rPr>
          <w:i/>
          <w:iCs/>
          <w:noProof/>
          <w:sz w:val="22"/>
          <w:szCs w:val="22"/>
        </w:rPr>
        <w:t>Source: prepared by the authors.</w:t>
      </w:r>
      <w:r w:rsidRPr="008B13A5">
        <w:rPr>
          <w:b/>
          <w:bCs/>
          <w:noProof/>
          <w:sz w:val="22"/>
          <w:szCs w:val="22"/>
        </w:rPr>
        <w:t xml:space="preserve"> </w:t>
      </w:r>
    </w:p>
    <w:tbl>
      <w:tblPr>
        <w:tblStyle w:val="TableGrid"/>
        <w:tblW w:w="9614" w:type="dxa"/>
        <w:tblLook w:val="04A0" w:firstRow="1" w:lastRow="0" w:firstColumn="1" w:lastColumn="0" w:noHBand="0" w:noVBand="1"/>
      </w:tblPr>
      <w:tblGrid>
        <w:gridCol w:w="1266"/>
        <w:gridCol w:w="2087"/>
        <w:gridCol w:w="2087"/>
        <w:gridCol w:w="2087"/>
        <w:gridCol w:w="2087"/>
      </w:tblGrid>
      <w:tr w:rsidR="00EC49AF" w:rsidRPr="008B13A5" w14:paraId="483C36F8" w14:textId="77777777">
        <w:trPr>
          <w:trHeight w:val="748"/>
        </w:trPr>
        <w:tc>
          <w:tcPr>
            <w:tcW w:w="1266" w:type="dxa"/>
            <w:tcBorders>
              <w:top w:val="single" w:sz="8" w:space="0" w:color="auto"/>
              <w:left w:val="single" w:sz="8" w:space="0" w:color="auto"/>
              <w:bottom w:val="single" w:sz="8" w:space="0" w:color="auto"/>
              <w:right w:val="single" w:sz="8" w:space="0" w:color="auto"/>
            </w:tcBorders>
            <w:vAlign w:val="center"/>
          </w:tcPr>
          <w:p w14:paraId="444230F7" w14:textId="77777777" w:rsidR="00EC49AF" w:rsidRPr="008B13A5" w:rsidRDefault="00EC49AF">
            <w:pPr>
              <w:spacing w:after="0"/>
              <w:jc w:val="center"/>
              <w:rPr>
                <w:b/>
                <w:bCs/>
                <w:noProof/>
                <w:color w:val="000000"/>
                <w:sz w:val="20"/>
              </w:rPr>
            </w:pPr>
            <w:r w:rsidRPr="008B13A5">
              <w:rPr>
                <w:b/>
                <w:bCs/>
                <w:noProof/>
                <w:color w:val="000000"/>
                <w:sz w:val="20"/>
              </w:rPr>
              <w:t>Year</w:t>
            </w:r>
          </w:p>
        </w:tc>
        <w:tc>
          <w:tcPr>
            <w:tcW w:w="2087" w:type="dxa"/>
            <w:tcBorders>
              <w:top w:val="single" w:sz="8" w:space="0" w:color="auto"/>
              <w:left w:val="nil"/>
              <w:bottom w:val="single" w:sz="8" w:space="0" w:color="auto"/>
              <w:right w:val="single" w:sz="8" w:space="0" w:color="auto"/>
            </w:tcBorders>
            <w:vAlign w:val="center"/>
          </w:tcPr>
          <w:p w14:paraId="3A5D5DD2" w14:textId="6BBD0A48" w:rsidR="00EC49AF" w:rsidRPr="008B13A5" w:rsidRDefault="00EC49AF">
            <w:pPr>
              <w:spacing w:after="0"/>
              <w:jc w:val="right"/>
              <w:rPr>
                <w:b/>
                <w:bCs/>
                <w:noProof/>
                <w:color w:val="000000"/>
                <w:sz w:val="20"/>
              </w:rPr>
            </w:pPr>
            <w:r w:rsidRPr="008B13A5">
              <w:rPr>
                <w:b/>
                <w:bCs/>
                <w:noProof/>
                <w:color w:val="000000"/>
                <w:sz w:val="20"/>
              </w:rPr>
              <w:t>Known project path</w:t>
            </w:r>
          </w:p>
        </w:tc>
        <w:tc>
          <w:tcPr>
            <w:tcW w:w="2087" w:type="dxa"/>
            <w:tcBorders>
              <w:top w:val="single" w:sz="8" w:space="0" w:color="auto"/>
              <w:left w:val="nil"/>
              <w:bottom w:val="single" w:sz="8" w:space="0" w:color="auto"/>
              <w:right w:val="single" w:sz="8" w:space="0" w:color="auto"/>
            </w:tcBorders>
            <w:vAlign w:val="center"/>
          </w:tcPr>
          <w:p w14:paraId="2AE513A3" w14:textId="4D688D84" w:rsidR="00EC49AF" w:rsidRPr="008B13A5" w:rsidRDefault="00EC49AF" w:rsidP="00BD008E">
            <w:pPr>
              <w:spacing w:after="0"/>
              <w:jc w:val="center"/>
              <w:rPr>
                <w:b/>
                <w:bCs/>
                <w:noProof/>
                <w:color w:val="000000"/>
                <w:sz w:val="20"/>
              </w:rPr>
            </w:pPr>
            <w:r w:rsidRPr="008B13A5">
              <w:rPr>
                <w:b/>
                <w:bCs/>
                <w:noProof/>
                <w:color w:val="000000"/>
                <w:sz w:val="20"/>
              </w:rPr>
              <w:t>+2 % p.a.</w:t>
            </w:r>
          </w:p>
        </w:tc>
        <w:tc>
          <w:tcPr>
            <w:tcW w:w="2087" w:type="dxa"/>
            <w:tcBorders>
              <w:top w:val="single" w:sz="8" w:space="0" w:color="auto"/>
              <w:left w:val="nil"/>
              <w:bottom w:val="single" w:sz="8" w:space="0" w:color="auto"/>
              <w:right w:val="single" w:sz="8" w:space="0" w:color="auto"/>
            </w:tcBorders>
            <w:vAlign w:val="center"/>
          </w:tcPr>
          <w:p w14:paraId="312F1F98" w14:textId="3F09E548" w:rsidR="00EC49AF" w:rsidRPr="008B13A5" w:rsidRDefault="00EC49AF" w:rsidP="00BD008E">
            <w:pPr>
              <w:spacing w:after="0"/>
              <w:jc w:val="center"/>
              <w:rPr>
                <w:b/>
                <w:bCs/>
                <w:noProof/>
                <w:color w:val="000000"/>
                <w:sz w:val="20"/>
              </w:rPr>
            </w:pPr>
            <w:r w:rsidRPr="008B13A5">
              <w:rPr>
                <w:b/>
                <w:bCs/>
                <w:noProof/>
                <w:color w:val="000000"/>
                <w:sz w:val="20"/>
              </w:rPr>
              <w:t>+3 % p.a.</w:t>
            </w:r>
          </w:p>
        </w:tc>
        <w:tc>
          <w:tcPr>
            <w:tcW w:w="2087" w:type="dxa"/>
            <w:tcBorders>
              <w:top w:val="single" w:sz="8" w:space="0" w:color="auto"/>
              <w:left w:val="nil"/>
              <w:bottom w:val="single" w:sz="8" w:space="0" w:color="auto"/>
              <w:right w:val="single" w:sz="8" w:space="0" w:color="auto"/>
            </w:tcBorders>
            <w:vAlign w:val="center"/>
          </w:tcPr>
          <w:p w14:paraId="77DBD9B7" w14:textId="79ADDD4F" w:rsidR="00EC49AF" w:rsidRPr="008B13A5" w:rsidRDefault="00EC49AF" w:rsidP="00BD008E">
            <w:pPr>
              <w:spacing w:after="0"/>
              <w:jc w:val="center"/>
              <w:rPr>
                <w:b/>
                <w:bCs/>
                <w:noProof/>
                <w:color w:val="000000"/>
                <w:sz w:val="20"/>
              </w:rPr>
            </w:pPr>
            <w:r w:rsidRPr="008B13A5">
              <w:rPr>
                <w:b/>
                <w:bCs/>
                <w:noProof/>
                <w:color w:val="000000"/>
                <w:sz w:val="20"/>
              </w:rPr>
              <w:t>+4 % p.a.</w:t>
            </w:r>
          </w:p>
        </w:tc>
      </w:tr>
      <w:tr w:rsidR="00EC49AF" w:rsidRPr="008B13A5" w14:paraId="02674C41" w14:textId="77777777">
        <w:trPr>
          <w:trHeight w:val="302"/>
        </w:trPr>
        <w:tc>
          <w:tcPr>
            <w:tcW w:w="1266" w:type="dxa"/>
            <w:tcBorders>
              <w:top w:val="nil"/>
              <w:left w:val="single" w:sz="8" w:space="0" w:color="auto"/>
              <w:bottom w:val="single" w:sz="8" w:space="0" w:color="auto"/>
              <w:right w:val="single" w:sz="8" w:space="0" w:color="auto"/>
            </w:tcBorders>
            <w:vAlign w:val="center"/>
          </w:tcPr>
          <w:p w14:paraId="49159ABD" w14:textId="77777777" w:rsidR="00EC49AF" w:rsidRPr="008B13A5" w:rsidRDefault="00EC49AF">
            <w:pPr>
              <w:spacing w:after="0"/>
              <w:jc w:val="center"/>
              <w:rPr>
                <w:b/>
                <w:bCs/>
                <w:noProof/>
                <w:color w:val="000000"/>
                <w:sz w:val="20"/>
              </w:rPr>
            </w:pPr>
            <w:r w:rsidRPr="008B13A5">
              <w:rPr>
                <w:b/>
                <w:bCs/>
                <w:noProof/>
                <w:color w:val="000000"/>
                <w:sz w:val="20"/>
              </w:rPr>
              <w:t>2031</w:t>
            </w:r>
          </w:p>
        </w:tc>
        <w:tc>
          <w:tcPr>
            <w:tcW w:w="2087" w:type="dxa"/>
            <w:tcBorders>
              <w:top w:val="nil"/>
              <w:left w:val="nil"/>
              <w:bottom w:val="single" w:sz="8" w:space="0" w:color="auto"/>
              <w:right w:val="single" w:sz="8" w:space="0" w:color="auto"/>
            </w:tcBorders>
            <w:vAlign w:val="center"/>
          </w:tcPr>
          <w:p w14:paraId="5CDE2BE9" w14:textId="77777777" w:rsidR="00EC49AF" w:rsidRPr="008B13A5" w:rsidRDefault="00EC49AF">
            <w:pPr>
              <w:spacing w:after="0"/>
              <w:jc w:val="center"/>
              <w:rPr>
                <w:noProof/>
                <w:color w:val="000000"/>
                <w:sz w:val="20"/>
              </w:rPr>
            </w:pPr>
            <w:r w:rsidRPr="008B13A5">
              <w:rPr>
                <w:noProof/>
                <w:color w:val="000000"/>
                <w:sz w:val="20"/>
              </w:rPr>
              <w:t>1,391,500</w:t>
            </w:r>
          </w:p>
        </w:tc>
        <w:tc>
          <w:tcPr>
            <w:tcW w:w="2087" w:type="dxa"/>
            <w:tcBorders>
              <w:top w:val="nil"/>
              <w:left w:val="nil"/>
              <w:bottom w:val="single" w:sz="8" w:space="0" w:color="auto"/>
              <w:right w:val="single" w:sz="8" w:space="0" w:color="auto"/>
            </w:tcBorders>
            <w:vAlign w:val="center"/>
          </w:tcPr>
          <w:p w14:paraId="52476F06" w14:textId="77777777" w:rsidR="00EC49AF" w:rsidRPr="008B13A5" w:rsidRDefault="00EC49AF">
            <w:pPr>
              <w:spacing w:after="0"/>
              <w:jc w:val="center"/>
              <w:rPr>
                <w:noProof/>
                <w:color w:val="000000"/>
                <w:sz w:val="20"/>
              </w:rPr>
            </w:pPr>
            <w:r w:rsidRPr="008B13A5">
              <w:rPr>
                <w:noProof/>
                <w:color w:val="000000"/>
                <w:sz w:val="20"/>
              </w:rPr>
              <w:t>1,419,330</w:t>
            </w:r>
          </w:p>
        </w:tc>
        <w:tc>
          <w:tcPr>
            <w:tcW w:w="2087" w:type="dxa"/>
            <w:tcBorders>
              <w:top w:val="nil"/>
              <w:left w:val="nil"/>
              <w:bottom w:val="single" w:sz="8" w:space="0" w:color="auto"/>
              <w:right w:val="single" w:sz="8" w:space="0" w:color="auto"/>
            </w:tcBorders>
            <w:vAlign w:val="center"/>
          </w:tcPr>
          <w:p w14:paraId="197B09CE" w14:textId="77777777" w:rsidR="00EC49AF" w:rsidRPr="008B13A5" w:rsidRDefault="00EC49AF">
            <w:pPr>
              <w:spacing w:after="0"/>
              <w:jc w:val="center"/>
              <w:rPr>
                <w:noProof/>
                <w:color w:val="000000"/>
                <w:sz w:val="20"/>
              </w:rPr>
            </w:pPr>
            <w:r w:rsidRPr="008B13A5">
              <w:rPr>
                <w:noProof/>
                <w:color w:val="000000"/>
                <w:sz w:val="20"/>
              </w:rPr>
              <w:t>1,433,245</w:t>
            </w:r>
          </w:p>
        </w:tc>
        <w:tc>
          <w:tcPr>
            <w:tcW w:w="2087" w:type="dxa"/>
            <w:tcBorders>
              <w:top w:val="nil"/>
              <w:left w:val="nil"/>
              <w:bottom w:val="single" w:sz="8" w:space="0" w:color="auto"/>
              <w:right w:val="single" w:sz="8" w:space="0" w:color="auto"/>
            </w:tcBorders>
            <w:vAlign w:val="center"/>
          </w:tcPr>
          <w:p w14:paraId="2033E866" w14:textId="77777777" w:rsidR="00EC49AF" w:rsidRPr="008B13A5" w:rsidRDefault="00EC49AF">
            <w:pPr>
              <w:spacing w:after="0"/>
              <w:jc w:val="center"/>
              <w:rPr>
                <w:noProof/>
                <w:color w:val="000000"/>
                <w:sz w:val="20"/>
              </w:rPr>
            </w:pPr>
            <w:r w:rsidRPr="008B13A5">
              <w:rPr>
                <w:noProof/>
                <w:color w:val="000000"/>
                <w:sz w:val="20"/>
              </w:rPr>
              <w:t>1,447,160</w:t>
            </w:r>
          </w:p>
        </w:tc>
      </w:tr>
      <w:tr w:rsidR="00EC49AF" w:rsidRPr="008B13A5" w14:paraId="441CB7AF" w14:textId="77777777">
        <w:trPr>
          <w:trHeight w:val="302"/>
        </w:trPr>
        <w:tc>
          <w:tcPr>
            <w:tcW w:w="1266" w:type="dxa"/>
            <w:tcBorders>
              <w:top w:val="nil"/>
              <w:left w:val="single" w:sz="8" w:space="0" w:color="auto"/>
              <w:bottom w:val="single" w:sz="8" w:space="0" w:color="auto"/>
              <w:right w:val="single" w:sz="8" w:space="0" w:color="auto"/>
            </w:tcBorders>
            <w:vAlign w:val="center"/>
          </w:tcPr>
          <w:p w14:paraId="4FE4F9C2" w14:textId="77777777" w:rsidR="00EC49AF" w:rsidRPr="008B13A5" w:rsidRDefault="00EC49AF">
            <w:pPr>
              <w:spacing w:after="0"/>
              <w:jc w:val="center"/>
              <w:rPr>
                <w:b/>
                <w:bCs/>
                <w:noProof/>
                <w:color w:val="000000"/>
                <w:sz w:val="20"/>
              </w:rPr>
            </w:pPr>
            <w:r w:rsidRPr="008B13A5">
              <w:rPr>
                <w:b/>
                <w:bCs/>
                <w:noProof/>
                <w:color w:val="000000"/>
                <w:sz w:val="20"/>
              </w:rPr>
              <w:t>2032</w:t>
            </w:r>
          </w:p>
        </w:tc>
        <w:tc>
          <w:tcPr>
            <w:tcW w:w="2087" w:type="dxa"/>
            <w:tcBorders>
              <w:top w:val="nil"/>
              <w:left w:val="nil"/>
              <w:bottom w:val="single" w:sz="8" w:space="0" w:color="auto"/>
              <w:right w:val="single" w:sz="8" w:space="0" w:color="auto"/>
            </w:tcBorders>
            <w:vAlign w:val="center"/>
          </w:tcPr>
          <w:p w14:paraId="1E4E5E66" w14:textId="77777777" w:rsidR="00EC49AF" w:rsidRPr="008B13A5" w:rsidRDefault="00EC49AF">
            <w:pPr>
              <w:spacing w:after="0"/>
              <w:jc w:val="center"/>
              <w:rPr>
                <w:noProof/>
                <w:color w:val="000000"/>
                <w:sz w:val="20"/>
              </w:rPr>
            </w:pPr>
            <w:r w:rsidRPr="008B13A5">
              <w:rPr>
                <w:noProof/>
                <w:color w:val="000000"/>
                <w:sz w:val="20"/>
              </w:rPr>
              <w:t>1,391,500</w:t>
            </w:r>
          </w:p>
        </w:tc>
        <w:tc>
          <w:tcPr>
            <w:tcW w:w="2087" w:type="dxa"/>
            <w:tcBorders>
              <w:top w:val="nil"/>
              <w:left w:val="nil"/>
              <w:bottom w:val="single" w:sz="8" w:space="0" w:color="auto"/>
              <w:right w:val="single" w:sz="8" w:space="0" w:color="auto"/>
            </w:tcBorders>
            <w:vAlign w:val="center"/>
          </w:tcPr>
          <w:p w14:paraId="3F882E25" w14:textId="77777777" w:rsidR="00EC49AF" w:rsidRPr="008B13A5" w:rsidRDefault="00EC49AF">
            <w:pPr>
              <w:spacing w:after="0"/>
              <w:jc w:val="center"/>
              <w:rPr>
                <w:noProof/>
                <w:color w:val="000000"/>
                <w:sz w:val="20"/>
              </w:rPr>
            </w:pPr>
            <w:r w:rsidRPr="008B13A5">
              <w:rPr>
                <w:noProof/>
                <w:color w:val="000000"/>
                <w:sz w:val="20"/>
              </w:rPr>
              <w:t>1,447,717</w:t>
            </w:r>
          </w:p>
        </w:tc>
        <w:tc>
          <w:tcPr>
            <w:tcW w:w="2087" w:type="dxa"/>
            <w:tcBorders>
              <w:top w:val="nil"/>
              <w:left w:val="nil"/>
              <w:bottom w:val="single" w:sz="8" w:space="0" w:color="auto"/>
              <w:right w:val="single" w:sz="8" w:space="0" w:color="auto"/>
            </w:tcBorders>
            <w:vAlign w:val="center"/>
          </w:tcPr>
          <w:p w14:paraId="665F1908" w14:textId="77777777" w:rsidR="00EC49AF" w:rsidRPr="008B13A5" w:rsidRDefault="00EC49AF">
            <w:pPr>
              <w:spacing w:after="0"/>
              <w:jc w:val="center"/>
              <w:rPr>
                <w:noProof/>
                <w:color w:val="000000"/>
                <w:sz w:val="20"/>
              </w:rPr>
            </w:pPr>
            <w:r w:rsidRPr="008B13A5">
              <w:rPr>
                <w:noProof/>
                <w:color w:val="000000"/>
                <w:sz w:val="20"/>
              </w:rPr>
              <w:t>1,476,242</w:t>
            </w:r>
          </w:p>
        </w:tc>
        <w:tc>
          <w:tcPr>
            <w:tcW w:w="2087" w:type="dxa"/>
            <w:tcBorders>
              <w:top w:val="nil"/>
              <w:left w:val="nil"/>
              <w:bottom w:val="single" w:sz="8" w:space="0" w:color="auto"/>
              <w:right w:val="single" w:sz="8" w:space="0" w:color="auto"/>
            </w:tcBorders>
            <w:vAlign w:val="center"/>
          </w:tcPr>
          <w:p w14:paraId="69502EB5" w14:textId="77777777" w:rsidR="00EC49AF" w:rsidRPr="008B13A5" w:rsidRDefault="00EC49AF">
            <w:pPr>
              <w:spacing w:after="0"/>
              <w:jc w:val="center"/>
              <w:rPr>
                <w:noProof/>
                <w:color w:val="000000"/>
                <w:sz w:val="20"/>
              </w:rPr>
            </w:pPr>
            <w:r w:rsidRPr="008B13A5">
              <w:rPr>
                <w:noProof/>
                <w:color w:val="000000"/>
                <w:sz w:val="20"/>
              </w:rPr>
              <w:t>1,505,046</w:t>
            </w:r>
          </w:p>
        </w:tc>
      </w:tr>
      <w:tr w:rsidR="00EC49AF" w:rsidRPr="008B13A5" w14:paraId="6804BEC5" w14:textId="77777777">
        <w:trPr>
          <w:trHeight w:val="302"/>
        </w:trPr>
        <w:tc>
          <w:tcPr>
            <w:tcW w:w="1266" w:type="dxa"/>
            <w:tcBorders>
              <w:top w:val="nil"/>
              <w:left w:val="single" w:sz="8" w:space="0" w:color="auto"/>
              <w:bottom w:val="single" w:sz="8" w:space="0" w:color="auto"/>
              <w:right w:val="single" w:sz="8" w:space="0" w:color="auto"/>
            </w:tcBorders>
            <w:vAlign w:val="center"/>
          </w:tcPr>
          <w:p w14:paraId="1CBF9DED" w14:textId="77777777" w:rsidR="00EC49AF" w:rsidRPr="008B13A5" w:rsidRDefault="00EC49AF">
            <w:pPr>
              <w:spacing w:after="0"/>
              <w:jc w:val="center"/>
              <w:rPr>
                <w:b/>
                <w:bCs/>
                <w:noProof/>
                <w:color w:val="000000"/>
                <w:sz w:val="20"/>
              </w:rPr>
            </w:pPr>
            <w:r w:rsidRPr="008B13A5">
              <w:rPr>
                <w:b/>
                <w:bCs/>
                <w:noProof/>
                <w:color w:val="000000"/>
                <w:sz w:val="20"/>
              </w:rPr>
              <w:t>2033</w:t>
            </w:r>
          </w:p>
        </w:tc>
        <w:tc>
          <w:tcPr>
            <w:tcW w:w="2087" w:type="dxa"/>
            <w:tcBorders>
              <w:top w:val="nil"/>
              <w:left w:val="nil"/>
              <w:bottom w:val="single" w:sz="8" w:space="0" w:color="auto"/>
              <w:right w:val="single" w:sz="8" w:space="0" w:color="auto"/>
            </w:tcBorders>
            <w:vAlign w:val="center"/>
          </w:tcPr>
          <w:p w14:paraId="7E1A4F68" w14:textId="77777777" w:rsidR="00EC49AF" w:rsidRPr="008B13A5" w:rsidRDefault="00EC49AF">
            <w:pPr>
              <w:spacing w:after="0"/>
              <w:jc w:val="center"/>
              <w:rPr>
                <w:noProof/>
                <w:color w:val="000000"/>
                <w:sz w:val="20"/>
              </w:rPr>
            </w:pPr>
            <w:r w:rsidRPr="008B13A5">
              <w:rPr>
                <w:noProof/>
                <w:color w:val="000000"/>
                <w:sz w:val="20"/>
              </w:rPr>
              <w:t>1,391,500</w:t>
            </w:r>
          </w:p>
        </w:tc>
        <w:tc>
          <w:tcPr>
            <w:tcW w:w="2087" w:type="dxa"/>
            <w:tcBorders>
              <w:top w:val="nil"/>
              <w:left w:val="nil"/>
              <w:bottom w:val="single" w:sz="8" w:space="0" w:color="auto"/>
              <w:right w:val="single" w:sz="8" w:space="0" w:color="auto"/>
            </w:tcBorders>
            <w:vAlign w:val="center"/>
          </w:tcPr>
          <w:p w14:paraId="52653F78" w14:textId="77777777" w:rsidR="00EC49AF" w:rsidRPr="008B13A5" w:rsidRDefault="00EC49AF">
            <w:pPr>
              <w:spacing w:after="0"/>
              <w:jc w:val="center"/>
              <w:rPr>
                <w:noProof/>
                <w:color w:val="000000"/>
                <w:sz w:val="20"/>
              </w:rPr>
            </w:pPr>
            <w:r w:rsidRPr="008B13A5">
              <w:rPr>
                <w:noProof/>
                <w:color w:val="000000"/>
                <w:sz w:val="20"/>
              </w:rPr>
              <w:t>1,476,671</w:t>
            </w:r>
          </w:p>
        </w:tc>
        <w:tc>
          <w:tcPr>
            <w:tcW w:w="2087" w:type="dxa"/>
            <w:tcBorders>
              <w:top w:val="nil"/>
              <w:left w:val="nil"/>
              <w:bottom w:val="single" w:sz="8" w:space="0" w:color="auto"/>
              <w:right w:val="single" w:sz="8" w:space="0" w:color="auto"/>
            </w:tcBorders>
            <w:vAlign w:val="center"/>
          </w:tcPr>
          <w:p w14:paraId="1140ADA5" w14:textId="77777777" w:rsidR="00EC49AF" w:rsidRPr="008B13A5" w:rsidRDefault="00EC49AF">
            <w:pPr>
              <w:spacing w:after="0"/>
              <w:jc w:val="center"/>
              <w:rPr>
                <w:noProof/>
                <w:color w:val="000000"/>
                <w:sz w:val="20"/>
              </w:rPr>
            </w:pPr>
            <w:r w:rsidRPr="008B13A5">
              <w:rPr>
                <w:noProof/>
                <w:color w:val="000000"/>
                <w:sz w:val="20"/>
              </w:rPr>
              <w:t>1,520,530</w:t>
            </w:r>
          </w:p>
        </w:tc>
        <w:tc>
          <w:tcPr>
            <w:tcW w:w="2087" w:type="dxa"/>
            <w:tcBorders>
              <w:top w:val="nil"/>
              <w:left w:val="nil"/>
              <w:bottom w:val="single" w:sz="8" w:space="0" w:color="auto"/>
              <w:right w:val="single" w:sz="8" w:space="0" w:color="auto"/>
            </w:tcBorders>
            <w:vAlign w:val="center"/>
          </w:tcPr>
          <w:p w14:paraId="79525E9E" w14:textId="77777777" w:rsidR="00EC49AF" w:rsidRPr="008B13A5" w:rsidRDefault="00EC49AF">
            <w:pPr>
              <w:spacing w:after="0"/>
              <w:jc w:val="center"/>
              <w:rPr>
                <w:noProof/>
                <w:color w:val="000000"/>
                <w:sz w:val="20"/>
              </w:rPr>
            </w:pPr>
            <w:r w:rsidRPr="008B13A5">
              <w:rPr>
                <w:noProof/>
                <w:color w:val="000000"/>
                <w:sz w:val="20"/>
              </w:rPr>
              <w:t>1,565,248</w:t>
            </w:r>
          </w:p>
        </w:tc>
      </w:tr>
      <w:tr w:rsidR="00EC49AF" w:rsidRPr="008B13A5" w14:paraId="07186A55" w14:textId="77777777">
        <w:trPr>
          <w:trHeight w:val="302"/>
        </w:trPr>
        <w:tc>
          <w:tcPr>
            <w:tcW w:w="1266" w:type="dxa"/>
            <w:tcBorders>
              <w:top w:val="nil"/>
              <w:left w:val="single" w:sz="8" w:space="0" w:color="auto"/>
              <w:bottom w:val="single" w:sz="8" w:space="0" w:color="auto"/>
              <w:right w:val="single" w:sz="8" w:space="0" w:color="auto"/>
            </w:tcBorders>
            <w:vAlign w:val="center"/>
          </w:tcPr>
          <w:p w14:paraId="191770A6" w14:textId="77777777" w:rsidR="00EC49AF" w:rsidRPr="008B13A5" w:rsidRDefault="00EC49AF">
            <w:pPr>
              <w:spacing w:after="0"/>
              <w:jc w:val="center"/>
              <w:rPr>
                <w:b/>
                <w:bCs/>
                <w:noProof/>
                <w:color w:val="000000"/>
                <w:sz w:val="20"/>
              </w:rPr>
            </w:pPr>
            <w:r w:rsidRPr="008B13A5">
              <w:rPr>
                <w:b/>
                <w:bCs/>
                <w:noProof/>
                <w:color w:val="000000"/>
                <w:sz w:val="20"/>
              </w:rPr>
              <w:t>2034</w:t>
            </w:r>
          </w:p>
        </w:tc>
        <w:tc>
          <w:tcPr>
            <w:tcW w:w="2087" w:type="dxa"/>
            <w:tcBorders>
              <w:top w:val="nil"/>
              <w:left w:val="nil"/>
              <w:bottom w:val="single" w:sz="8" w:space="0" w:color="auto"/>
              <w:right w:val="single" w:sz="8" w:space="0" w:color="auto"/>
            </w:tcBorders>
            <w:vAlign w:val="center"/>
          </w:tcPr>
          <w:p w14:paraId="3349450E" w14:textId="77777777" w:rsidR="00EC49AF" w:rsidRPr="008B13A5" w:rsidRDefault="00EC49AF">
            <w:pPr>
              <w:spacing w:after="0"/>
              <w:jc w:val="center"/>
              <w:rPr>
                <w:noProof/>
                <w:color w:val="000000"/>
                <w:sz w:val="20"/>
              </w:rPr>
            </w:pPr>
            <w:r w:rsidRPr="008B13A5">
              <w:rPr>
                <w:noProof/>
                <w:color w:val="000000"/>
                <w:sz w:val="20"/>
              </w:rPr>
              <w:t>1,391,500</w:t>
            </w:r>
          </w:p>
        </w:tc>
        <w:tc>
          <w:tcPr>
            <w:tcW w:w="2087" w:type="dxa"/>
            <w:tcBorders>
              <w:top w:val="nil"/>
              <w:left w:val="nil"/>
              <w:bottom w:val="single" w:sz="8" w:space="0" w:color="auto"/>
              <w:right w:val="single" w:sz="8" w:space="0" w:color="auto"/>
            </w:tcBorders>
            <w:vAlign w:val="center"/>
          </w:tcPr>
          <w:p w14:paraId="1CEAFF22" w14:textId="77777777" w:rsidR="00EC49AF" w:rsidRPr="008B13A5" w:rsidRDefault="00EC49AF">
            <w:pPr>
              <w:spacing w:after="0"/>
              <w:jc w:val="center"/>
              <w:rPr>
                <w:noProof/>
                <w:color w:val="000000"/>
                <w:sz w:val="20"/>
              </w:rPr>
            </w:pPr>
            <w:r w:rsidRPr="008B13A5">
              <w:rPr>
                <w:noProof/>
                <w:color w:val="000000"/>
                <w:sz w:val="20"/>
              </w:rPr>
              <w:t>1,506,204</w:t>
            </w:r>
          </w:p>
        </w:tc>
        <w:tc>
          <w:tcPr>
            <w:tcW w:w="2087" w:type="dxa"/>
            <w:tcBorders>
              <w:top w:val="nil"/>
              <w:left w:val="nil"/>
              <w:bottom w:val="single" w:sz="8" w:space="0" w:color="auto"/>
              <w:right w:val="single" w:sz="8" w:space="0" w:color="auto"/>
            </w:tcBorders>
            <w:vAlign w:val="center"/>
          </w:tcPr>
          <w:p w14:paraId="7E4A750B" w14:textId="77777777" w:rsidR="00EC49AF" w:rsidRPr="008B13A5" w:rsidRDefault="00EC49AF">
            <w:pPr>
              <w:spacing w:after="0"/>
              <w:jc w:val="center"/>
              <w:rPr>
                <w:noProof/>
                <w:color w:val="000000"/>
                <w:sz w:val="20"/>
              </w:rPr>
            </w:pPr>
            <w:r w:rsidRPr="008B13A5">
              <w:rPr>
                <w:noProof/>
                <w:color w:val="000000"/>
                <w:sz w:val="20"/>
              </w:rPr>
              <w:t>1,566,146</w:t>
            </w:r>
          </w:p>
        </w:tc>
        <w:tc>
          <w:tcPr>
            <w:tcW w:w="2087" w:type="dxa"/>
            <w:tcBorders>
              <w:top w:val="nil"/>
              <w:left w:val="nil"/>
              <w:bottom w:val="single" w:sz="8" w:space="0" w:color="auto"/>
              <w:right w:val="single" w:sz="8" w:space="0" w:color="auto"/>
            </w:tcBorders>
            <w:vAlign w:val="center"/>
          </w:tcPr>
          <w:p w14:paraId="097921F5" w14:textId="77777777" w:rsidR="00EC49AF" w:rsidRPr="008B13A5" w:rsidRDefault="00EC49AF">
            <w:pPr>
              <w:spacing w:after="0"/>
              <w:jc w:val="center"/>
              <w:rPr>
                <w:noProof/>
                <w:color w:val="000000"/>
                <w:sz w:val="20"/>
              </w:rPr>
            </w:pPr>
            <w:r w:rsidRPr="008B13A5">
              <w:rPr>
                <w:noProof/>
                <w:color w:val="000000"/>
                <w:sz w:val="20"/>
              </w:rPr>
              <w:t>1,627,858</w:t>
            </w:r>
          </w:p>
        </w:tc>
      </w:tr>
      <w:tr w:rsidR="00EC49AF" w:rsidRPr="008B13A5" w14:paraId="3D449921" w14:textId="77777777">
        <w:trPr>
          <w:trHeight w:val="302"/>
        </w:trPr>
        <w:tc>
          <w:tcPr>
            <w:tcW w:w="1266" w:type="dxa"/>
            <w:tcBorders>
              <w:top w:val="nil"/>
              <w:left w:val="single" w:sz="8" w:space="0" w:color="auto"/>
              <w:bottom w:val="single" w:sz="8" w:space="0" w:color="auto"/>
              <w:right w:val="single" w:sz="8" w:space="0" w:color="auto"/>
            </w:tcBorders>
            <w:vAlign w:val="center"/>
          </w:tcPr>
          <w:p w14:paraId="4EB3E671" w14:textId="77777777" w:rsidR="00EC49AF" w:rsidRPr="008B13A5" w:rsidRDefault="00EC49AF">
            <w:pPr>
              <w:spacing w:after="0"/>
              <w:jc w:val="center"/>
              <w:rPr>
                <w:b/>
                <w:bCs/>
                <w:noProof/>
                <w:color w:val="000000"/>
                <w:sz w:val="20"/>
              </w:rPr>
            </w:pPr>
            <w:r w:rsidRPr="008B13A5">
              <w:rPr>
                <w:b/>
                <w:bCs/>
                <w:noProof/>
                <w:color w:val="000000"/>
                <w:sz w:val="20"/>
              </w:rPr>
              <w:t>2035</w:t>
            </w:r>
          </w:p>
        </w:tc>
        <w:tc>
          <w:tcPr>
            <w:tcW w:w="2087" w:type="dxa"/>
            <w:tcBorders>
              <w:top w:val="nil"/>
              <w:left w:val="nil"/>
              <w:bottom w:val="single" w:sz="8" w:space="0" w:color="auto"/>
              <w:right w:val="single" w:sz="8" w:space="0" w:color="auto"/>
            </w:tcBorders>
            <w:vAlign w:val="center"/>
          </w:tcPr>
          <w:p w14:paraId="669C534B" w14:textId="77777777" w:rsidR="00EC49AF" w:rsidRPr="008B13A5" w:rsidRDefault="00EC49AF">
            <w:pPr>
              <w:spacing w:after="0"/>
              <w:jc w:val="center"/>
              <w:rPr>
                <w:noProof/>
                <w:color w:val="000000"/>
                <w:sz w:val="20"/>
              </w:rPr>
            </w:pPr>
            <w:r w:rsidRPr="008B13A5">
              <w:rPr>
                <w:noProof/>
                <w:color w:val="000000"/>
                <w:sz w:val="20"/>
              </w:rPr>
              <w:t>1,391,500</w:t>
            </w:r>
          </w:p>
        </w:tc>
        <w:tc>
          <w:tcPr>
            <w:tcW w:w="2087" w:type="dxa"/>
            <w:tcBorders>
              <w:top w:val="nil"/>
              <w:left w:val="nil"/>
              <w:bottom w:val="single" w:sz="8" w:space="0" w:color="auto"/>
              <w:right w:val="single" w:sz="8" w:space="0" w:color="auto"/>
            </w:tcBorders>
            <w:vAlign w:val="center"/>
          </w:tcPr>
          <w:p w14:paraId="163440B6" w14:textId="77777777" w:rsidR="00EC49AF" w:rsidRPr="008B13A5" w:rsidRDefault="00EC49AF">
            <w:pPr>
              <w:spacing w:after="0"/>
              <w:jc w:val="center"/>
              <w:rPr>
                <w:noProof/>
                <w:color w:val="000000"/>
                <w:sz w:val="20"/>
              </w:rPr>
            </w:pPr>
            <w:r w:rsidRPr="008B13A5">
              <w:rPr>
                <w:noProof/>
                <w:color w:val="000000"/>
                <w:sz w:val="20"/>
              </w:rPr>
              <w:t>1,536,328</w:t>
            </w:r>
          </w:p>
        </w:tc>
        <w:tc>
          <w:tcPr>
            <w:tcW w:w="2087" w:type="dxa"/>
            <w:tcBorders>
              <w:top w:val="nil"/>
              <w:left w:val="nil"/>
              <w:bottom w:val="single" w:sz="8" w:space="0" w:color="auto"/>
              <w:right w:val="single" w:sz="8" w:space="0" w:color="auto"/>
            </w:tcBorders>
            <w:vAlign w:val="center"/>
          </w:tcPr>
          <w:p w14:paraId="6DA33F23" w14:textId="77777777" w:rsidR="00EC49AF" w:rsidRPr="008B13A5" w:rsidRDefault="00EC49AF">
            <w:pPr>
              <w:spacing w:after="0"/>
              <w:jc w:val="center"/>
              <w:rPr>
                <w:noProof/>
                <w:color w:val="000000"/>
                <w:sz w:val="20"/>
              </w:rPr>
            </w:pPr>
            <w:r w:rsidRPr="008B13A5">
              <w:rPr>
                <w:noProof/>
                <w:color w:val="000000"/>
                <w:sz w:val="20"/>
              </w:rPr>
              <w:t>1,613,130</w:t>
            </w:r>
          </w:p>
        </w:tc>
        <w:tc>
          <w:tcPr>
            <w:tcW w:w="2087" w:type="dxa"/>
            <w:tcBorders>
              <w:top w:val="nil"/>
              <w:left w:val="nil"/>
              <w:bottom w:val="single" w:sz="8" w:space="0" w:color="auto"/>
              <w:right w:val="single" w:sz="8" w:space="0" w:color="auto"/>
            </w:tcBorders>
            <w:vAlign w:val="center"/>
          </w:tcPr>
          <w:p w14:paraId="2ABA0452" w14:textId="77777777" w:rsidR="00EC49AF" w:rsidRPr="008B13A5" w:rsidRDefault="00EC49AF">
            <w:pPr>
              <w:spacing w:after="0"/>
              <w:jc w:val="center"/>
              <w:rPr>
                <w:noProof/>
                <w:color w:val="000000"/>
                <w:sz w:val="20"/>
              </w:rPr>
            </w:pPr>
            <w:r w:rsidRPr="008B13A5">
              <w:rPr>
                <w:noProof/>
                <w:color w:val="000000"/>
                <w:sz w:val="20"/>
              </w:rPr>
              <w:t>1,692,973</w:t>
            </w:r>
          </w:p>
        </w:tc>
      </w:tr>
    </w:tbl>
    <w:p w14:paraId="0BB34A94" w14:textId="65DB64D9" w:rsidR="00EC49AF" w:rsidRPr="008B13A5" w:rsidRDefault="00EC49AF" w:rsidP="00EC49AF">
      <w:pPr>
        <w:pStyle w:val="NormalWeb"/>
        <w:jc w:val="both"/>
        <w:rPr>
          <w:noProof/>
        </w:rPr>
      </w:pPr>
      <w:r w:rsidRPr="008B13A5">
        <w:rPr>
          <w:noProof/>
        </w:rPr>
        <w:t>The projection based on announced and committed projects indicates an installed manufacturing capacity of about 1.39 million wafers per month (300 mm equivalent) by 2030, representing an overall increase of approximately 30 % compared with 2023.</w:t>
      </w:r>
    </w:p>
    <w:p w14:paraId="7840BD18" w14:textId="3216C7B9" w:rsidR="00EC49AF" w:rsidRPr="008B13A5" w:rsidRDefault="00EC49AF" w:rsidP="00EC49AF">
      <w:pPr>
        <w:pStyle w:val="NormalWeb"/>
        <w:jc w:val="both"/>
        <w:rPr>
          <w:noProof/>
        </w:rPr>
      </w:pPr>
      <w:r w:rsidRPr="008B13A5">
        <w:rPr>
          <w:noProof/>
        </w:rPr>
        <w:t>When an organic growth factor of +2–4 % per year is applied from 2030 onwards to capture incremental brownfield expansions and future, as yet unannounced, projects, the model yields 2035 capacity range of roughly 1.54–1.69 million wafers per month. This corresponds to an additional 10–22 % increase beyond the level implied by the current investment pipeline.</w:t>
      </w:r>
    </w:p>
    <w:p w14:paraId="12BD915B" w14:textId="5BE63BF9" w:rsidR="00D7479C" w:rsidRPr="008B13A5" w:rsidRDefault="00EC49AF" w:rsidP="00EC49AF">
      <w:pPr>
        <w:pStyle w:val="NormalWeb"/>
        <w:jc w:val="both"/>
        <w:rPr>
          <w:b/>
          <w:bCs/>
          <w:noProof/>
          <w:u w:val="single"/>
        </w:rPr>
      </w:pPr>
      <w:r w:rsidRPr="008B13A5">
        <w:rPr>
          <w:b/>
          <w:bCs/>
          <w:noProof/>
          <w:u w:val="single"/>
        </w:rPr>
        <w:t xml:space="preserve">Hence, given all the above assumptions hold, under the business-as-usual (BAU) scenario, Europe’s installed semiconductor manufacturing capacity is expected to reach </w:t>
      </w:r>
      <w:r w:rsidR="00CC1CE3" w:rsidRPr="008B13A5">
        <w:rPr>
          <w:b/>
          <w:bCs/>
          <w:noProof/>
          <w:u w:val="single"/>
        </w:rPr>
        <w:t xml:space="preserve">at least </w:t>
      </w:r>
      <w:r w:rsidRPr="008B13A5">
        <w:rPr>
          <w:b/>
          <w:bCs/>
          <w:noProof/>
          <w:u w:val="single"/>
        </w:rPr>
        <w:t>1.39 million wafers per month by 2030, and between 1.54 and 1.69 million by 2035.</w:t>
      </w:r>
    </w:p>
    <w:p w14:paraId="1F86B385" w14:textId="71DE01D0" w:rsidR="00EC49AF" w:rsidRPr="008B13A5" w:rsidRDefault="00EC49AF" w:rsidP="00EC49AF">
      <w:pPr>
        <w:pStyle w:val="Heading2"/>
        <w:rPr>
          <w:noProof/>
        </w:rPr>
      </w:pPr>
      <w:bookmarkStart w:id="148" w:name="_Toc217394774"/>
      <w:bookmarkStart w:id="149" w:name="_Toc217395615"/>
      <w:bookmarkStart w:id="150" w:name="_Toc217396464"/>
      <w:bookmarkStart w:id="151" w:name="_Toc1996681318"/>
      <w:bookmarkStart w:id="152" w:name="_Toc223620625"/>
      <w:bookmarkStart w:id="153" w:name="_Toc230010411"/>
      <w:r w:rsidRPr="008B13A5">
        <w:rPr>
          <w:noProof/>
        </w:rPr>
        <w:t>EU positioning in the global value chain and EU value chain strength and resilience</w:t>
      </w:r>
      <w:bookmarkEnd w:id="148"/>
      <w:bookmarkEnd w:id="149"/>
      <w:bookmarkEnd w:id="150"/>
      <w:bookmarkEnd w:id="151"/>
      <w:bookmarkEnd w:id="152"/>
      <w:bookmarkEnd w:id="153"/>
    </w:p>
    <w:p w14:paraId="0DA1CB30" w14:textId="725C83B8" w:rsidR="00EC49AF" w:rsidRPr="008B13A5" w:rsidRDefault="00EC49AF" w:rsidP="00EC49AF">
      <w:pPr>
        <w:rPr>
          <w:noProof/>
          <w:szCs w:val="22"/>
        </w:rPr>
      </w:pPr>
      <w:r w:rsidRPr="008B13A5">
        <w:rPr>
          <w:noProof/>
          <w:szCs w:val="22"/>
        </w:rPr>
        <w:t>The integrated circuit (IC) or chip is, in broad terms, an amalgamation of transistors, which can serve as either an electronically controlled switch or as a signal amplifier to perform a given function. Since the invention of the IC in the 1950s, a central driver of the semiconductor industry is the continuous push to increase the number of transistors that can be integrated onto a single chip, either through the classical approach of transistor miniaturisation or more recently through innovative packaging techniques such as chiplet architectures or three-dimensional integration.</w:t>
      </w:r>
    </w:p>
    <w:p w14:paraId="12FCAA0F" w14:textId="171CD08C" w:rsidR="00EC49AF" w:rsidRPr="008B13A5" w:rsidRDefault="00EC49AF" w:rsidP="00EC49AF">
      <w:pPr>
        <w:rPr>
          <w:noProof/>
          <w:szCs w:val="22"/>
        </w:rPr>
      </w:pPr>
      <w:r w:rsidRPr="008B13A5">
        <w:rPr>
          <w:noProof/>
          <w:szCs w:val="22"/>
        </w:rPr>
        <w:t>This trend has been made possible by the division of the industry into highly specialised segments along the value chain, ranging from design and equipment manufacturing to fabrication, packaging and testing. No single region controls all stages and firms operate through complex, internationally dispersed networks that maximise expertise, efficiency and scale</w:t>
      </w:r>
      <w:r w:rsidRPr="008B13A5">
        <w:rPr>
          <w:noProof/>
        </w:rPr>
        <w:t xml:space="preserve"> </w:t>
      </w:r>
      <w:r w:rsidRPr="008B13A5">
        <w:rPr>
          <w:noProof/>
          <w:szCs w:val="22"/>
        </w:rPr>
        <w:t xml:space="preserve">within </w:t>
      </w:r>
      <w:r w:rsidR="00A67938" w:rsidRPr="008B13A5">
        <w:rPr>
          <w:noProof/>
          <w:szCs w:val="22"/>
        </w:rPr>
        <w:t xml:space="preserve">complementary but </w:t>
      </w:r>
      <w:r w:rsidR="00D60C0C" w:rsidRPr="008B13A5">
        <w:rPr>
          <w:noProof/>
          <w:szCs w:val="22"/>
        </w:rPr>
        <w:t xml:space="preserve">independent </w:t>
      </w:r>
      <w:r w:rsidRPr="008B13A5">
        <w:rPr>
          <w:noProof/>
          <w:szCs w:val="22"/>
        </w:rPr>
        <w:t>production stage</w:t>
      </w:r>
      <w:r w:rsidR="00A67938" w:rsidRPr="008B13A5">
        <w:rPr>
          <w:noProof/>
          <w:szCs w:val="22"/>
        </w:rPr>
        <w:t>s</w:t>
      </w:r>
      <w:r w:rsidRPr="008B13A5">
        <w:rPr>
          <w:noProof/>
        </w:rPr>
        <w:t xml:space="preserve">. </w:t>
      </w:r>
      <w:r w:rsidRPr="008B13A5">
        <w:rPr>
          <w:noProof/>
          <w:szCs w:val="22"/>
        </w:rPr>
        <w:t xml:space="preserve">In fact, the semiconductor industry is a direct result of globalisation, with a chip travelling over 50,000 km and </w:t>
      </w:r>
      <w:r w:rsidRPr="00BD008E">
        <w:rPr>
          <w:noProof/>
          <w:szCs w:val="22"/>
        </w:rPr>
        <w:t>crossing</w:t>
      </w:r>
      <w:r w:rsidRPr="008B13A5">
        <w:rPr>
          <w:noProof/>
          <w:szCs w:val="22"/>
        </w:rPr>
        <w:t xml:space="preserve"> international borders over 70 times before reaching the end-customer</w:t>
      </w:r>
      <w:r w:rsidR="00F274DD" w:rsidRPr="008B13A5">
        <w:rPr>
          <w:noProof/>
          <w:szCs w:val="22"/>
        </w:rPr>
        <w:t xml:space="preserve"> </w:t>
      </w:r>
      <w:r w:rsidRPr="008B13A5">
        <w:rPr>
          <w:noProof/>
          <w:szCs w:val="22"/>
        </w:rPr>
        <w:t>(</w:t>
      </w:r>
      <w:r w:rsidRPr="008B13A5">
        <w:rPr>
          <w:noProof/>
          <w:szCs w:val="22"/>
          <w:vertAlign w:val="superscript"/>
        </w:rPr>
        <w:footnoteReference w:id="28"/>
      </w:r>
      <w:r w:rsidRPr="008B13A5">
        <w:rPr>
          <w:noProof/>
          <w:szCs w:val="22"/>
        </w:rPr>
        <w:t>).</w:t>
      </w:r>
      <w:r w:rsidRPr="008B13A5">
        <w:rPr>
          <w:noProof/>
          <w:szCs w:val="22"/>
          <w:vertAlign w:val="superscript"/>
        </w:rPr>
        <w:t xml:space="preserve"> </w:t>
      </w:r>
      <w:r w:rsidRPr="008B13A5">
        <w:rPr>
          <w:noProof/>
          <w:szCs w:val="22"/>
        </w:rPr>
        <w:t xml:space="preserve">While globalisation and interdependence have enabled rapid innovation, they have also created structural vulnerabilities, as disruptions in any segment or geography can ripple across the entire ecosystem. </w:t>
      </w:r>
    </w:p>
    <w:p w14:paraId="0214CF14" w14:textId="46E887E8" w:rsidR="00EC49AF" w:rsidRPr="008B13A5" w:rsidRDefault="00EC49AF" w:rsidP="00EC49AF">
      <w:pPr>
        <w:rPr>
          <w:noProof/>
          <w:szCs w:val="22"/>
        </w:rPr>
      </w:pPr>
      <w:r w:rsidRPr="008B13A5">
        <w:rPr>
          <w:noProof/>
          <w:szCs w:val="22"/>
        </w:rPr>
        <w:t>Figure 14 shows the many stages of semiconductor production, that go from manufacturing equipment, Intellectual Property (IP) to Electronic Design Automation (EDA) tools to raw materials to the design and manufacturing of semiconductors including final assembly, test and packaging.</w:t>
      </w:r>
    </w:p>
    <w:p w14:paraId="7358ECA2" w14:textId="656EB2BE" w:rsidR="00EC49AF" w:rsidRPr="008B13A5" w:rsidRDefault="00EC49AF" w:rsidP="00EC49AF">
      <w:pPr>
        <w:rPr>
          <w:rFonts w:eastAsia="MS Mincho"/>
          <w:noProof/>
          <w:szCs w:val="22"/>
          <w:lang w:eastAsia="ja-JP"/>
        </w:rPr>
      </w:pPr>
      <w:r w:rsidRPr="008B13A5">
        <w:rPr>
          <w:rFonts w:eastAsia="MS Mincho"/>
          <w:noProof/>
          <w:szCs w:val="22"/>
          <w:lang w:eastAsia="ja-JP"/>
        </w:rPr>
        <w:t xml:space="preserve">The EU’s position in the semiconductor value chain is strongest in upstream segments, particularly </w:t>
      </w:r>
      <w:r w:rsidRPr="00BD008E">
        <w:rPr>
          <w:rFonts w:eastAsia="MS Mincho"/>
          <w:noProof/>
          <w:szCs w:val="22"/>
          <w:lang w:eastAsia="ja-JP"/>
        </w:rPr>
        <w:t xml:space="preserve">in </w:t>
      </w:r>
      <w:r w:rsidRPr="008B13A5">
        <w:rPr>
          <w:rFonts w:eastAsia="MS Mincho"/>
          <w:noProof/>
          <w:szCs w:val="22"/>
          <w:lang w:eastAsia="ja-JP"/>
        </w:rPr>
        <w:t xml:space="preserve">manufacturing </w:t>
      </w:r>
      <w:r w:rsidRPr="008B13A5">
        <w:rPr>
          <w:rFonts w:eastAsia="MS Mincho"/>
          <w:b/>
          <w:noProof/>
          <w:szCs w:val="22"/>
          <w:lang w:eastAsia="ja-JP"/>
        </w:rPr>
        <w:t>equipment</w:t>
      </w:r>
      <w:r w:rsidRPr="008B13A5">
        <w:rPr>
          <w:rFonts w:eastAsia="MS Mincho"/>
          <w:noProof/>
          <w:szCs w:val="22"/>
          <w:lang w:eastAsia="ja-JP"/>
        </w:rPr>
        <w:t xml:space="preserve"> and advanced </w:t>
      </w:r>
      <w:r w:rsidRPr="008B13A5">
        <w:rPr>
          <w:rFonts w:eastAsia="MS Mincho"/>
          <w:b/>
          <w:noProof/>
          <w:szCs w:val="22"/>
          <w:lang w:eastAsia="ja-JP"/>
        </w:rPr>
        <w:t>materials</w:t>
      </w:r>
      <w:r w:rsidRPr="008B13A5">
        <w:rPr>
          <w:rFonts w:eastAsia="MS Mincho"/>
          <w:noProof/>
          <w:szCs w:val="22"/>
          <w:lang w:eastAsia="ja-JP"/>
        </w:rPr>
        <w:t>. In lithography, ASML and its key suppliers</w:t>
      </w:r>
      <w:r w:rsidRPr="00BD008E">
        <w:rPr>
          <w:rFonts w:eastAsia="MS Mincho"/>
          <w:noProof/>
          <w:szCs w:val="22"/>
          <w:lang w:eastAsia="ja-JP"/>
        </w:rPr>
        <w:t xml:space="preserve">, including </w:t>
      </w:r>
      <w:r w:rsidRPr="008B13A5">
        <w:rPr>
          <w:rFonts w:eastAsia="MS Mincho"/>
          <w:noProof/>
          <w:szCs w:val="22"/>
          <w:lang w:eastAsia="ja-JP"/>
        </w:rPr>
        <w:t>Zeiss and Trumpf</w:t>
      </w:r>
      <w:r w:rsidRPr="00BD008E">
        <w:rPr>
          <w:rFonts w:eastAsia="MS Mincho"/>
          <w:noProof/>
          <w:szCs w:val="22"/>
          <w:lang w:eastAsia="ja-JP"/>
        </w:rPr>
        <w:t>,</w:t>
      </w:r>
      <w:r w:rsidRPr="008B13A5">
        <w:rPr>
          <w:rFonts w:eastAsia="MS Mincho"/>
          <w:noProof/>
          <w:szCs w:val="22"/>
          <w:lang w:eastAsia="ja-JP"/>
        </w:rPr>
        <w:t xml:space="preserve"> form a globally indispensable cluster. The</w:t>
      </w:r>
      <w:r w:rsidRPr="008B13A5" w:rsidDel="008A3DDC">
        <w:rPr>
          <w:rFonts w:eastAsia="MS Mincho"/>
          <w:noProof/>
          <w:szCs w:val="22"/>
          <w:lang w:eastAsia="ja-JP"/>
        </w:rPr>
        <w:t xml:space="preserve"> </w:t>
      </w:r>
      <w:r w:rsidR="008A3DDC" w:rsidRPr="008B13A5">
        <w:rPr>
          <w:rFonts w:eastAsia="MS Mincho"/>
          <w:noProof/>
          <w:szCs w:val="22"/>
          <w:lang w:eastAsia="ja-JP"/>
        </w:rPr>
        <w:t xml:space="preserve">Union </w:t>
      </w:r>
      <w:r w:rsidRPr="008B13A5">
        <w:rPr>
          <w:rFonts w:eastAsia="MS Mincho"/>
          <w:noProof/>
          <w:szCs w:val="22"/>
          <w:lang w:eastAsia="ja-JP"/>
        </w:rPr>
        <w:t xml:space="preserve">also hosts major players in back-end equipment such as Besi, EV Group, and SÜSS MicroTec, and is home to leading producers of specialty chemicals including BASF, Merck, and Solvay, alongside substrate manufacturers such as Siltronic and Soitec. The EU’s </w:t>
      </w:r>
      <w:r w:rsidRPr="008B13A5">
        <w:rPr>
          <w:rFonts w:eastAsia="MS Mincho"/>
          <w:b/>
          <w:noProof/>
          <w:szCs w:val="22"/>
          <w:lang w:eastAsia="ja-JP"/>
        </w:rPr>
        <w:t>research</w:t>
      </w:r>
      <w:r w:rsidRPr="008B13A5">
        <w:rPr>
          <w:rFonts w:eastAsia="MS Mincho"/>
          <w:noProof/>
          <w:szCs w:val="22"/>
          <w:lang w:eastAsia="ja-JP"/>
        </w:rPr>
        <w:t xml:space="preserve"> landscape further reinforces these strength</w:t>
      </w:r>
      <w:r w:rsidR="008A3DDC" w:rsidRPr="008B13A5">
        <w:rPr>
          <w:rFonts w:eastAsia="MS Mincho"/>
          <w:noProof/>
          <w:szCs w:val="22"/>
          <w:lang w:eastAsia="ja-JP"/>
        </w:rPr>
        <w:t xml:space="preserve">s with </w:t>
      </w:r>
      <w:r w:rsidRPr="008B13A5">
        <w:rPr>
          <w:rFonts w:eastAsia="MS Mincho"/>
          <w:noProof/>
          <w:szCs w:val="22"/>
          <w:lang w:eastAsia="ja-JP"/>
        </w:rPr>
        <w:t xml:space="preserve">institutions </w:t>
      </w:r>
      <w:r w:rsidR="008A3DDC" w:rsidRPr="008B13A5">
        <w:rPr>
          <w:rFonts w:eastAsia="MS Mincho"/>
          <w:noProof/>
          <w:szCs w:val="22"/>
          <w:lang w:eastAsia="ja-JP"/>
        </w:rPr>
        <w:t xml:space="preserve">such as </w:t>
      </w:r>
      <w:r w:rsidRPr="008B13A5">
        <w:rPr>
          <w:rFonts w:eastAsia="MS Mincho"/>
          <w:noProof/>
          <w:szCs w:val="22"/>
          <w:lang w:eastAsia="ja-JP"/>
        </w:rPr>
        <w:t>IMEC, CEA-Leti, Fraunhofer, VTT, Tyndall, and SAL contribut</w:t>
      </w:r>
      <w:r w:rsidR="008A3DDC" w:rsidRPr="008B13A5">
        <w:rPr>
          <w:rFonts w:eastAsia="MS Mincho"/>
          <w:noProof/>
          <w:szCs w:val="22"/>
          <w:lang w:eastAsia="ja-JP"/>
        </w:rPr>
        <w:t>ing to</w:t>
      </w:r>
      <w:r w:rsidRPr="008B13A5">
        <w:rPr>
          <w:rFonts w:eastAsia="MS Mincho"/>
          <w:noProof/>
          <w:szCs w:val="22"/>
          <w:lang w:eastAsia="ja-JP"/>
        </w:rPr>
        <w:t xml:space="preserve"> advanced expertise across multiple semiconductor technology domains.</w:t>
      </w:r>
    </w:p>
    <w:p w14:paraId="357AEFCD" w14:textId="312E3553" w:rsidR="00EC49AF" w:rsidRPr="008B13A5" w:rsidRDefault="00EC49AF" w:rsidP="00EC49AF">
      <w:pPr>
        <w:pStyle w:val="Caption"/>
        <w:rPr>
          <w:i w:val="0"/>
          <w:iCs/>
          <w:noProof/>
        </w:rPr>
      </w:pPr>
      <w:r w:rsidRPr="008B13A5">
        <w:rPr>
          <w:i w:val="0"/>
          <w:iCs/>
          <w:noProof/>
        </w:rPr>
        <w:t xml:space="preserve">Figure </w:t>
      </w:r>
      <w:r w:rsidRPr="008B13A5">
        <w:rPr>
          <w:i w:val="0"/>
          <w:iCs/>
          <w:noProof/>
        </w:rPr>
        <w:fldChar w:fldCharType="begin"/>
      </w:r>
      <w:r w:rsidRPr="008B13A5">
        <w:rPr>
          <w:i w:val="0"/>
          <w:iCs/>
          <w:noProof/>
        </w:rPr>
        <w:instrText xml:space="preserve"> SEQ Figure \* ARABIC </w:instrText>
      </w:r>
      <w:r w:rsidRPr="008B13A5">
        <w:rPr>
          <w:i w:val="0"/>
          <w:iCs/>
          <w:noProof/>
        </w:rPr>
        <w:fldChar w:fldCharType="separate"/>
      </w:r>
      <w:r w:rsidRPr="008B13A5">
        <w:rPr>
          <w:i w:val="0"/>
          <w:iCs/>
          <w:noProof/>
        </w:rPr>
        <w:t>14</w:t>
      </w:r>
      <w:r w:rsidRPr="008B13A5">
        <w:rPr>
          <w:i w:val="0"/>
          <w:iCs/>
          <w:noProof/>
        </w:rPr>
        <w:fldChar w:fldCharType="end"/>
      </w:r>
      <w:r w:rsidRPr="008B13A5">
        <w:rPr>
          <w:i w:val="0"/>
          <w:iCs/>
          <w:noProof/>
        </w:rPr>
        <w:t xml:space="preserve"> - Semiconductor supply chain and leader companies by segment</w:t>
      </w:r>
      <w:r w:rsidR="00F274DD" w:rsidRPr="008B13A5">
        <w:rPr>
          <w:i w:val="0"/>
          <w:iCs/>
          <w:noProof/>
        </w:rPr>
        <w:t xml:space="preserve"> </w:t>
      </w:r>
      <w:r w:rsidRPr="008B13A5">
        <w:rPr>
          <w:i w:val="0"/>
          <w:iCs/>
          <w:noProof/>
        </w:rPr>
        <w:t>(</w:t>
      </w:r>
      <w:r w:rsidRPr="008B13A5">
        <w:rPr>
          <w:rStyle w:val="FootnoteReference"/>
          <w:i w:val="0"/>
          <w:iCs/>
          <w:noProof/>
          <w:szCs w:val="22"/>
        </w:rPr>
        <w:footnoteReference w:id="29"/>
      </w:r>
      <w:r w:rsidRPr="008B13A5">
        <w:rPr>
          <w:i w:val="0"/>
          <w:iCs/>
          <w:noProof/>
        </w:rPr>
        <w:t>)</w:t>
      </w:r>
    </w:p>
    <w:p w14:paraId="484E5A12" w14:textId="77777777" w:rsidR="00EC49AF" w:rsidRPr="008B13A5" w:rsidRDefault="00EC49AF" w:rsidP="00EC49AF">
      <w:pPr>
        <w:rPr>
          <w:rFonts w:eastAsia="MS Mincho"/>
          <w:noProof/>
          <w:szCs w:val="22"/>
          <w:lang w:eastAsia="ja-JP"/>
        </w:rPr>
      </w:pPr>
    </w:p>
    <w:p w14:paraId="00E25323" w14:textId="6D4C63AC" w:rsidR="00EC49AF" w:rsidRPr="008B13A5" w:rsidRDefault="00EC49AF" w:rsidP="00EC49AF">
      <w:pPr>
        <w:keepNext/>
        <w:jc w:val="center"/>
        <w:rPr>
          <w:noProof/>
        </w:rPr>
      </w:pPr>
      <w:r w:rsidRPr="008B13A5">
        <w:rPr>
          <w:noProof/>
          <w:lang w:eastAsia="en-GB"/>
        </w:rPr>
        <w:drawing>
          <wp:inline distT="0" distB="0" distL="0" distR="0" wp14:anchorId="6CA67845" wp14:editId="548AD64E">
            <wp:extent cx="4953635" cy="2576195"/>
            <wp:effectExtent l="0" t="0" r="0" b="0"/>
            <wp:docPr id="463639593" name="Picture 19"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1" descr="A diagram of a company&#10;&#10;AI-generated content may be incorrec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953635" cy="2576195"/>
                    </a:xfrm>
                    <a:prstGeom prst="rect">
                      <a:avLst/>
                    </a:prstGeom>
                    <a:noFill/>
                    <a:ln>
                      <a:noFill/>
                    </a:ln>
                  </pic:spPr>
                </pic:pic>
              </a:graphicData>
            </a:graphic>
          </wp:inline>
        </w:drawing>
      </w:r>
    </w:p>
    <w:p w14:paraId="059C1D17" w14:textId="4BE08035" w:rsidR="00EC49AF" w:rsidRPr="008B13A5" w:rsidRDefault="00EC49AF" w:rsidP="00EC49AF">
      <w:pPr>
        <w:rPr>
          <w:rFonts w:eastAsia="MS Mincho"/>
          <w:noProof/>
          <w:szCs w:val="22"/>
          <w:lang w:eastAsia="ja-JP"/>
        </w:rPr>
      </w:pPr>
      <w:r w:rsidRPr="008B13A5">
        <w:rPr>
          <w:rFonts w:eastAsia="MS Mincho"/>
          <w:noProof/>
          <w:szCs w:val="22"/>
          <w:lang w:eastAsia="ja-JP"/>
        </w:rPr>
        <w:t xml:space="preserve">The EU also maintains a solid base of </w:t>
      </w:r>
      <w:r w:rsidRPr="008B13A5">
        <w:rPr>
          <w:rFonts w:eastAsia="MS Mincho"/>
          <w:b/>
          <w:bCs/>
          <w:noProof/>
          <w:szCs w:val="22"/>
          <w:lang w:eastAsia="ja-JP"/>
        </w:rPr>
        <w:t>integrated device manufacturers</w:t>
      </w:r>
      <w:r w:rsidRPr="008B13A5">
        <w:rPr>
          <w:rFonts w:eastAsia="MS Mincho"/>
          <w:noProof/>
          <w:szCs w:val="22"/>
          <w:lang w:eastAsia="ja-JP"/>
        </w:rPr>
        <w:t xml:space="preserve"> (IDMs) that design and fabricate their own chips. Key firms include STMicroelectronics, Infineon, and NXP, followed by Bosch, ams-Osram, and Elmos. Although the EU accounted for around 8% of global wafer-fabrication capacity in 2023, its production is concentrated in relatively </w:t>
      </w:r>
      <w:r w:rsidRPr="008B13A5">
        <w:rPr>
          <w:rFonts w:eastAsia="MS Mincho"/>
          <w:b/>
          <w:bCs/>
          <w:noProof/>
          <w:szCs w:val="22"/>
          <w:lang w:eastAsia="ja-JP"/>
        </w:rPr>
        <w:t>mature nodes</w:t>
      </w:r>
      <w:r w:rsidRPr="008B13A5">
        <w:rPr>
          <w:rFonts w:eastAsia="MS Mincho"/>
          <w:noProof/>
          <w:szCs w:val="22"/>
          <w:lang w:eastAsia="ja-JP"/>
        </w:rPr>
        <w:t xml:space="preserve"> for power electronics, microcontrollers, sensors, and other application-specific chips serving sectors such as automotive, industrial automation, and consumer appliances rather than in </w:t>
      </w:r>
      <w:r w:rsidRPr="008B13A5">
        <w:rPr>
          <w:rFonts w:eastAsia="MS Mincho"/>
          <w:b/>
          <w:bCs/>
          <w:noProof/>
          <w:szCs w:val="22"/>
          <w:lang w:eastAsia="ja-JP"/>
        </w:rPr>
        <w:t>leading-edge nodes</w:t>
      </w:r>
      <w:r w:rsidRPr="008B13A5">
        <w:rPr>
          <w:rFonts w:eastAsia="MS Mincho"/>
          <w:noProof/>
          <w:szCs w:val="22"/>
          <w:lang w:eastAsia="ja-JP"/>
        </w:rPr>
        <w:t>.</w:t>
      </w:r>
      <w:r w:rsidRPr="008B13A5">
        <w:rPr>
          <w:rFonts w:eastAsia="MS Mincho"/>
          <w:noProof/>
          <w:kern w:val="2"/>
          <w:szCs w:val="22"/>
          <w:lang w:eastAsia="ja-JP"/>
        </w:rPr>
        <w:t xml:space="preserve"> </w:t>
      </w:r>
      <w:r w:rsidRPr="00BD008E">
        <w:rPr>
          <w:rFonts w:eastAsia="MS Mincho"/>
          <w:noProof/>
          <w:kern w:val="2"/>
          <w:szCs w:val="22"/>
          <w:lang w:eastAsia="ja-JP"/>
        </w:rPr>
        <w:t>The latter can be found in applications</w:t>
      </w:r>
      <w:r w:rsidRPr="00BD008E" w:rsidDel="00413EF6">
        <w:rPr>
          <w:rFonts w:eastAsia="MS Mincho"/>
          <w:noProof/>
          <w:kern w:val="2"/>
          <w:szCs w:val="22"/>
          <w:lang w:eastAsia="ja-JP"/>
        </w:rPr>
        <w:t xml:space="preserve"> </w:t>
      </w:r>
      <w:r w:rsidR="00413EF6" w:rsidRPr="00BD008E">
        <w:rPr>
          <w:rFonts w:eastAsia="MS Mincho"/>
          <w:noProof/>
          <w:kern w:val="2"/>
          <w:szCs w:val="22"/>
          <w:lang w:eastAsia="ja-JP"/>
        </w:rPr>
        <w:t xml:space="preserve">such as </w:t>
      </w:r>
      <w:r w:rsidRPr="00BD008E">
        <w:rPr>
          <w:rFonts w:eastAsia="MS Mincho"/>
          <w:noProof/>
          <w:kern w:val="2"/>
          <w:szCs w:val="22"/>
          <w:lang w:eastAsia="ja-JP"/>
        </w:rPr>
        <w:t xml:space="preserve">smartphones, high-performance computing, AI applications, 5G/6G infrastructure, or </w:t>
      </w:r>
      <w:r w:rsidRPr="00BD008E" w:rsidDel="0032268C">
        <w:rPr>
          <w:rFonts w:eastAsia="MS Mincho"/>
          <w:noProof/>
          <w:szCs w:val="22"/>
          <w:lang w:eastAsia="ja-JP"/>
        </w:rPr>
        <w:t>data centres</w:t>
      </w:r>
      <w:r w:rsidRPr="00BD008E">
        <w:rPr>
          <w:rFonts w:eastAsia="MS Mincho"/>
          <w:noProof/>
          <w:kern w:val="2"/>
          <w:szCs w:val="22"/>
          <w:lang w:eastAsia="ja-JP"/>
        </w:rPr>
        <w:t>. These advanced chips are almost all manufactured in Taiwan</w:t>
      </w:r>
      <w:r w:rsidRPr="00BD008E">
        <w:rPr>
          <w:rFonts w:eastAsia="MS Mincho"/>
          <w:noProof/>
          <w:szCs w:val="22"/>
          <w:lang w:eastAsia="ja-JP"/>
        </w:rPr>
        <w:t xml:space="preserve"> (for logic chips)</w:t>
      </w:r>
      <w:r w:rsidRPr="00BD008E">
        <w:rPr>
          <w:rFonts w:eastAsia="MS Mincho"/>
          <w:noProof/>
          <w:kern w:val="2"/>
          <w:szCs w:val="22"/>
          <w:lang w:eastAsia="ja-JP"/>
        </w:rPr>
        <w:t xml:space="preserve"> and Korea (memory</w:t>
      </w:r>
      <w:r w:rsidRPr="00BD008E">
        <w:rPr>
          <w:rFonts w:eastAsia="MS Mincho"/>
          <w:noProof/>
          <w:szCs w:val="22"/>
          <w:lang w:eastAsia="ja-JP"/>
        </w:rPr>
        <w:t xml:space="preserve"> chips</w:t>
      </w:r>
      <w:r w:rsidRPr="00BD008E">
        <w:rPr>
          <w:rFonts w:eastAsia="MS Mincho"/>
          <w:noProof/>
          <w:kern w:val="2"/>
          <w:szCs w:val="22"/>
          <w:lang w:eastAsia="ja-JP"/>
        </w:rPr>
        <w:t>)</w:t>
      </w:r>
      <w:r w:rsidR="00F274DD" w:rsidRPr="00BD008E">
        <w:rPr>
          <w:rFonts w:eastAsia="MS Mincho"/>
          <w:noProof/>
          <w:kern w:val="2"/>
          <w:szCs w:val="22"/>
          <w:lang w:eastAsia="ja-JP"/>
        </w:rPr>
        <w:t xml:space="preserve"> </w:t>
      </w:r>
      <w:r w:rsidRPr="00BD008E">
        <w:rPr>
          <w:rFonts w:eastAsia="MS Mincho"/>
          <w:noProof/>
          <w:kern w:val="2"/>
          <w:szCs w:val="22"/>
          <w:lang w:eastAsia="ja-JP"/>
        </w:rPr>
        <w:t>(</w:t>
      </w:r>
      <w:r w:rsidRPr="00BD008E">
        <w:rPr>
          <w:rFonts w:eastAsia="MS Mincho"/>
          <w:noProof/>
          <w:kern w:val="2"/>
          <w:szCs w:val="22"/>
          <w:vertAlign w:val="superscript"/>
          <w:lang w:eastAsia="ja-JP"/>
        </w:rPr>
        <w:footnoteReference w:id="30"/>
      </w:r>
      <w:r w:rsidRPr="00BD008E">
        <w:rPr>
          <w:rFonts w:eastAsia="MS Mincho"/>
          <w:noProof/>
          <w:kern w:val="2"/>
          <w:szCs w:val="22"/>
          <w:lang w:eastAsia="ja-JP"/>
        </w:rPr>
        <w:t>). Since 2025, the US has secured its own leading-edge production capacity</w:t>
      </w:r>
      <w:r w:rsidR="00F274DD" w:rsidRPr="00BD008E">
        <w:rPr>
          <w:rFonts w:eastAsia="MS Mincho"/>
          <w:noProof/>
          <w:kern w:val="2"/>
          <w:szCs w:val="22"/>
          <w:lang w:eastAsia="ja-JP"/>
        </w:rPr>
        <w:t xml:space="preserve"> </w:t>
      </w:r>
      <w:r w:rsidRPr="00BD008E">
        <w:rPr>
          <w:rFonts w:eastAsia="MS Mincho"/>
          <w:noProof/>
          <w:kern w:val="2"/>
          <w:szCs w:val="22"/>
          <w:lang w:eastAsia="ja-JP"/>
        </w:rPr>
        <w:t>(</w:t>
      </w:r>
      <w:r w:rsidRPr="00BD008E">
        <w:rPr>
          <w:rFonts w:eastAsia="MS Mincho"/>
          <w:noProof/>
          <w:kern w:val="2"/>
          <w:szCs w:val="22"/>
          <w:vertAlign w:val="superscript"/>
          <w:lang w:eastAsia="ja-JP"/>
        </w:rPr>
        <w:footnoteReference w:id="31"/>
      </w:r>
      <w:r w:rsidRPr="00BD008E">
        <w:rPr>
          <w:rFonts w:eastAsia="MS Mincho"/>
          <w:noProof/>
          <w:kern w:val="2"/>
          <w:szCs w:val="22"/>
          <w:lang w:eastAsia="ja-JP"/>
        </w:rPr>
        <w:t>), with Japan expected to follow soon</w:t>
      </w:r>
      <w:r w:rsidR="00F274DD" w:rsidRPr="00BD008E">
        <w:rPr>
          <w:rFonts w:eastAsia="MS Mincho"/>
          <w:noProof/>
          <w:kern w:val="2"/>
          <w:szCs w:val="22"/>
          <w:lang w:eastAsia="ja-JP"/>
        </w:rPr>
        <w:t xml:space="preserve"> </w:t>
      </w:r>
      <w:r w:rsidRPr="00BD008E">
        <w:rPr>
          <w:rFonts w:eastAsia="MS Mincho"/>
          <w:noProof/>
          <w:kern w:val="2"/>
          <w:szCs w:val="22"/>
          <w:lang w:eastAsia="ja-JP"/>
        </w:rPr>
        <w:t>(</w:t>
      </w:r>
      <w:r w:rsidRPr="00BD008E">
        <w:rPr>
          <w:rFonts w:eastAsia="MS Mincho"/>
          <w:noProof/>
          <w:kern w:val="2"/>
          <w:szCs w:val="22"/>
          <w:vertAlign w:val="superscript"/>
          <w:lang w:eastAsia="ja-JP"/>
        </w:rPr>
        <w:footnoteReference w:id="32"/>
      </w:r>
      <w:r w:rsidRPr="00BD008E">
        <w:rPr>
          <w:rFonts w:eastAsia="MS Mincho"/>
          <w:noProof/>
          <w:kern w:val="2"/>
          <w:szCs w:val="22"/>
          <w:lang w:eastAsia="ja-JP"/>
        </w:rPr>
        <w:t xml:space="preserve">). </w:t>
      </w:r>
      <w:r w:rsidRPr="008B13A5">
        <w:rPr>
          <w:rFonts w:eastAsia="MS Mincho"/>
          <w:noProof/>
          <w:kern w:val="2"/>
          <w:szCs w:val="22"/>
          <w:lang w:eastAsia="ja-JP"/>
        </w:rPr>
        <w:t xml:space="preserve"> This is primarily because leading-edge chips are concentrated in applications such as smartphones, high-performance computing, and data centres, sectors in which the EU has a relatively limited industrial footprint. Currently, </w:t>
      </w:r>
      <w:r w:rsidRPr="008B13A5">
        <w:rPr>
          <w:rFonts w:eastAsia="MS Mincho"/>
          <w:b/>
          <w:bCs/>
          <w:noProof/>
          <w:kern w:val="2"/>
          <w:szCs w:val="22"/>
          <w:lang w:eastAsia="ja-JP"/>
        </w:rPr>
        <w:t>foundries</w:t>
      </w:r>
      <w:r w:rsidRPr="008B13A5">
        <w:rPr>
          <w:rFonts w:eastAsia="MS Mincho"/>
          <w:noProof/>
          <w:kern w:val="2"/>
          <w:szCs w:val="22"/>
          <w:lang w:eastAsia="ja-JP"/>
        </w:rPr>
        <w:t xml:space="preserve"> fabricating at the leading edge are largely based in Taiwan and South Korea, with the US ramping up its capacity. The </w:t>
      </w:r>
      <w:r w:rsidRPr="008B13A5" w:rsidDel="47E5D61B">
        <w:rPr>
          <w:rFonts w:eastAsia="MS Mincho"/>
          <w:noProof/>
          <w:szCs w:val="22"/>
          <w:lang w:eastAsia="ja-JP"/>
        </w:rPr>
        <w:t xml:space="preserve">EU </w:t>
      </w:r>
      <w:r w:rsidRPr="008B13A5">
        <w:rPr>
          <w:rFonts w:eastAsia="MS Mincho"/>
          <w:noProof/>
          <w:szCs w:val="22"/>
          <w:lang w:eastAsia="ja-JP"/>
        </w:rPr>
        <w:t>has</w:t>
      </w:r>
      <w:r w:rsidRPr="008B13A5">
        <w:rPr>
          <w:rFonts w:eastAsia="MS Mincho"/>
          <w:noProof/>
          <w:kern w:val="2"/>
          <w:szCs w:val="22"/>
          <w:lang w:eastAsia="ja-JP"/>
        </w:rPr>
        <w:t xml:space="preserve"> limited</w:t>
      </w:r>
      <w:r w:rsidRPr="008B13A5" w:rsidDel="00983256">
        <w:rPr>
          <w:rFonts w:eastAsia="MS Mincho"/>
          <w:noProof/>
          <w:kern w:val="2"/>
          <w:szCs w:val="22"/>
          <w:lang w:eastAsia="ja-JP"/>
        </w:rPr>
        <w:t xml:space="preserve"> </w:t>
      </w:r>
      <w:r w:rsidR="00F149F2" w:rsidRPr="008B13A5">
        <w:rPr>
          <w:rFonts w:eastAsia="MS Mincho"/>
          <w:noProof/>
          <w:kern w:val="2"/>
          <w:szCs w:val="22"/>
          <w:lang w:eastAsia="ja-JP"/>
        </w:rPr>
        <w:t xml:space="preserve">leading-edge capacity </w:t>
      </w:r>
      <w:r w:rsidRPr="008B13A5">
        <w:rPr>
          <w:rFonts w:eastAsia="MS Mincho"/>
          <w:noProof/>
          <w:kern w:val="2"/>
          <w:szCs w:val="22"/>
          <w:lang w:eastAsia="ja-JP"/>
        </w:rPr>
        <w:t>with Intel in Leixlip, Ireland</w:t>
      </w:r>
      <w:r w:rsidR="00F149F2" w:rsidRPr="008B13A5">
        <w:rPr>
          <w:rFonts w:eastAsia="MS Mincho"/>
          <w:noProof/>
          <w:kern w:val="2"/>
          <w:szCs w:val="22"/>
          <w:lang w:eastAsia="ja-JP"/>
        </w:rPr>
        <w:t>, that is currently reserved for Intel’s internal purposes and is not serving as an open foundry</w:t>
      </w:r>
      <w:r w:rsidRPr="008B13A5">
        <w:rPr>
          <w:rFonts w:eastAsia="MS Mincho"/>
          <w:noProof/>
          <w:kern w:val="2"/>
          <w:szCs w:val="22"/>
          <w:lang w:eastAsia="ja-JP"/>
        </w:rPr>
        <w:t>.</w:t>
      </w:r>
    </w:p>
    <w:p w14:paraId="5114B7C0" w14:textId="050B9160" w:rsidR="00EC49AF" w:rsidRPr="008B13A5" w:rsidRDefault="00EC49AF" w:rsidP="00EC49AF">
      <w:pPr>
        <w:rPr>
          <w:rFonts w:eastAsia="MS Mincho"/>
          <w:noProof/>
          <w:szCs w:val="22"/>
          <w:lang w:eastAsia="ja-JP"/>
        </w:rPr>
      </w:pPr>
      <w:r w:rsidRPr="008B13A5">
        <w:rPr>
          <w:rFonts w:eastAsia="MS Mincho"/>
          <w:noProof/>
          <w:szCs w:val="22"/>
          <w:lang w:eastAsia="ja-JP"/>
        </w:rPr>
        <w:t xml:space="preserve">What remains limited in the EU is a comprehensive </w:t>
      </w:r>
      <w:r w:rsidRPr="008B13A5">
        <w:rPr>
          <w:rFonts w:eastAsia="MS Mincho"/>
          <w:b/>
          <w:noProof/>
          <w:szCs w:val="22"/>
          <w:lang w:eastAsia="ja-JP"/>
        </w:rPr>
        <w:t>chip design ecosystem</w:t>
      </w:r>
      <w:r w:rsidRPr="008B13A5">
        <w:rPr>
          <w:rFonts w:eastAsia="MS Mincho"/>
          <w:noProof/>
          <w:szCs w:val="22"/>
          <w:lang w:eastAsia="ja-JP"/>
        </w:rPr>
        <w:t xml:space="preserve"> that includes both fabless design firms and large-scale foundries. </w:t>
      </w:r>
      <w:r w:rsidRPr="00BD008E">
        <w:rPr>
          <w:rFonts w:eastAsia="MS Mincho"/>
          <w:noProof/>
          <w:szCs w:val="22"/>
          <w:lang w:eastAsia="ja-JP"/>
        </w:rPr>
        <w:t xml:space="preserve">Fabless companies, which design chips but outsource their manufacturing, generate roughly half of global chip revenues, yet the EU accounts for less than 1% of fabless revenues. The leading </w:t>
      </w:r>
      <w:r w:rsidRPr="00BD008E">
        <w:rPr>
          <w:rFonts w:eastAsia="MS Mincho"/>
          <w:b/>
          <w:noProof/>
          <w:szCs w:val="22"/>
          <w:lang w:eastAsia="ja-JP"/>
        </w:rPr>
        <w:t>software tools</w:t>
      </w:r>
      <w:r w:rsidRPr="00BD008E">
        <w:rPr>
          <w:rFonts w:eastAsia="MS Mincho"/>
          <w:noProof/>
          <w:szCs w:val="22"/>
          <w:lang w:eastAsia="ja-JP"/>
        </w:rPr>
        <w:t xml:space="preserve"> and </w:t>
      </w:r>
      <w:r w:rsidRPr="00BD008E">
        <w:rPr>
          <w:rFonts w:eastAsia="MS Mincho"/>
          <w:b/>
          <w:noProof/>
          <w:szCs w:val="22"/>
          <w:lang w:eastAsia="ja-JP"/>
        </w:rPr>
        <w:t>IP</w:t>
      </w:r>
      <w:r w:rsidRPr="00BD008E">
        <w:rPr>
          <w:rFonts w:eastAsia="MS Mincho"/>
          <w:noProof/>
          <w:szCs w:val="22"/>
          <w:lang w:eastAsia="ja-JP"/>
        </w:rPr>
        <w:t xml:space="preserve"> blocks needed to design chips are of US origin. The EU, lacking globally leading fabless “design houses” comparable to the major players in the US and Asia, misses the dense combination of big design firms and open foundries that underpins advanced chips leadership elsewhere. </w:t>
      </w:r>
    </w:p>
    <w:p w14:paraId="22DA0F29" w14:textId="2730F107" w:rsidR="00EC49AF" w:rsidRPr="008B13A5" w:rsidRDefault="00EC49AF" w:rsidP="00EC49AF">
      <w:pPr>
        <w:rPr>
          <w:rFonts w:eastAsia="MS Mincho"/>
          <w:noProof/>
          <w:szCs w:val="22"/>
          <w:lang w:eastAsia="ja-JP"/>
        </w:rPr>
      </w:pPr>
      <w:r w:rsidRPr="008B13A5">
        <w:rPr>
          <w:rFonts w:eastAsia="MS Mincho"/>
          <w:noProof/>
          <w:szCs w:val="22"/>
          <w:lang w:eastAsia="ja-JP"/>
        </w:rPr>
        <w:t xml:space="preserve">As a result, the semiconductor value chain remains highly concentrated across a few global regions, and the EU’s role, while critical upstream, depends on external partners for several downstream and high-volume manufacturing stages, including for AI chips. The US and several East Asian economies retain leading positions in chip design and leading-edge digital chip manufacturing, while Taiwan and South Korea account for the majority of global leading-edge wafer fabrication capacity. Japan remains a key supplier of essential materials and precision components. Assembly, packaging, and testing activities are largely concentrated in China and Southeast Asia, where significant high-volume back-end capacity has developed. </w:t>
      </w:r>
    </w:p>
    <w:p w14:paraId="22845A48" w14:textId="3024BA14" w:rsidR="00EC49AF" w:rsidRPr="008B13A5" w:rsidRDefault="00EC49AF" w:rsidP="00EC49AF">
      <w:pPr>
        <w:rPr>
          <w:noProof/>
          <w:szCs w:val="22"/>
        </w:rPr>
      </w:pPr>
      <w:r w:rsidRPr="008B13A5">
        <w:rPr>
          <w:noProof/>
          <w:szCs w:val="22"/>
        </w:rPr>
        <w:t>OECD (2025)</w:t>
      </w:r>
      <w:r w:rsidR="00F274DD" w:rsidRPr="008B13A5">
        <w:rPr>
          <w:noProof/>
          <w:szCs w:val="22"/>
        </w:rPr>
        <w:t xml:space="preserve"> </w:t>
      </w:r>
      <w:r w:rsidRPr="008B13A5">
        <w:rPr>
          <w:noProof/>
          <w:szCs w:val="22"/>
        </w:rPr>
        <w:t>(</w:t>
      </w:r>
      <w:r w:rsidRPr="008B13A5">
        <w:rPr>
          <w:rStyle w:val="FootnoteReference"/>
          <w:noProof/>
          <w:szCs w:val="22"/>
        </w:rPr>
        <w:footnoteReference w:id="33"/>
      </w:r>
      <w:r w:rsidRPr="008B13A5">
        <w:rPr>
          <w:noProof/>
          <w:szCs w:val="22"/>
        </w:rPr>
        <w:t xml:space="preserve">) explains that the semiconductor (chips) value chain can be broadly structured into </w:t>
      </w:r>
      <w:r w:rsidRPr="008B13A5">
        <w:rPr>
          <w:rStyle w:val="Strong"/>
          <w:noProof/>
          <w:szCs w:val="22"/>
        </w:rPr>
        <w:t>three principal stages</w:t>
      </w:r>
      <w:r w:rsidRPr="008B13A5">
        <w:rPr>
          <w:noProof/>
          <w:szCs w:val="22"/>
        </w:rPr>
        <w:t xml:space="preserve">: </w:t>
      </w:r>
      <w:r w:rsidRPr="008B13A5">
        <w:rPr>
          <w:rStyle w:val="Strong"/>
          <w:noProof/>
          <w:szCs w:val="22"/>
        </w:rPr>
        <w:t>design</w:t>
      </w:r>
      <w:r w:rsidRPr="008B13A5">
        <w:rPr>
          <w:noProof/>
          <w:szCs w:val="22"/>
        </w:rPr>
        <w:t xml:space="preserve">, </w:t>
      </w:r>
      <w:r w:rsidRPr="008B13A5">
        <w:rPr>
          <w:rStyle w:val="Strong"/>
          <w:noProof/>
          <w:szCs w:val="22"/>
        </w:rPr>
        <w:t>wafer fabrication</w:t>
      </w:r>
      <w:r w:rsidRPr="008B13A5">
        <w:rPr>
          <w:noProof/>
          <w:szCs w:val="22"/>
        </w:rPr>
        <w:t xml:space="preserve">, and </w:t>
      </w:r>
      <w:r w:rsidRPr="008B13A5">
        <w:rPr>
          <w:rStyle w:val="Strong"/>
          <w:noProof/>
          <w:szCs w:val="22"/>
        </w:rPr>
        <w:t>assembly, testing, and packaging (ATP)</w:t>
      </w:r>
      <w:r w:rsidRPr="008B13A5">
        <w:rPr>
          <w:noProof/>
          <w:szCs w:val="22"/>
        </w:rPr>
        <w:t xml:space="preserve">. Each stage relies on specific inputs including wafers, manufacturing equipment, and specialised materials provided by dedicated suppliers, and all are characterised by a strong dependence on </w:t>
      </w:r>
      <w:r w:rsidRPr="008B13A5">
        <w:rPr>
          <w:rStyle w:val="Strong"/>
          <w:noProof/>
          <w:szCs w:val="22"/>
        </w:rPr>
        <w:t>research and development (R&amp;D)</w:t>
      </w:r>
      <w:r w:rsidRPr="008B13A5">
        <w:rPr>
          <w:noProof/>
          <w:szCs w:val="22"/>
        </w:rPr>
        <w:t xml:space="preserve"> to sustain technological progress and competitiveness. The three stages can be further described as: </w:t>
      </w:r>
    </w:p>
    <w:p w14:paraId="4A885373" w14:textId="4AA4C8FC" w:rsidR="00EC49AF" w:rsidRPr="008B13A5" w:rsidRDefault="00EC49AF" w:rsidP="00F47256">
      <w:pPr>
        <w:pStyle w:val="NormalWeb"/>
        <w:numPr>
          <w:ilvl w:val="0"/>
          <w:numId w:val="20"/>
        </w:numPr>
        <w:jc w:val="both"/>
        <w:rPr>
          <w:noProof/>
        </w:rPr>
      </w:pPr>
      <w:r w:rsidRPr="008B13A5">
        <w:rPr>
          <w:rStyle w:val="Strong"/>
          <w:noProof/>
        </w:rPr>
        <w:t>Chip design</w:t>
      </w:r>
      <w:r w:rsidRPr="008B13A5">
        <w:rPr>
          <w:noProof/>
        </w:rPr>
        <w:t xml:space="preserve"> is </w:t>
      </w:r>
      <w:r w:rsidRPr="008B13A5">
        <w:rPr>
          <w:rStyle w:val="Emphasis"/>
          <w:noProof/>
        </w:rPr>
        <w:t>skill- and research-intensive</w:t>
      </w:r>
      <w:r w:rsidRPr="008B13A5">
        <w:rPr>
          <w:noProof/>
        </w:rPr>
        <w:t>, and increasingly capital-intensive, due to the significant cost of electronic design automation (EDA) tools, intellectual property (IP) blocks, verification environments and prototype testing. The complexity of state-of-the-art designs requires substantial upfront investment and contributes to high barriers to entry.</w:t>
      </w:r>
    </w:p>
    <w:p w14:paraId="6AF62DB4" w14:textId="1A4645E3" w:rsidR="00EC49AF" w:rsidRPr="008B13A5" w:rsidRDefault="00EC49AF" w:rsidP="00F47256">
      <w:pPr>
        <w:pStyle w:val="NormalWeb"/>
        <w:numPr>
          <w:ilvl w:val="0"/>
          <w:numId w:val="20"/>
        </w:numPr>
        <w:jc w:val="both"/>
        <w:rPr>
          <w:noProof/>
        </w:rPr>
      </w:pPr>
      <w:r w:rsidRPr="008B13A5">
        <w:rPr>
          <w:rStyle w:val="Strong"/>
          <w:noProof/>
        </w:rPr>
        <w:t>Wafer fabrication</w:t>
      </w:r>
      <w:r w:rsidRPr="008B13A5">
        <w:rPr>
          <w:noProof/>
        </w:rPr>
        <w:t xml:space="preserve"> (front-end manufacturing) is </w:t>
      </w:r>
      <w:r w:rsidRPr="008B13A5">
        <w:rPr>
          <w:rStyle w:val="Emphasis"/>
          <w:noProof/>
        </w:rPr>
        <w:t>capital-intensive</w:t>
      </w:r>
      <w:r w:rsidRPr="008B13A5">
        <w:rPr>
          <w:noProof/>
        </w:rPr>
        <w:t>, requiring advanced equipment, cleanroom facilities, and economies of scale. It is also rooted in decades of accumulated experience and high R&amp;D expenditure, which explains why the sector is highly concentrated and why catching up is particularly difficult for late entrants. Sustaining competitiveness at leading-edge process nodes requires continuous innovation, with firms such as Intel illustrating the challenges associated with keeping pace with rapid innovation cycles.</w:t>
      </w:r>
    </w:p>
    <w:p w14:paraId="014444CF" w14:textId="10A018C6" w:rsidR="00EC49AF" w:rsidRPr="008B13A5" w:rsidRDefault="00EC49AF" w:rsidP="00F47256">
      <w:pPr>
        <w:pStyle w:val="NormalWeb"/>
        <w:numPr>
          <w:ilvl w:val="0"/>
          <w:numId w:val="20"/>
        </w:numPr>
        <w:jc w:val="both"/>
        <w:rPr>
          <w:noProof/>
        </w:rPr>
      </w:pPr>
      <w:r w:rsidRPr="008B13A5">
        <w:rPr>
          <w:rStyle w:val="Strong"/>
          <w:noProof/>
        </w:rPr>
        <w:t>Assembly, Test, and Packaging (ATP)</w:t>
      </w:r>
      <w:r w:rsidRPr="008B13A5">
        <w:rPr>
          <w:noProof/>
        </w:rPr>
        <w:t xml:space="preserve"> (back-end manufacturing) is </w:t>
      </w:r>
      <w:r w:rsidRPr="008B13A5">
        <w:rPr>
          <w:rStyle w:val="Emphasis"/>
          <w:noProof/>
        </w:rPr>
        <w:t>labour-intensive</w:t>
      </w:r>
      <w:r w:rsidRPr="008B13A5">
        <w:rPr>
          <w:noProof/>
        </w:rPr>
        <w:t xml:space="preserve"> and less automated, providing lower added value compared to the first two stages. However, advances in heterogeneous integration and 2.5D/3D packaging have turned ATP into an important source of differentiation in performance, energy efficiency and miniaturisation. Moreover, advanced packaging requires close integration between front-end and back-end processes, reinforcing interdependencies across the value chain. </w:t>
      </w:r>
    </w:p>
    <w:p w14:paraId="33107AC3" w14:textId="3AED1F7B" w:rsidR="00EC49AF" w:rsidRPr="008B13A5" w:rsidRDefault="00EC49AF" w:rsidP="00EC49AF">
      <w:pPr>
        <w:keepNext/>
        <w:rPr>
          <w:i/>
          <w:noProof/>
        </w:rPr>
      </w:pPr>
      <w:r w:rsidRPr="008B13A5">
        <w:rPr>
          <w:b/>
          <w:bCs/>
          <w:noProof/>
          <w:szCs w:val="22"/>
        </w:rPr>
        <w:t>Figure 15. The Illustration of the chips value chain</w:t>
      </w:r>
      <w:r w:rsidRPr="008B13A5">
        <w:rPr>
          <w:i/>
          <w:iCs/>
          <w:noProof/>
          <w:szCs w:val="22"/>
        </w:rPr>
        <w:t xml:space="preserve">. </w:t>
      </w:r>
      <w:r w:rsidRPr="008B13A5">
        <w:rPr>
          <w:i/>
          <w:noProof/>
        </w:rPr>
        <w:t xml:space="preserve">Source: OECD, 2025. </w:t>
      </w:r>
    </w:p>
    <w:p w14:paraId="1A426236" w14:textId="378B5765" w:rsidR="00EC49AF" w:rsidRPr="008B13A5" w:rsidRDefault="00EC49AF" w:rsidP="00EC49AF">
      <w:pPr>
        <w:keepNext/>
        <w:spacing w:after="0"/>
        <w:jc w:val="center"/>
        <w:rPr>
          <w:noProof/>
        </w:rPr>
      </w:pPr>
      <w:r w:rsidRPr="008B13A5">
        <w:rPr>
          <w:noProof/>
          <w:lang w:eastAsia="en-GB"/>
        </w:rPr>
        <w:drawing>
          <wp:inline distT="0" distB="0" distL="0" distR="0" wp14:anchorId="4960D6B1" wp14:editId="6C27378F">
            <wp:extent cx="5454650" cy="2989580"/>
            <wp:effectExtent l="0" t="0" r="0" b="0"/>
            <wp:docPr id="1156622632" name="Picture 18" descr="A diagram of a business mod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business model&#10;&#10;AI-generated content may be incorrect."/>
                    <pic:cNvPicPr>
                      <a:picLocks noChangeAspect="1" noChangeArrowheads="1"/>
                    </pic:cNvPicPr>
                  </pic:nvPicPr>
                  <pic:blipFill>
                    <a:blip r:embed="rId43">
                      <a:extLst>
                        <a:ext uri="{28A0092B-C50C-407E-A947-70E740481C1C}">
                          <a14:useLocalDpi xmlns:a14="http://schemas.microsoft.com/office/drawing/2010/main" val="0"/>
                        </a:ext>
                      </a:extLst>
                    </a:blip>
                    <a:srcRect r="10832"/>
                    <a:stretch>
                      <a:fillRect/>
                    </a:stretch>
                  </pic:blipFill>
                  <pic:spPr bwMode="auto">
                    <a:xfrm>
                      <a:off x="0" y="0"/>
                      <a:ext cx="5454650" cy="2989580"/>
                    </a:xfrm>
                    <a:prstGeom prst="rect">
                      <a:avLst/>
                    </a:prstGeom>
                    <a:noFill/>
                    <a:ln>
                      <a:noFill/>
                    </a:ln>
                  </pic:spPr>
                </pic:pic>
              </a:graphicData>
            </a:graphic>
          </wp:inline>
        </w:drawing>
      </w:r>
    </w:p>
    <w:p w14:paraId="351B2D5A" w14:textId="77777777" w:rsidR="009B0F72" w:rsidRPr="008B13A5" w:rsidRDefault="00EC49AF" w:rsidP="00EC49AF">
      <w:pPr>
        <w:rPr>
          <w:noProof/>
        </w:rPr>
      </w:pPr>
      <w:r w:rsidRPr="008B13A5">
        <w:rPr>
          <w:noProof/>
        </w:rPr>
        <w:t xml:space="preserve">As illustrated in the figure above, the principal value chain stages are supported by upstream segments such as chemicals and raw materials, wafers and substrates, and semiconductor manufacturing equipment. The produced and packaged chips are then ready for downstream integration and end-use applications. </w:t>
      </w:r>
    </w:p>
    <w:p w14:paraId="2FD8535B" w14:textId="77777777" w:rsidR="009B0F72" w:rsidRPr="008B13A5" w:rsidRDefault="009B0F72">
      <w:pPr>
        <w:spacing w:after="200" w:line="276" w:lineRule="auto"/>
        <w:jc w:val="left"/>
        <w:rPr>
          <w:noProof/>
        </w:rPr>
      </w:pPr>
      <w:r w:rsidRPr="008B13A5">
        <w:rPr>
          <w:noProof/>
        </w:rPr>
        <w:br w:type="page"/>
      </w:r>
    </w:p>
    <w:p w14:paraId="3474A617" w14:textId="77777777" w:rsidR="002D364B" w:rsidRPr="008B13A5" w:rsidRDefault="002D364B" w:rsidP="00EC49AF">
      <w:pPr>
        <w:rPr>
          <w:noProof/>
        </w:rPr>
      </w:pPr>
    </w:p>
    <w:p w14:paraId="027ACCB4" w14:textId="426ABBCF" w:rsidR="002D364B" w:rsidRPr="008B13A5" w:rsidRDefault="002D364B" w:rsidP="00F55DC6">
      <w:pPr>
        <w:pStyle w:val="Heading3"/>
        <w:rPr>
          <w:noProof/>
          <w:szCs w:val="22"/>
        </w:rPr>
      </w:pPr>
      <w:bookmarkStart w:id="154" w:name="_Toc227078855"/>
      <w:bookmarkStart w:id="155" w:name="_Toc230010412"/>
      <w:r w:rsidRPr="008B13A5">
        <w:rPr>
          <w:noProof/>
          <w:szCs w:val="22"/>
        </w:rPr>
        <w:t xml:space="preserve">Detailed analysis of </w:t>
      </w:r>
      <w:r w:rsidRPr="008B13A5">
        <w:rPr>
          <w:noProof/>
        </w:rPr>
        <w:t>semiconductor value chain</w:t>
      </w:r>
      <w:bookmarkEnd w:id="154"/>
      <w:bookmarkEnd w:id="155"/>
    </w:p>
    <w:p w14:paraId="1CA783E0" w14:textId="77777777" w:rsidR="001F5936" w:rsidRPr="008B13A5" w:rsidRDefault="001F5936" w:rsidP="00BD008E">
      <w:pPr>
        <w:pStyle w:val="Heading4"/>
        <w:rPr>
          <w:rFonts w:eastAsiaTheme="minorHAnsi"/>
          <w:noProof/>
        </w:rPr>
      </w:pPr>
      <w:bookmarkStart w:id="156" w:name="_Toc230010413"/>
      <w:r w:rsidRPr="008B13A5">
        <w:rPr>
          <w:rFonts w:eastAsiaTheme="minorHAnsi"/>
          <w:noProof/>
        </w:rPr>
        <w:t>Electronic Design Automation</w:t>
      </w:r>
      <w:bookmarkEnd w:id="156"/>
      <w:r w:rsidRPr="008B13A5">
        <w:rPr>
          <w:rFonts w:eastAsiaTheme="minorHAnsi"/>
          <w:noProof/>
        </w:rPr>
        <w:tab/>
      </w:r>
    </w:p>
    <w:p w14:paraId="2B3CBD4A" w14:textId="44B0395A" w:rsidR="002D364B" w:rsidRPr="008B13A5" w:rsidRDefault="002D364B" w:rsidP="002D364B">
      <w:pPr>
        <w:rPr>
          <w:rFonts w:eastAsia="Arial"/>
          <w:b/>
          <w:bCs/>
          <w:noProof/>
          <w:color w:val="000000"/>
        </w:rPr>
      </w:pPr>
      <w:r w:rsidRPr="008B13A5">
        <w:rPr>
          <w:b/>
          <w:bCs/>
          <w:noProof/>
          <w:szCs w:val="22"/>
        </w:rPr>
        <w:t xml:space="preserve">Figure 16. </w:t>
      </w:r>
      <w:r w:rsidRPr="008B13A5">
        <w:rPr>
          <w:rFonts w:eastAsia="Arial"/>
          <w:b/>
          <w:bCs/>
          <w:noProof/>
          <w:color w:val="000000"/>
        </w:rPr>
        <w:t>EDA vendors market share</w:t>
      </w:r>
      <w:r w:rsidRPr="00BD008E">
        <w:rPr>
          <w:rFonts w:eastAsia="Arial"/>
          <w:b/>
          <w:noProof/>
          <w:color w:val="000000"/>
        </w:rPr>
        <w:t xml:space="preserve"> 2024</w:t>
      </w:r>
      <w:r w:rsidRPr="008B13A5">
        <w:rPr>
          <w:rFonts w:eastAsia="Arial"/>
          <w:b/>
          <w:bCs/>
          <w:noProof/>
          <w:color w:val="000000"/>
        </w:rPr>
        <w:t xml:space="preserve"> </w:t>
      </w:r>
      <w:r w:rsidRPr="008B13A5">
        <w:rPr>
          <w:rFonts w:eastAsia="Arial"/>
          <w:i/>
          <w:iCs/>
          <w:noProof/>
          <w:color w:val="000000"/>
        </w:rPr>
        <w:t>Source: IDC</w:t>
      </w:r>
    </w:p>
    <w:p w14:paraId="54368F4E" w14:textId="77777777" w:rsidR="002D364B" w:rsidRPr="008B13A5" w:rsidRDefault="002D364B" w:rsidP="002D364B">
      <w:pPr>
        <w:keepLines/>
        <w:jc w:val="center"/>
        <w:rPr>
          <w:b/>
          <w:bCs/>
          <w:noProof/>
          <w:szCs w:val="22"/>
        </w:rPr>
      </w:pPr>
      <w:r w:rsidRPr="008B13A5">
        <w:rPr>
          <w:b/>
          <w:bCs/>
          <w:noProof/>
          <w:szCs w:val="22"/>
          <w:lang w:eastAsia="en-GB"/>
        </w:rPr>
        <w:drawing>
          <wp:inline distT="0" distB="0" distL="0" distR="0" wp14:anchorId="7167D90F" wp14:editId="37FF03A5">
            <wp:extent cx="4772025" cy="2724150"/>
            <wp:effectExtent l="0" t="0" r="9525" b="0"/>
            <wp:docPr id="1983358788" name="Chart 1">
              <a:extLst xmlns:a="http://schemas.openxmlformats.org/drawingml/2006/main">
                <a:ext uri="{FF2B5EF4-FFF2-40B4-BE49-F238E27FC236}">
                  <a16:creationId xmlns:a16="http://schemas.microsoft.com/office/drawing/2014/main" id="{02EB7370-9206-E5F7-1B99-7D820AB2C5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4C2491DB" w14:textId="1A294AD1" w:rsidR="002D364B" w:rsidRPr="008B13A5" w:rsidRDefault="002D364B" w:rsidP="002D364B">
      <w:pPr>
        <w:rPr>
          <w:noProof/>
        </w:rPr>
      </w:pPr>
      <w:r w:rsidRPr="008B13A5">
        <w:rPr>
          <w:b/>
          <w:bCs/>
          <w:noProof/>
        </w:rPr>
        <w:t>Electronic Design Automation (EDA) tools</w:t>
      </w:r>
      <w:r w:rsidRPr="008B13A5">
        <w:rPr>
          <w:noProof/>
        </w:rPr>
        <w:t xml:space="preserve"> are </w:t>
      </w:r>
      <w:r w:rsidRPr="008B13A5">
        <w:rPr>
          <w:b/>
          <w:bCs/>
          <w:noProof/>
        </w:rPr>
        <w:t>the software tools used to design chips</w:t>
      </w:r>
      <w:r w:rsidRPr="008B13A5">
        <w:rPr>
          <w:noProof/>
        </w:rPr>
        <w:t>. The EDA Market is dominated by three vendors i.e. Synopsys (US), Cadence (US), and Siemens EDA (EU). Data from 2024 shows that together they hold a market share north of 75%, the acquisition of Ansys by Synopsys in 2025 takes this up to 80%.(</w:t>
      </w:r>
      <w:r w:rsidRPr="008B13A5">
        <w:rPr>
          <w:noProof/>
          <w:vertAlign w:val="superscript"/>
        </w:rPr>
        <w:footnoteReference w:id="34"/>
      </w:r>
      <w:r w:rsidRPr="008B13A5">
        <w:rPr>
          <w:noProof/>
        </w:rPr>
        <w:t xml:space="preserve">)  </w:t>
      </w:r>
    </w:p>
    <w:p w14:paraId="31FC5554" w14:textId="6500D9E7" w:rsidR="002D364B" w:rsidRPr="008B13A5" w:rsidRDefault="002D364B" w:rsidP="002D364B">
      <w:pPr>
        <w:rPr>
          <w:noProof/>
        </w:rPr>
      </w:pPr>
      <w:r w:rsidRPr="008B13A5">
        <w:rPr>
          <w:noProof/>
        </w:rPr>
        <w:t>Design automation software is not delivered as a single application but as an integrated suite of specialised tools that, taken together, constitute the end-to-end “design flow” required to develop an integrated circuit. This flow spans multiple stages and abstraction levels, including (i) front-end design and verification (RTL development, simulation, formal verification, and static checks), (ii) synthesis (translation of RTL into a gate-level netlist under timing, power and area constraints), (iii) physical implementation (floorplanning, placement, clock-tree synthesis, routing, and iterative optimisation), and (iv) sign-off analysis and physical verification (static timing analysis with extracted parasitics across Process, Voltage, Temperature (PVT) corners, signal-integrity analysis, power-integrity and reliability checks such as IR drop and electromigration, and rule-deck-based ‘Design Rule Check’/’Layout versus Schematic’). The outputs of each stage are used as inputs to subsequent stages; as a result, effective operation depends on consistent constraints, compatible data models, and tight interoperability across tools. In practice, the design process is iterative rather than linear, with repeated loops between implementation and sign-off to resolve violations and converge on manufacturable results.</w:t>
      </w:r>
    </w:p>
    <w:p w14:paraId="38623808" w14:textId="6E8C8EB2" w:rsidR="002D364B" w:rsidRPr="008B13A5" w:rsidRDefault="002D364B" w:rsidP="002D364B">
      <w:pPr>
        <w:rPr>
          <w:noProof/>
        </w:rPr>
      </w:pPr>
      <w:r w:rsidRPr="008B13A5">
        <w:rPr>
          <w:noProof/>
        </w:rPr>
        <w:t xml:space="preserve">In practice, as attested by their market share, the three vendors exert total dominance over the Western semiconductor design tool market since the </w:t>
      </w:r>
      <w:r w:rsidRPr="008B13A5">
        <w:rPr>
          <w:b/>
          <w:bCs/>
          <w:noProof/>
        </w:rPr>
        <w:t xml:space="preserve">remaining 20% is primarily </w:t>
      </w:r>
      <w:r w:rsidRPr="008B13A5">
        <w:rPr>
          <w:noProof/>
        </w:rPr>
        <w:t xml:space="preserve">held by Empyrean Technology that is a China based EDA vendor. Empyrean targets Chinese companies and is still catching up to the big three. Considering its Chinese ownership it also presents clear economic security risks and is not a viable substitute for the three main vendors. </w:t>
      </w:r>
    </w:p>
    <w:p w14:paraId="2B0C4D72" w14:textId="4183ABB0" w:rsidR="002D364B" w:rsidRPr="008B13A5" w:rsidRDefault="002D364B" w:rsidP="002D364B">
      <w:pPr>
        <w:rPr>
          <w:noProof/>
        </w:rPr>
      </w:pPr>
      <w:r w:rsidRPr="008B13A5">
        <w:rPr>
          <w:noProof/>
        </w:rPr>
        <w:t>The rest of the market share is</w:t>
      </w:r>
      <w:r w:rsidRPr="008B13A5">
        <w:rPr>
          <w:b/>
          <w:bCs/>
          <w:noProof/>
        </w:rPr>
        <w:t xml:space="preserve"> split amongst smaller companies that cannot offer a complete suite of tools</w:t>
      </w:r>
      <w:r w:rsidRPr="008B13A5">
        <w:rPr>
          <w:noProof/>
        </w:rPr>
        <w:t xml:space="preserve"> for the development of chips, many of whom aspire to eventually be acquired by one of the big three. Some open-source alternatives are emerging, although these are not suitable for serious commercial chip designs and may only be reliably used for very mature technologies. </w:t>
      </w:r>
    </w:p>
    <w:p w14:paraId="04631D80" w14:textId="77777777" w:rsidR="002D364B" w:rsidRPr="008B13A5" w:rsidRDefault="002D364B" w:rsidP="00BD008E">
      <w:pPr>
        <w:pStyle w:val="Heading4"/>
        <w:rPr>
          <w:noProof/>
        </w:rPr>
      </w:pPr>
      <w:bookmarkStart w:id="157" w:name="_Toc227078856"/>
      <w:bookmarkStart w:id="158" w:name="_Toc230010414"/>
      <w:r w:rsidRPr="008B13A5">
        <w:rPr>
          <w:noProof/>
        </w:rPr>
        <w:t>Materials</w:t>
      </w:r>
      <w:bookmarkEnd w:id="157"/>
      <w:bookmarkEnd w:id="158"/>
    </w:p>
    <w:p w14:paraId="71AA1306" w14:textId="71E7F5EA" w:rsidR="002D364B" w:rsidRPr="008B13A5" w:rsidRDefault="002D364B" w:rsidP="00BD008E">
      <w:pPr>
        <w:pStyle w:val="Heading4"/>
        <w:numPr>
          <w:ilvl w:val="4"/>
          <w:numId w:val="5"/>
        </w:numPr>
        <w:rPr>
          <w:noProof/>
        </w:rPr>
      </w:pPr>
      <w:bookmarkStart w:id="159" w:name="_Toc230010415"/>
      <w:r w:rsidRPr="008B13A5">
        <w:rPr>
          <w:noProof/>
        </w:rPr>
        <w:t>Critical raw materials</w:t>
      </w:r>
      <w:bookmarkEnd w:id="159"/>
    </w:p>
    <w:p w14:paraId="24A8D062" w14:textId="4C3B7A94" w:rsidR="002D364B" w:rsidRPr="008B13A5" w:rsidRDefault="002D364B" w:rsidP="002D364B">
      <w:pPr>
        <w:rPr>
          <w:noProof/>
          <w:szCs w:val="22"/>
        </w:rPr>
      </w:pPr>
      <w:r w:rsidRPr="008B13A5">
        <w:rPr>
          <w:noProof/>
          <w:szCs w:val="22"/>
        </w:rPr>
        <w:t>The raw materials required for semiconductor manufacturing span almost the entire periodic table and range from silicon, which is relatively abundant, to rare earth elements. According to analysis by ZVEI, over the last thirty years the number of elements used in the semiconductor industry has quadrupled.</w:t>
      </w:r>
      <w:r w:rsidR="00F274DD" w:rsidRPr="008B13A5">
        <w:rPr>
          <w:noProof/>
          <w:szCs w:val="22"/>
        </w:rPr>
        <w:t xml:space="preserve"> </w:t>
      </w:r>
      <w:r w:rsidRPr="008B13A5">
        <w:rPr>
          <w:noProof/>
          <w:szCs w:val="22"/>
        </w:rPr>
        <w:t>(</w:t>
      </w:r>
      <w:r w:rsidRPr="008B13A5">
        <w:rPr>
          <w:noProof/>
          <w:szCs w:val="22"/>
          <w:vertAlign w:val="superscript"/>
        </w:rPr>
        <w:footnoteReference w:id="35"/>
      </w:r>
      <w:r w:rsidRPr="008B13A5">
        <w:rPr>
          <w:noProof/>
          <w:szCs w:val="22"/>
        </w:rPr>
        <w:t>)</w:t>
      </w:r>
    </w:p>
    <w:p w14:paraId="7B4EF52C" w14:textId="7ED037FC" w:rsidR="002D364B" w:rsidRPr="008B13A5" w:rsidRDefault="002D364B" w:rsidP="002D364B">
      <w:pPr>
        <w:rPr>
          <w:i/>
          <w:iCs/>
          <w:noProof/>
        </w:rPr>
      </w:pPr>
      <w:r w:rsidRPr="008B13A5">
        <w:rPr>
          <w:b/>
          <w:bCs/>
          <w:noProof/>
        </w:rPr>
        <w:t xml:space="preserve">Figure 17. Elements used in the semiconductor industry, where coloured elements denote use. </w:t>
      </w:r>
      <w:r w:rsidRPr="008B13A5">
        <w:rPr>
          <w:i/>
          <w:iCs/>
          <w:noProof/>
        </w:rPr>
        <w:t>Source: ZVEI</w:t>
      </w:r>
      <w:r w:rsidR="00BF2691" w:rsidRPr="008B13A5">
        <w:rPr>
          <w:i/>
          <w:iCs/>
          <w:noProof/>
        </w:rPr>
        <w:t>(</w:t>
      </w:r>
      <w:r w:rsidR="00DB6AF1" w:rsidRPr="008B13A5">
        <w:rPr>
          <w:rStyle w:val="FootnoteReference"/>
          <w:i/>
          <w:iCs/>
          <w:noProof/>
        </w:rPr>
        <w:footnoteReference w:id="36"/>
      </w:r>
      <w:r w:rsidR="00BF2691" w:rsidRPr="008B13A5">
        <w:rPr>
          <w:i/>
          <w:iCs/>
          <w:noProof/>
        </w:rPr>
        <w:t>)</w:t>
      </w:r>
      <w:r w:rsidRPr="008B13A5">
        <w:rPr>
          <w:i/>
          <w:iCs/>
          <w:noProof/>
        </w:rPr>
        <w:t>.</w:t>
      </w:r>
    </w:p>
    <w:p w14:paraId="1F209452" w14:textId="77777777" w:rsidR="002D364B" w:rsidRPr="008B13A5" w:rsidRDefault="002D364B" w:rsidP="002D364B">
      <w:pPr>
        <w:rPr>
          <w:noProof/>
          <w:szCs w:val="22"/>
        </w:rPr>
      </w:pPr>
      <w:r w:rsidRPr="008B13A5">
        <w:rPr>
          <w:noProof/>
          <w:szCs w:val="22"/>
          <w:lang w:eastAsia="en-GB"/>
        </w:rPr>
        <w:drawing>
          <wp:inline distT="0" distB="0" distL="0" distR="0" wp14:anchorId="4D3B99B2" wp14:editId="028429D2">
            <wp:extent cx="5943600" cy="3223260"/>
            <wp:effectExtent l="0" t="0" r="0" b="0"/>
            <wp:docPr id="2010196444" name="Picture 1" descr="A group of periodic table of elem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196444" name="Picture 1" descr="A group of periodic table of elements&#10;&#10;AI-generated content may be incorrect."/>
                    <pic:cNvPicPr/>
                  </pic:nvPicPr>
                  <pic:blipFill>
                    <a:blip r:embed="rId45"/>
                    <a:stretch>
                      <a:fillRect/>
                    </a:stretch>
                  </pic:blipFill>
                  <pic:spPr>
                    <a:xfrm>
                      <a:off x="0" y="0"/>
                      <a:ext cx="5943600" cy="3223260"/>
                    </a:xfrm>
                    <a:prstGeom prst="rect">
                      <a:avLst/>
                    </a:prstGeom>
                  </pic:spPr>
                </pic:pic>
              </a:graphicData>
            </a:graphic>
          </wp:inline>
        </w:drawing>
      </w:r>
    </w:p>
    <w:p w14:paraId="3FE6C0AA" w14:textId="6C5DF4E9" w:rsidR="002D364B" w:rsidRPr="008B13A5" w:rsidRDefault="002D364B" w:rsidP="002D364B">
      <w:pPr>
        <w:rPr>
          <w:noProof/>
          <w:szCs w:val="22"/>
        </w:rPr>
      </w:pPr>
      <w:r w:rsidRPr="008B13A5">
        <w:rPr>
          <w:noProof/>
          <w:szCs w:val="22"/>
        </w:rPr>
        <w:t>Key examples here include gallium (Ga) and germanium (Ge). These are metals that are not found naturally. They are instead formed, usually as a by-product of the refineries of other metals. Ge is formed as by-product of</w:t>
      </w:r>
      <w:r w:rsidR="00F274DD" w:rsidRPr="008B13A5">
        <w:rPr>
          <w:noProof/>
          <w:szCs w:val="22"/>
        </w:rPr>
        <w:t xml:space="preserve"> </w:t>
      </w:r>
      <w:r w:rsidRPr="008B13A5">
        <w:rPr>
          <w:noProof/>
          <w:szCs w:val="22"/>
        </w:rPr>
        <w:t>zinc</w:t>
      </w:r>
      <w:r w:rsidR="00F274DD" w:rsidRPr="008B13A5">
        <w:rPr>
          <w:noProof/>
          <w:szCs w:val="22"/>
        </w:rPr>
        <w:t xml:space="preserve"> </w:t>
      </w:r>
      <w:r w:rsidRPr="008B13A5">
        <w:rPr>
          <w:noProof/>
          <w:szCs w:val="22"/>
        </w:rPr>
        <w:t>and Ga is a by-product of processing bauxite and zinc ores.</w:t>
      </w:r>
    </w:p>
    <w:p w14:paraId="127A206A" w14:textId="07EADDF9" w:rsidR="002D364B" w:rsidRPr="008B13A5" w:rsidRDefault="002D364B" w:rsidP="002D364B">
      <w:pPr>
        <w:rPr>
          <w:noProof/>
          <w:szCs w:val="22"/>
        </w:rPr>
      </w:pPr>
      <w:r w:rsidRPr="008B13A5">
        <w:rPr>
          <w:noProof/>
          <w:szCs w:val="22"/>
        </w:rPr>
        <w:t>35% of the gallium used in the EU is being refined in Germany, however raw gallium originates from China, which holds 94% of the world</w:t>
      </w:r>
      <w:r w:rsidR="00497125" w:rsidRPr="008B13A5">
        <w:rPr>
          <w:noProof/>
          <w:szCs w:val="22"/>
        </w:rPr>
        <w:t>’</w:t>
      </w:r>
      <w:r w:rsidRPr="008B13A5">
        <w:rPr>
          <w:noProof/>
          <w:szCs w:val="22"/>
        </w:rPr>
        <w:t>s production.</w:t>
      </w:r>
      <w:r w:rsidR="00F274DD" w:rsidRPr="008B13A5">
        <w:rPr>
          <w:noProof/>
          <w:szCs w:val="22"/>
        </w:rPr>
        <w:t xml:space="preserve"> </w:t>
      </w:r>
      <w:r w:rsidRPr="008B13A5">
        <w:rPr>
          <w:noProof/>
          <w:szCs w:val="22"/>
        </w:rPr>
        <w:t>(</w:t>
      </w:r>
      <w:r w:rsidRPr="008B13A5">
        <w:rPr>
          <w:noProof/>
          <w:szCs w:val="22"/>
          <w:vertAlign w:val="superscript"/>
        </w:rPr>
        <w:footnoteReference w:id="37"/>
      </w:r>
      <w:r w:rsidRPr="008B13A5">
        <w:rPr>
          <w:noProof/>
          <w:szCs w:val="22"/>
        </w:rPr>
        <w:t>)</w:t>
      </w:r>
    </w:p>
    <w:p w14:paraId="723A3023" w14:textId="73D6F2A4" w:rsidR="002D364B" w:rsidRPr="008B13A5" w:rsidRDefault="002D364B" w:rsidP="002D364B">
      <w:pPr>
        <w:rPr>
          <w:noProof/>
          <w:szCs w:val="22"/>
        </w:rPr>
      </w:pPr>
      <w:r w:rsidRPr="008B13A5">
        <w:rPr>
          <w:noProof/>
          <w:szCs w:val="22"/>
        </w:rPr>
        <w:t>For</w:t>
      </w:r>
      <w:r w:rsidR="00F274DD" w:rsidRPr="008B13A5">
        <w:rPr>
          <w:noProof/>
          <w:szCs w:val="22"/>
        </w:rPr>
        <w:t xml:space="preserve"> </w:t>
      </w:r>
      <w:r w:rsidRPr="008B13A5">
        <w:rPr>
          <w:b/>
          <w:noProof/>
          <w:szCs w:val="22"/>
        </w:rPr>
        <w:t>Gallium (Ga)</w:t>
      </w:r>
      <w:r w:rsidR="00F274DD" w:rsidRPr="008B13A5">
        <w:rPr>
          <w:noProof/>
          <w:szCs w:val="22"/>
        </w:rPr>
        <w:t xml:space="preserve"> </w:t>
      </w:r>
      <w:r w:rsidRPr="008B13A5">
        <w:rPr>
          <w:noProof/>
          <w:szCs w:val="22"/>
        </w:rPr>
        <w:t>it is known that about 70% of the</w:t>
      </w:r>
      <w:r w:rsidR="00F274DD" w:rsidRPr="008B13A5">
        <w:rPr>
          <w:noProof/>
          <w:szCs w:val="22"/>
        </w:rPr>
        <w:t xml:space="preserve"> </w:t>
      </w:r>
      <w:r w:rsidRPr="008B13A5">
        <w:rPr>
          <w:noProof/>
          <w:szCs w:val="22"/>
        </w:rPr>
        <w:t>material</w:t>
      </w:r>
      <w:r w:rsidR="00F274DD" w:rsidRPr="008B13A5">
        <w:rPr>
          <w:noProof/>
          <w:szCs w:val="22"/>
        </w:rPr>
        <w:t xml:space="preserve"> </w:t>
      </w:r>
      <w:r w:rsidRPr="008B13A5">
        <w:rPr>
          <w:noProof/>
          <w:szCs w:val="22"/>
        </w:rPr>
        <w:t>imported</w:t>
      </w:r>
      <w:r w:rsidR="00F274DD" w:rsidRPr="008B13A5">
        <w:rPr>
          <w:noProof/>
          <w:szCs w:val="22"/>
        </w:rPr>
        <w:t xml:space="preserve"> </w:t>
      </w:r>
      <w:r w:rsidRPr="008B13A5">
        <w:rPr>
          <w:noProof/>
          <w:szCs w:val="22"/>
        </w:rPr>
        <w:t>to the EU</w:t>
      </w:r>
      <w:r w:rsidR="00F274DD" w:rsidRPr="008B13A5">
        <w:rPr>
          <w:noProof/>
          <w:szCs w:val="22"/>
        </w:rPr>
        <w:t xml:space="preserve"> </w:t>
      </w:r>
      <w:r w:rsidRPr="008B13A5">
        <w:rPr>
          <w:noProof/>
          <w:szCs w:val="22"/>
        </w:rPr>
        <w:t>is used to</w:t>
      </w:r>
      <w:r w:rsidR="00F274DD" w:rsidRPr="008B13A5">
        <w:rPr>
          <w:noProof/>
          <w:szCs w:val="22"/>
        </w:rPr>
        <w:t xml:space="preserve"> </w:t>
      </w:r>
      <w:r w:rsidRPr="008B13A5">
        <w:rPr>
          <w:noProof/>
          <w:szCs w:val="22"/>
        </w:rPr>
        <w:t>produce</w:t>
      </w:r>
      <w:r w:rsidR="00F274DD" w:rsidRPr="008B13A5">
        <w:rPr>
          <w:noProof/>
          <w:szCs w:val="22"/>
        </w:rPr>
        <w:t xml:space="preserve"> </w:t>
      </w:r>
      <w:r w:rsidRPr="008B13A5">
        <w:rPr>
          <w:noProof/>
          <w:szCs w:val="22"/>
        </w:rPr>
        <w:t>integrated circuits, 25% for lighting applications (mostly LED technology) and the rest</w:t>
      </w:r>
      <w:r w:rsidR="00F274DD" w:rsidRPr="008B13A5">
        <w:rPr>
          <w:noProof/>
          <w:szCs w:val="22"/>
        </w:rPr>
        <w:t xml:space="preserve"> </w:t>
      </w:r>
      <w:r w:rsidRPr="008B13A5">
        <w:rPr>
          <w:noProof/>
          <w:szCs w:val="22"/>
        </w:rPr>
        <w:t>for</w:t>
      </w:r>
      <w:r w:rsidR="00F274DD" w:rsidRPr="008B13A5">
        <w:rPr>
          <w:noProof/>
          <w:szCs w:val="22"/>
        </w:rPr>
        <w:t xml:space="preserve"> </w:t>
      </w:r>
      <w:r w:rsidRPr="008B13A5">
        <w:rPr>
          <w:noProof/>
          <w:szCs w:val="22"/>
        </w:rPr>
        <w:t>photovoltaic technology.</w:t>
      </w:r>
      <w:r w:rsidR="00F274DD" w:rsidRPr="008B13A5">
        <w:rPr>
          <w:noProof/>
          <w:szCs w:val="22"/>
        </w:rPr>
        <w:t xml:space="preserve"> </w:t>
      </w:r>
      <w:r w:rsidRPr="008B13A5">
        <w:rPr>
          <w:noProof/>
          <w:szCs w:val="22"/>
        </w:rPr>
        <w:t>In the</w:t>
      </w:r>
      <w:r w:rsidR="00F274DD" w:rsidRPr="008B13A5">
        <w:rPr>
          <w:noProof/>
          <w:szCs w:val="22"/>
        </w:rPr>
        <w:t xml:space="preserve"> </w:t>
      </w:r>
      <w:r w:rsidRPr="008B13A5">
        <w:rPr>
          <w:noProof/>
          <w:szCs w:val="22"/>
        </w:rPr>
        <w:t>US</w:t>
      </w:r>
      <w:r w:rsidR="00F274DD" w:rsidRPr="008B13A5">
        <w:rPr>
          <w:noProof/>
          <w:szCs w:val="22"/>
        </w:rPr>
        <w:t xml:space="preserve"> </w:t>
      </w:r>
      <w:r w:rsidRPr="008B13A5">
        <w:rPr>
          <w:noProof/>
          <w:szCs w:val="22"/>
        </w:rPr>
        <w:t>the shares of Ga consumption are similar (74% for ICs, the rest for LEDs and specific solar</w:t>
      </w:r>
      <w:r w:rsidR="00F274DD" w:rsidRPr="008B13A5">
        <w:rPr>
          <w:noProof/>
          <w:szCs w:val="22"/>
        </w:rPr>
        <w:t xml:space="preserve"> </w:t>
      </w:r>
      <w:r w:rsidRPr="008B13A5">
        <w:rPr>
          <w:noProof/>
          <w:szCs w:val="22"/>
        </w:rPr>
        <w:t>cells).</w:t>
      </w:r>
      <w:r w:rsidR="00F274DD" w:rsidRPr="008B13A5">
        <w:rPr>
          <w:noProof/>
          <w:szCs w:val="22"/>
        </w:rPr>
        <w:t xml:space="preserve"> </w:t>
      </w:r>
      <w:r w:rsidRPr="008B13A5">
        <w:rPr>
          <w:noProof/>
          <w:szCs w:val="22"/>
        </w:rPr>
        <w:t xml:space="preserve">However, increasingly Gallium is also being used in power electronics. </w:t>
      </w:r>
    </w:p>
    <w:p w14:paraId="3D55A04E" w14:textId="313C4255" w:rsidR="002D364B" w:rsidRPr="008B13A5" w:rsidRDefault="002D364B" w:rsidP="002D364B">
      <w:pPr>
        <w:rPr>
          <w:noProof/>
          <w:szCs w:val="22"/>
        </w:rPr>
      </w:pPr>
      <w:r w:rsidRPr="008B13A5">
        <w:rPr>
          <w:noProof/>
          <w:szCs w:val="22"/>
        </w:rPr>
        <w:t>For</w:t>
      </w:r>
      <w:r w:rsidR="00F274DD" w:rsidRPr="008B13A5">
        <w:rPr>
          <w:noProof/>
          <w:szCs w:val="22"/>
        </w:rPr>
        <w:t xml:space="preserve"> </w:t>
      </w:r>
      <w:r w:rsidRPr="008B13A5">
        <w:rPr>
          <w:b/>
          <w:noProof/>
          <w:szCs w:val="22"/>
        </w:rPr>
        <w:t>Germanium (Ge)</w:t>
      </w:r>
      <w:r w:rsidR="00F274DD" w:rsidRPr="008B13A5">
        <w:rPr>
          <w:b/>
          <w:noProof/>
          <w:szCs w:val="22"/>
        </w:rPr>
        <w:t xml:space="preserve"> </w:t>
      </w:r>
      <w:r w:rsidRPr="008B13A5">
        <w:rPr>
          <w:noProof/>
          <w:szCs w:val="22"/>
        </w:rPr>
        <w:t>the main producer is</w:t>
      </w:r>
      <w:r w:rsidR="00F274DD" w:rsidRPr="008B13A5">
        <w:rPr>
          <w:noProof/>
          <w:szCs w:val="22"/>
        </w:rPr>
        <w:t xml:space="preserve"> </w:t>
      </w:r>
      <w:r w:rsidRPr="008B13A5">
        <w:rPr>
          <w:noProof/>
          <w:szCs w:val="22"/>
        </w:rPr>
        <w:t>China with 79%</w:t>
      </w:r>
      <w:r w:rsidR="005D21B2" w:rsidRPr="008B13A5">
        <w:rPr>
          <w:noProof/>
          <w:szCs w:val="22"/>
        </w:rPr>
        <w:t xml:space="preserve"> of world production</w:t>
      </w:r>
      <w:r w:rsidRPr="008B13A5">
        <w:rPr>
          <w:noProof/>
          <w:szCs w:val="22"/>
        </w:rPr>
        <w:t xml:space="preserve"> followed by United States (16%) and United Kingdom (3%).</w:t>
      </w:r>
      <w:r w:rsidR="00F274DD" w:rsidRPr="008B13A5">
        <w:rPr>
          <w:noProof/>
          <w:szCs w:val="22"/>
        </w:rPr>
        <w:t xml:space="preserve"> </w:t>
      </w:r>
      <w:r w:rsidRPr="008B13A5">
        <w:rPr>
          <w:noProof/>
          <w:szCs w:val="22"/>
        </w:rPr>
        <w:t>The main uses of Germanium in the EU are infrared optics 52%, optical fibres 23% and satellite solar cells 12%.</w:t>
      </w:r>
      <w:r w:rsidR="00F274DD" w:rsidRPr="008B13A5">
        <w:rPr>
          <w:noProof/>
          <w:szCs w:val="22"/>
        </w:rPr>
        <w:t xml:space="preserve"> </w:t>
      </w:r>
      <w:r w:rsidRPr="008B13A5">
        <w:rPr>
          <w:noProof/>
          <w:szCs w:val="22"/>
        </w:rPr>
        <w:t>Ge supply</w:t>
      </w:r>
      <w:r w:rsidR="00F274DD" w:rsidRPr="008B13A5">
        <w:rPr>
          <w:noProof/>
          <w:szCs w:val="22"/>
        </w:rPr>
        <w:t xml:space="preserve"> </w:t>
      </w:r>
      <w:r w:rsidRPr="008B13A5">
        <w:rPr>
          <w:noProof/>
          <w:szCs w:val="22"/>
        </w:rPr>
        <w:t>appears to be less</w:t>
      </w:r>
      <w:r w:rsidR="00F274DD" w:rsidRPr="008B13A5">
        <w:rPr>
          <w:noProof/>
          <w:szCs w:val="22"/>
        </w:rPr>
        <w:t xml:space="preserve"> </w:t>
      </w:r>
      <w:r w:rsidRPr="008B13A5">
        <w:rPr>
          <w:noProof/>
          <w:szCs w:val="22"/>
        </w:rPr>
        <w:t>of an issue</w:t>
      </w:r>
      <w:r w:rsidR="00F274DD" w:rsidRPr="008B13A5">
        <w:rPr>
          <w:noProof/>
          <w:szCs w:val="22"/>
        </w:rPr>
        <w:t xml:space="preserve"> </w:t>
      </w:r>
      <w:r w:rsidRPr="008B13A5">
        <w:rPr>
          <w:noProof/>
          <w:szCs w:val="22"/>
        </w:rPr>
        <w:t>as diversification of sources is simpler compared to Gallium.</w:t>
      </w:r>
      <w:r w:rsidR="00F274DD" w:rsidRPr="008B13A5">
        <w:rPr>
          <w:noProof/>
          <w:szCs w:val="22"/>
        </w:rPr>
        <w:t xml:space="preserve"> </w:t>
      </w:r>
    </w:p>
    <w:p w14:paraId="18F3B844" w14:textId="4AF5764E" w:rsidR="002D364B" w:rsidRPr="008B13A5" w:rsidRDefault="002D364B" w:rsidP="002D364B">
      <w:pPr>
        <w:rPr>
          <w:noProof/>
          <w:szCs w:val="22"/>
        </w:rPr>
      </w:pPr>
      <w:r w:rsidRPr="008B13A5">
        <w:rPr>
          <w:noProof/>
          <w:szCs w:val="22"/>
        </w:rPr>
        <w:t xml:space="preserve">Gallium is used in the industry mainly to make </w:t>
      </w:r>
      <w:r w:rsidRPr="008B13A5">
        <w:rPr>
          <w:b/>
          <w:noProof/>
          <w:szCs w:val="22"/>
        </w:rPr>
        <w:t>compound semiconductors</w:t>
      </w:r>
      <w:r w:rsidR="00DC2CD6" w:rsidRPr="008B13A5">
        <w:rPr>
          <w:b/>
          <w:noProof/>
          <w:szCs w:val="22"/>
        </w:rPr>
        <w:t>,</w:t>
      </w:r>
      <w:r w:rsidRPr="008B13A5">
        <w:rPr>
          <w:noProof/>
          <w:szCs w:val="22"/>
        </w:rPr>
        <w:t xml:space="preserve"> </w:t>
      </w:r>
      <w:r w:rsidR="00DC2CD6" w:rsidRPr="008B13A5">
        <w:rPr>
          <w:noProof/>
          <w:szCs w:val="22"/>
        </w:rPr>
        <w:t>crucial for</w:t>
      </w:r>
      <w:r w:rsidRPr="008B13A5">
        <w:rPr>
          <w:noProof/>
          <w:szCs w:val="22"/>
        </w:rPr>
        <w:t xml:space="preserve"> RF, power and optoelectronics. </w:t>
      </w:r>
      <w:r w:rsidRPr="008B13A5">
        <w:rPr>
          <w:rFonts w:eastAsia="Calibri"/>
          <w:noProof/>
          <w:szCs w:val="22"/>
        </w:rPr>
        <w:t>Gallium Arsenide (GaAs) and Indium Gallium Arsenide (InGaAs) are some of the most widely used and researched III-V compound semiconductors</w:t>
      </w:r>
      <w:r w:rsidRPr="008B13A5">
        <w:rPr>
          <w:noProof/>
          <w:szCs w:val="22"/>
        </w:rPr>
        <w:t xml:space="preserve">. For example, </w:t>
      </w:r>
      <w:r w:rsidRPr="008B13A5">
        <w:rPr>
          <w:b/>
          <w:noProof/>
          <w:szCs w:val="22"/>
        </w:rPr>
        <w:t xml:space="preserve">Gallium arsenide (GaAs) </w:t>
      </w:r>
      <w:r w:rsidRPr="008B13A5">
        <w:rPr>
          <w:noProof/>
          <w:szCs w:val="22"/>
        </w:rPr>
        <w:t xml:space="preserve">is used for </w:t>
      </w:r>
      <w:r w:rsidRPr="008B13A5">
        <w:rPr>
          <w:b/>
          <w:noProof/>
          <w:szCs w:val="22"/>
        </w:rPr>
        <w:t>high-frequency RF chips</w:t>
      </w:r>
      <w:r w:rsidRPr="008B13A5">
        <w:rPr>
          <w:noProof/>
          <w:szCs w:val="22"/>
        </w:rPr>
        <w:t xml:space="preserve">, especially power amplifiers and low-noise components in wireless communications. </w:t>
      </w:r>
      <w:r w:rsidRPr="008B13A5">
        <w:rPr>
          <w:b/>
          <w:noProof/>
          <w:szCs w:val="22"/>
        </w:rPr>
        <w:t>Gallium nitride (GaN)</w:t>
      </w:r>
      <w:r w:rsidRPr="008B13A5">
        <w:rPr>
          <w:noProof/>
          <w:szCs w:val="22"/>
        </w:rPr>
        <w:t xml:space="preserve"> is used for </w:t>
      </w:r>
      <w:r w:rsidRPr="008B13A5">
        <w:rPr>
          <w:b/>
          <w:noProof/>
          <w:szCs w:val="22"/>
        </w:rPr>
        <w:t>high-power and high-voltage devices</w:t>
      </w:r>
      <w:r w:rsidRPr="008B13A5">
        <w:rPr>
          <w:noProof/>
          <w:szCs w:val="22"/>
        </w:rPr>
        <w:t xml:space="preserve">, including power conversion (e.g., chargers, data-centre power supplies) and RF power devices (e.g., telecom infrastructure). Importantly, </w:t>
      </w:r>
      <w:r w:rsidRPr="008B13A5">
        <w:rPr>
          <w:b/>
          <w:noProof/>
          <w:szCs w:val="22"/>
        </w:rPr>
        <w:t>GaN</w:t>
      </w:r>
      <w:r w:rsidRPr="008B13A5">
        <w:rPr>
          <w:noProof/>
          <w:szCs w:val="22"/>
        </w:rPr>
        <w:t xml:space="preserve"> is </w:t>
      </w:r>
      <w:r w:rsidR="00873AEF" w:rsidRPr="008B13A5">
        <w:rPr>
          <w:noProof/>
          <w:szCs w:val="22"/>
        </w:rPr>
        <w:t>a potential substitute for</w:t>
      </w:r>
      <w:r w:rsidRPr="008B13A5">
        <w:rPr>
          <w:noProof/>
          <w:szCs w:val="22"/>
        </w:rPr>
        <w:t xml:space="preserve"> </w:t>
      </w:r>
      <w:r w:rsidRPr="008B13A5">
        <w:rPr>
          <w:b/>
          <w:noProof/>
          <w:szCs w:val="22"/>
        </w:rPr>
        <w:t>Silicon Carbide (SiC</w:t>
      </w:r>
      <w:r w:rsidRPr="008B13A5">
        <w:rPr>
          <w:noProof/>
          <w:szCs w:val="22"/>
        </w:rPr>
        <w:t xml:space="preserve">) </w:t>
      </w:r>
      <w:r w:rsidR="00873AEF" w:rsidRPr="008B13A5">
        <w:rPr>
          <w:noProof/>
          <w:szCs w:val="22"/>
        </w:rPr>
        <w:t>in</w:t>
      </w:r>
      <w:r w:rsidRPr="008B13A5" w:rsidDel="00873AEF">
        <w:rPr>
          <w:noProof/>
          <w:szCs w:val="22"/>
        </w:rPr>
        <w:t xml:space="preserve"> </w:t>
      </w:r>
      <w:r w:rsidR="00873AEF" w:rsidRPr="008B13A5">
        <w:rPr>
          <w:noProof/>
          <w:szCs w:val="22"/>
        </w:rPr>
        <w:t xml:space="preserve">next </w:t>
      </w:r>
      <w:r w:rsidRPr="008B13A5">
        <w:rPr>
          <w:noProof/>
          <w:szCs w:val="22"/>
        </w:rPr>
        <w:t xml:space="preserve">generation power devices. </w:t>
      </w:r>
      <w:r w:rsidRPr="008B13A5">
        <w:rPr>
          <w:b/>
          <w:noProof/>
          <w:szCs w:val="22"/>
        </w:rPr>
        <w:t xml:space="preserve">Gallium-based optoelectronics </w:t>
      </w:r>
      <w:r w:rsidRPr="008B13A5">
        <w:rPr>
          <w:noProof/>
          <w:szCs w:val="22"/>
        </w:rPr>
        <w:t xml:space="preserve">is used in </w:t>
      </w:r>
      <w:r w:rsidRPr="008B13A5">
        <w:rPr>
          <w:b/>
          <w:noProof/>
          <w:szCs w:val="22"/>
        </w:rPr>
        <w:t>LEDs and laser diodes</w:t>
      </w:r>
      <w:r w:rsidRPr="008B13A5">
        <w:rPr>
          <w:noProof/>
          <w:szCs w:val="22"/>
        </w:rPr>
        <w:t xml:space="preserve">, </w:t>
      </w:r>
      <w:r w:rsidR="001C5110" w:rsidRPr="008B13A5">
        <w:rPr>
          <w:noProof/>
          <w:szCs w:val="22"/>
        </w:rPr>
        <w:t xml:space="preserve">since </w:t>
      </w:r>
      <w:r w:rsidRPr="008B13A5">
        <w:rPr>
          <w:noProof/>
          <w:szCs w:val="22"/>
        </w:rPr>
        <w:t>these materials emit light efficiently.</w:t>
      </w:r>
    </w:p>
    <w:p w14:paraId="58F0B9B4" w14:textId="19A6BE8B" w:rsidR="00297DCF" w:rsidRPr="00BD008E" w:rsidRDefault="002D364B" w:rsidP="002D364B">
      <w:pPr>
        <w:rPr>
          <w:noProof/>
          <w:szCs w:val="22"/>
        </w:rPr>
      </w:pPr>
      <w:r w:rsidRPr="008B13A5">
        <w:rPr>
          <w:noProof/>
          <w:szCs w:val="22"/>
        </w:rPr>
        <w:t xml:space="preserve">Germanium is used in semiconductors mainly in three areas. For example, </w:t>
      </w:r>
      <w:r w:rsidRPr="008B13A5">
        <w:rPr>
          <w:b/>
          <w:noProof/>
          <w:szCs w:val="22"/>
        </w:rPr>
        <w:t xml:space="preserve">SiGe (silicon–germanium) chips </w:t>
      </w:r>
      <w:r w:rsidRPr="008B13A5">
        <w:rPr>
          <w:noProof/>
          <w:szCs w:val="22"/>
        </w:rPr>
        <w:t xml:space="preserve">are widely used for </w:t>
      </w:r>
      <w:r w:rsidRPr="008B13A5">
        <w:rPr>
          <w:b/>
          <w:noProof/>
          <w:szCs w:val="22"/>
        </w:rPr>
        <w:t>high-frequency analogue/RF</w:t>
      </w:r>
      <w:r w:rsidRPr="008B13A5">
        <w:rPr>
          <w:noProof/>
          <w:szCs w:val="22"/>
        </w:rPr>
        <w:t xml:space="preserve"> (e.g., telecoms, radar, automotive sensing) </w:t>
      </w:r>
      <w:r w:rsidR="0095694D" w:rsidRPr="008B13A5">
        <w:rPr>
          <w:noProof/>
          <w:szCs w:val="22"/>
        </w:rPr>
        <w:t xml:space="preserve">since </w:t>
      </w:r>
      <w:r w:rsidRPr="008B13A5">
        <w:rPr>
          <w:noProof/>
          <w:szCs w:val="22"/>
        </w:rPr>
        <w:t xml:space="preserve">it improves transistor performance. Germanium is </w:t>
      </w:r>
      <w:r w:rsidR="0095694D" w:rsidRPr="008B13A5">
        <w:rPr>
          <w:noProof/>
          <w:szCs w:val="22"/>
        </w:rPr>
        <w:t xml:space="preserve">also </w:t>
      </w:r>
      <w:r w:rsidRPr="008B13A5">
        <w:rPr>
          <w:noProof/>
          <w:szCs w:val="22"/>
        </w:rPr>
        <w:t xml:space="preserve">crucial for </w:t>
      </w:r>
      <w:r w:rsidRPr="008B13A5">
        <w:rPr>
          <w:b/>
          <w:noProof/>
          <w:szCs w:val="22"/>
        </w:rPr>
        <w:t xml:space="preserve">silicon photonics </w:t>
      </w:r>
      <w:r w:rsidRPr="008B13A5">
        <w:rPr>
          <w:noProof/>
          <w:szCs w:val="22"/>
        </w:rPr>
        <w:t xml:space="preserve">and is used for </w:t>
      </w:r>
      <w:r w:rsidRPr="008B13A5">
        <w:rPr>
          <w:b/>
          <w:noProof/>
          <w:szCs w:val="22"/>
        </w:rPr>
        <w:t>on-chip photodetectors</w:t>
      </w:r>
      <w:r w:rsidRPr="008B13A5">
        <w:rPr>
          <w:noProof/>
          <w:szCs w:val="22"/>
        </w:rPr>
        <w:t xml:space="preserve"> for fibre-optic wavelengths.</w:t>
      </w:r>
      <w:r w:rsidRPr="008B13A5">
        <w:rPr>
          <w:rFonts w:eastAsia="Calibri"/>
          <w:noProof/>
          <w:szCs w:val="22"/>
        </w:rPr>
        <w:t xml:space="preserve"> Additionally, this compound has been used as growth material for transistors contacts </w:t>
      </w:r>
      <w:r w:rsidR="00E46B3C" w:rsidRPr="008B13A5">
        <w:rPr>
          <w:rFonts w:eastAsia="Calibri"/>
          <w:noProof/>
          <w:szCs w:val="22"/>
        </w:rPr>
        <w:t xml:space="preserve">since </w:t>
      </w:r>
      <w:r w:rsidRPr="008B13A5">
        <w:rPr>
          <w:rFonts w:eastAsia="Calibri"/>
          <w:noProof/>
          <w:szCs w:val="22"/>
        </w:rPr>
        <w:t>at least the 28nm technology node and as channel material for the 5nm node</w:t>
      </w:r>
      <w:r w:rsidR="00F274DD" w:rsidRPr="008B13A5">
        <w:rPr>
          <w:rFonts w:eastAsia="Calibri"/>
          <w:noProof/>
          <w:szCs w:val="22"/>
        </w:rPr>
        <w:t xml:space="preserve"> </w:t>
      </w:r>
      <w:r w:rsidRPr="008B13A5">
        <w:rPr>
          <w:rFonts w:eastAsia="Calibri"/>
          <w:noProof/>
          <w:szCs w:val="22"/>
        </w:rPr>
        <w:t>(</w:t>
      </w:r>
      <w:r w:rsidRPr="008B13A5">
        <w:rPr>
          <w:noProof/>
          <w:szCs w:val="22"/>
          <w:vertAlign w:val="superscript"/>
        </w:rPr>
        <w:footnoteReference w:id="38"/>
      </w:r>
      <w:r w:rsidRPr="008B13A5">
        <w:rPr>
          <w:rFonts w:eastAsia="Calibri"/>
          <w:noProof/>
          <w:szCs w:val="22"/>
        </w:rPr>
        <w:t>), making it a strategically critical element in leading edge technologies.</w:t>
      </w:r>
      <w:r w:rsidR="00D87B01" w:rsidRPr="008B13A5">
        <w:rPr>
          <w:rFonts w:eastAsia="Calibri"/>
          <w:noProof/>
          <w:szCs w:val="22"/>
        </w:rPr>
        <w:t xml:space="preserve"> </w:t>
      </w:r>
      <w:r w:rsidRPr="00BD008E">
        <w:rPr>
          <w:noProof/>
          <w:szCs w:val="22"/>
        </w:rPr>
        <w:t>Europe’s Umicore is a large player in both Germanium and Gallium refining and recycling.</w:t>
      </w:r>
    </w:p>
    <w:p w14:paraId="252C82F4" w14:textId="77777777" w:rsidR="00297DCF" w:rsidRPr="00BD008E" w:rsidRDefault="00297DCF">
      <w:pPr>
        <w:spacing w:after="200" w:line="276" w:lineRule="auto"/>
        <w:jc w:val="left"/>
        <w:rPr>
          <w:noProof/>
          <w:szCs w:val="22"/>
        </w:rPr>
      </w:pPr>
      <w:r w:rsidRPr="00BD008E">
        <w:rPr>
          <w:noProof/>
          <w:szCs w:val="22"/>
        </w:rPr>
        <w:br w:type="page"/>
      </w:r>
    </w:p>
    <w:p w14:paraId="261126A7" w14:textId="633E0B6D" w:rsidR="002D364B" w:rsidRPr="008B13A5" w:rsidRDefault="002D364B" w:rsidP="002D364B">
      <w:pPr>
        <w:keepLines/>
        <w:jc w:val="left"/>
        <w:rPr>
          <w:b/>
          <w:bCs/>
          <w:noProof/>
          <w:szCs w:val="22"/>
        </w:rPr>
      </w:pPr>
      <w:bookmarkStart w:id="160" w:name="_Ref229394743"/>
      <w:r w:rsidRPr="008B13A5">
        <w:rPr>
          <w:b/>
          <w:bCs/>
          <w:noProof/>
          <w:szCs w:val="22"/>
        </w:rPr>
        <w:t>Figure 18</w:t>
      </w:r>
      <w:bookmarkEnd w:id="160"/>
      <w:r w:rsidRPr="008B13A5">
        <w:rPr>
          <w:b/>
          <w:bCs/>
          <w:noProof/>
          <w:szCs w:val="22"/>
        </w:rPr>
        <w:fldChar w:fldCharType="begin"/>
      </w:r>
      <w:r w:rsidRPr="008B13A5">
        <w:rPr>
          <w:b/>
          <w:bCs/>
          <w:noProof/>
          <w:szCs w:val="22"/>
        </w:rPr>
        <w:instrText xml:space="preserve"> SEQ Figure \* ARABIC </w:instrText>
      </w:r>
      <w:r w:rsidRPr="008B13A5">
        <w:rPr>
          <w:b/>
          <w:bCs/>
          <w:noProof/>
          <w:szCs w:val="22"/>
        </w:rPr>
        <w:fldChar w:fldCharType="end"/>
      </w:r>
      <w:r w:rsidRPr="008B13A5">
        <w:rPr>
          <w:b/>
          <w:bCs/>
          <w:noProof/>
          <w:szCs w:val="22"/>
        </w:rPr>
        <w:t>. Critical raw materials in the semiconduc</w:t>
      </w:r>
      <w:r w:rsidR="00D25B19" w:rsidRPr="008B13A5">
        <w:rPr>
          <w:b/>
          <w:bCs/>
          <w:noProof/>
          <w:szCs w:val="22"/>
        </w:rPr>
        <w:t>t</w:t>
      </w:r>
      <w:r w:rsidRPr="008B13A5">
        <w:rPr>
          <w:b/>
          <w:bCs/>
          <w:noProof/>
          <w:szCs w:val="22"/>
        </w:rPr>
        <w:t xml:space="preserve">or industry. </w:t>
      </w:r>
      <w:r w:rsidRPr="008B13A5">
        <w:rPr>
          <w:i/>
          <w:iCs/>
          <w:noProof/>
          <w:szCs w:val="22"/>
        </w:rPr>
        <w:t>Source: McKinsey</w:t>
      </w:r>
    </w:p>
    <w:p w14:paraId="7B049C99" w14:textId="77777777" w:rsidR="002D364B" w:rsidRPr="008B13A5" w:rsidRDefault="0029590C" w:rsidP="002D364B">
      <w:pPr>
        <w:keepLines/>
        <w:rPr>
          <w:noProof/>
          <w:szCs w:val="22"/>
        </w:rPr>
      </w:pPr>
      <w:r>
        <w:rPr>
          <w:noProof/>
        </w:rPr>
        <w:pict w14:anchorId="7A1493E6">
          <v:rect id="Rectangle 1" o:spid="_x0000_s2052" style="position:absolute;left:0;text-align:left;margin-left:1954.8pt;margin-top:159.1pt;width:123.6pt;height:41.45pt;z-index:251658240;visibility:visible;mso-position-horizontal:righ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lEhfAIAAF8FAAAOAAAAZHJzL2Uyb0RvYy54bWysVE1v2zAMvQ/YfxB0X/2xJluDOkXQIsOA&#10;oivWDj0rspQYkEWNUuJkv36U7DhdW+wwLAdFEslH8vlRl1f71rCdQt+ArXhxlnOmrIS6seuK/3hc&#10;fvjMmQ/C1sKAVRU/KM+v5u/fXXZupkrYgKkVMgKxfta5im9CcLMs83KjWuHPwClLRg3YikBHXGc1&#10;io7QW5OVeT7NOsDaIUjlPd3e9EY+T/haKxm+ae1VYKbiVFtIK6Z1FddsfilmaxRu08ihDPEPVbSi&#10;sZR0hLoRQbAtNq+g2kYieNDhTEKbgdaNVKkH6qbIX3TzsBFOpV6IHO9Gmvz/g5V3uwd3j0RD5/zM&#10;0zZ2sdfYxn+qj+0TWYeRLLUPTNJlMZleXHyccibJNimnZVFGNrNTtEMfvihoWdxUHOljJI7E7taH&#10;3vXoEpN5ME29bIxJB1yvrg2ynaAPt0y/Af0PN2Ojs4UY1iPGm+zUS9qFg1HRz9jvSrOmpurLVEmS&#10;mRrzCCmVDUVv2oha9emLSZ4npVBvY0TqNAFGZE35R+wBIEr4NXZf5eAfQ1VS6Ric/62wPniMSJnB&#10;hjG4bSzgWwCGuhoy9/5HknpqIksrqA/3yBD6GfFOLhv6brfCh3uBNBQ0PjTo4Rst2kBXcRh2nG0A&#10;f711H/1Jq2TlrKMhq7j/uRWoODNfLan4ojg/j1OZDueTTyUd8Lll9dxit+01kBwKelKcTNvoH8xx&#10;qxHaJ3oPFjErmYSVlLviMuDxcB364acXRarFIrnRJDoRbu2DkxE8shp1+bh/EugG8QaS/R0cB1LM&#10;Xmi4942RFhbbALpJAj/xOvBNU5yEM7w48Zl4fk5ep3dx/hsAAP//AwBQSwMEFAAGAAgAAAAhADaQ&#10;3vTbAAAACAEAAA8AAABkcnMvZG93bnJldi54bWxMj8FOwzAQRO9I/QdrkbhRO2lEq5BNVZAQZ9qq&#10;ZyfeJlHjdWS7bfh7zAlus5rVzJtqO9tR3MiHwTFCtlQgiFtnBu4QjoeP5w2IEDUbPTomhG8KsK0X&#10;D5UujbvzF932sRMphEOpEfoYp1LK0PZkdVi6iTh5Z+etjun0nTRe31O4HWWu1Iu0euDU0OuJ3ntq&#10;L/urRZDxky6HOT/xShW6efPn42mSiE+P8+4VRKQ5/j3DL35ChzoxNe7KJogRIQ2JCKtsk4NIdl6s&#10;k2gQCpVlIOtK/h9Q/wAAAP//AwBQSwECLQAUAAYACAAAACEAtoM4kv4AAADhAQAAEwAAAAAAAAAA&#10;AAAAAAAAAAAAW0NvbnRlbnRfVHlwZXNdLnhtbFBLAQItABQABgAIAAAAIQA4/SH/1gAAAJQBAAAL&#10;AAAAAAAAAAAAAAAAAC8BAABfcmVscy8ucmVsc1BLAQItABQABgAIAAAAIQDFZlEhfAIAAF8FAAAO&#10;AAAAAAAAAAAAAAAAAC4CAABkcnMvZTJvRG9jLnhtbFBLAQItABQABgAIAAAAIQA2kN702wAAAAgB&#10;AAAPAAAAAAAAAAAAAAAAANYEAABkcnMvZG93bnJldi54bWxQSwUGAAAAAAQABADzAAAA3gUAAAAA&#10;" stroked="f" strokeweight="2pt">
            <w10:wrap anchorx="margin"/>
          </v:rect>
        </w:pict>
      </w:r>
      <w:r w:rsidR="002D364B" w:rsidRPr="008B13A5">
        <w:rPr>
          <w:noProof/>
          <w:szCs w:val="22"/>
          <w:lang w:eastAsia="en-GB"/>
        </w:rPr>
        <w:drawing>
          <wp:inline distT="0" distB="0" distL="0" distR="0" wp14:anchorId="2344FCD6" wp14:editId="28A46348">
            <wp:extent cx="5943600" cy="2569210"/>
            <wp:effectExtent l="0" t="0" r="0" b="2540"/>
            <wp:docPr id="77684011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840119" name="Picture 1" descr="A screenshot of a computer&#10;&#10;AI-generated content may be incorrect."/>
                    <pic:cNvPicPr/>
                  </pic:nvPicPr>
                  <pic:blipFill>
                    <a:blip r:embed="rId46"/>
                    <a:stretch>
                      <a:fillRect/>
                    </a:stretch>
                  </pic:blipFill>
                  <pic:spPr>
                    <a:xfrm>
                      <a:off x="0" y="0"/>
                      <a:ext cx="5943600" cy="2569210"/>
                    </a:xfrm>
                    <a:prstGeom prst="rect">
                      <a:avLst/>
                    </a:prstGeom>
                  </pic:spPr>
                </pic:pic>
              </a:graphicData>
            </a:graphic>
          </wp:inline>
        </w:drawing>
      </w:r>
    </w:p>
    <w:p w14:paraId="7AF881CE" w14:textId="60C2DA48" w:rsidR="002D364B" w:rsidRPr="008B13A5" w:rsidRDefault="002D364B" w:rsidP="002D364B">
      <w:pPr>
        <w:keepLines/>
        <w:rPr>
          <w:noProof/>
          <w:szCs w:val="22"/>
        </w:rPr>
      </w:pPr>
      <w:r w:rsidRPr="008B13A5">
        <w:rPr>
          <w:noProof/>
          <w:szCs w:val="22"/>
        </w:rPr>
        <w:t>The examples of gallium and germanium are crucial since</w:t>
      </w:r>
      <w:r w:rsidR="00231D73">
        <w:rPr>
          <w:noProof/>
          <w:szCs w:val="22"/>
        </w:rPr>
        <w:t xml:space="preserve"> </w:t>
      </w:r>
      <w:r w:rsidRPr="008B13A5">
        <w:rPr>
          <w:noProof/>
          <w:szCs w:val="22"/>
        </w:rPr>
        <w:t>Chinese dominance over th</w:t>
      </w:r>
      <w:r w:rsidR="00C333E6">
        <w:rPr>
          <w:noProof/>
          <w:szCs w:val="22"/>
        </w:rPr>
        <w:t>e</w:t>
      </w:r>
      <w:r w:rsidRPr="008B13A5">
        <w:rPr>
          <w:noProof/>
          <w:szCs w:val="22"/>
        </w:rPr>
        <w:t>s</w:t>
      </w:r>
      <w:r w:rsidR="00C333E6">
        <w:rPr>
          <w:noProof/>
          <w:szCs w:val="22"/>
        </w:rPr>
        <w:t>e</w:t>
      </w:r>
      <w:r w:rsidRPr="008B13A5">
        <w:rPr>
          <w:noProof/>
          <w:szCs w:val="22"/>
        </w:rPr>
        <w:t xml:space="preserve"> material</w:t>
      </w:r>
      <w:r w:rsidR="00C333E6">
        <w:rPr>
          <w:noProof/>
          <w:szCs w:val="22"/>
        </w:rPr>
        <w:t xml:space="preserve">s </w:t>
      </w:r>
      <w:r w:rsidRPr="008B13A5">
        <w:rPr>
          <w:noProof/>
          <w:szCs w:val="22"/>
        </w:rPr>
        <w:t>ha</w:t>
      </w:r>
      <w:r w:rsidR="00C333E6">
        <w:rPr>
          <w:noProof/>
          <w:szCs w:val="22"/>
        </w:rPr>
        <w:t>ve</w:t>
      </w:r>
      <w:r w:rsidRPr="008B13A5">
        <w:rPr>
          <w:noProof/>
          <w:szCs w:val="22"/>
        </w:rPr>
        <w:t xml:space="preserve"> resulted in the introduction of export controls on gallium and germanium (and related compounds) from 1 August 2023,</w:t>
      </w:r>
      <w:r w:rsidR="00F274DD" w:rsidRPr="008B13A5">
        <w:rPr>
          <w:noProof/>
          <w:szCs w:val="22"/>
        </w:rPr>
        <w:t xml:space="preserve"> </w:t>
      </w:r>
      <w:r w:rsidRPr="008B13A5">
        <w:rPr>
          <w:noProof/>
          <w:szCs w:val="22"/>
        </w:rPr>
        <w:t>(</w:t>
      </w:r>
      <w:r w:rsidRPr="008B13A5">
        <w:rPr>
          <w:noProof/>
          <w:szCs w:val="22"/>
          <w:vertAlign w:val="superscript"/>
        </w:rPr>
        <w:footnoteReference w:id="39"/>
      </w:r>
      <w:r w:rsidRPr="008B13A5">
        <w:rPr>
          <w:noProof/>
          <w:szCs w:val="22"/>
        </w:rPr>
        <w:t>) requiring exporters to obtain licences. The measure is widely understood</w:t>
      </w:r>
      <w:r w:rsidRPr="008B13A5" w:rsidDel="0018612B">
        <w:rPr>
          <w:noProof/>
          <w:szCs w:val="22"/>
        </w:rPr>
        <w:t xml:space="preserve"> </w:t>
      </w:r>
      <w:r w:rsidR="0018612B" w:rsidRPr="008B13A5">
        <w:rPr>
          <w:noProof/>
          <w:szCs w:val="22"/>
        </w:rPr>
        <w:t xml:space="preserve">to be </w:t>
      </w:r>
      <w:r w:rsidRPr="008B13A5">
        <w:rPr>
          <w:noProof/>
          <w:szCs w:val="22"/>
        </w:rPr>
        <w:t>part of ongoing geopolitical rivalries and trade confrontation and is viewed as a response to the tightening of restrictions on China’s access to advanced semiconductor manufacturing equipment and know-how, including lithography-related controls. These export controls have resulted in prices for these raw materials to increase by around 20%.</w:t>
      </w:r>
      <w:r w:rsidR="00F274DD" w:rsidRPr="008B13A5">
        <w:rPr>
          <w:noProof/>
          <w:szCs w:val="22"/>
        </w:rPr>
        <w:t xml:space="preserve"> </w:t>
      </w:r>
      <w:r w:rsidRPr="008B13A5">
        <w:rPr>
          <w:noProof/>
          <w:szCs w:val="22"/>
        </w:rPr>
        <w:t>(</w:t>
      </w:r>
      <w:r w:rsidRPr="008B13A5">
        <w:rPr>
          <w:noProof/>
          <w:szCs w:val="22"/>
          <w:vertAlign w:val="superscript"/>
        </w:rPr>
        <w:footnoteReference w:id="40"/>
      </w:r>
      <w:r w:rsidRPr="008B13A5">
        <w:rPr>
          <w:noProof/>
          <w:szCs w:val="22"/>
        </w:rPr>
        <w:t xml:space="preserve">)  </w:t>
      </w:r>
    </w:p>
    <w:p w14:paraId="2A98AF27" w14:textId="36F889C6" w:rsidR="002D364B" w:rsidRPr="008B13A5" w:rsidRDefault="002D364B" w:rsidP="00BD008E">
      <w:pPr>
        <w:pStyle w:val="Heading4"/>
        <w:numPr>
          <w:ilvl w:val="4"/>
          <w:numId w:val="5"/>
        </w:numPr>
        <w:rPr>
          <w:noProof/>
        </w:rPr>
      </w:pPr>
      <w:bookmarkStart w:id="161" w:name="_Toc230010416"/>
      <w:r w:rsidRPr="008B13A5">
        <w:rPr>
          <w:noProof/>
        </w:rPr>
        <w:t>Compound semiconductor Substrates/Epiwafers</w:t>
      </w:r>
      <w:bookmarkEnd w:id="161"/>
    </w:p>
    <w:p w14:paraId="3E8433A0" w14:textId="155019DF" w:rsidR="002D364B" w:rsidRPr="008B13A5" w:rsidRDefault="002D364B" w:rsidP="002D364B">
      <w:pPr>
        <w:rPr>
          <w:noProof/>
          <w:szCs w:val="22"/>
        </w:rPr>
      </w:pPr>
      <w:r w:rsidRPr="008B13A5">
        <w:rPr>
          <w:noProof/>
          <w:szCs w:val="22"/>
        </w:rPr>
        <w:t xml:space="preserve">The compound semiconductor substrate supply chain is </w:t>
      </w:r>
      <w:r w:rsidRPr="008B13A5">
        <w:rPr>
          <w:b/>
          <w:noProof/>
          <w:szCs w:val="22"/>
        </w:rPr>
        <w:t>highly concentrated and regionally segmented</w:t>
      </w:r>
      <w:r w:rsidRPr="008B13A5">
        <w:rPr>
          <w:noProof/>
          <w:szCs w:val="22"/>
        </w:rPr>
        <w:t xml:space="preserve">, with leading players clustered in a small number of countries and individual firms specialising by material type. </w:t>
      </w:r>
    </w:p>
    <w:p w14:paraId="70BD4D66" w14:textId="396BFAA3" w:rsidR="002D364B" w:rsidRPr="008B13A5" w:rsidRDefault="002D364B" w:rsidP="002D364B">
      <w:pPr>
        <w:rPr>
          <w:noProof/>
          <w:szCs w:val="22"/>
        </w:rPr>
      </w:pPr>
      <w:r w:rsidRPr="008B13A5">
        <w:rPr>
          <w:noProof/>
          <w:szCs w:val="22"/>
        </w:rPr>
        <w:t xml:space="preserve">The Yole Intelligence mapping of leading players worldwide in compound semiconductor substrates highlights that </w:t>
      </w:r>
      <w:r w:rsidRPr="008B13A5">
        <w:rPr>
          <w:b/>
          <w:noProof/>
          <w:szCs w:val="22"/>
        </w:rPr>
        <w:t>Europe’s visible footprint in substrates is relatively narrow</w:t>
      </w:r>
      <w:r w:rsidRPr="008B13A5">
        <w:rPr>
          <w:noProof/>
          <w:szCs w:val="22"/>
        </w:rPr>
        <w:t xml:space="preserve">, with </w:t>
      </w:r>
      <w:r w:rsidRPr="008B13A5">
        <w:rPr>
          <w:b/>
          <w:noProof/>
          <w:szCs w:val="22"/>
        </w:rPr>
        <w:t>Freiberger Compound Materials (EU)</w:t>
      </w:r>
      <w:r w:rsidRPr="008B13A5">
        <w:rPr>
          <w:noProof/>
          <w:szCs w:val="22"/>
        </w:rPr>
        <w:t xml:space="preserve"> identified for </w:t>
      </w:r>
      <w:r w:rsidRPr="008B13A5">
        <w:rPr>
          <w:b/>
          <w:noProof/>
          <w:szCs w:val="22"/>
        </w:rPr>
        <w:t>GaAs</w:t>
      </w:r>
      <w:r w:rsidRPr="008B13A5">
        <w:rPr>
          <w:noProof/>
          <w:szCs w:val="22"/>
        </w:rPr>
        <w:t xml:space="preserve"> and </w:t>
      </w:r>
      <w:r w:rsidRPr="008B13A5">
        <w:rPr>
          <w:b/>
          <w:noProof/>
          <w:szCs w:val="22"/>
        </w:rPr>
        <w:t>InP</w:t>
      </w:r>
      <w:r w:rsidRPr="008B13A5">
        <w:rPr>
          <w:noProof/>
          <w:szCs w:val="22"/>
        </w:rPr>
        <w:t xml:space="preserve"> substrate, both elements crucial for the photonics industry. A larger share of the global supplier base sits in </w:t>
      </w:r>
      <w:r w:rsidRPr="008B13A5">
        <w:rPr>
          <w:b/>
          <w:noProof/>
          <w:szCs w:val="22"/>
        </w:rPr>
        <w:t>the United States</w:t>
      </w:r>
      <w:r w:rsidRPr="008B13A5">
        <w:rPr>
          <w:noProof/>
          <w:szCs w:val="22"/>
        </w:rPr>
        <w:t xml:space="preserve"> (e.g., </w:t>
      </w:r>
      <w:r w:rsidRPr="008B13A5">
        <w:rPr>
          <w:b/>
          <w:noProof/>
          <w:szCs w:val="22"/>
        </w:rPr>
        <w:t>Wolfspeed, Coherent/II-VI, SK siltron CSS, AXT</w:t>
      </w:r>
      <w:r w:rsidRPr="008B13A5">
        <w:rPr>
          <w:noProof/>
          <w:szCs w:val="22"/>
        </w:rPr>
        <w:t xml:space="preserve">) and </w:t>
      </w:r>
      <w:r w:rsidRPr="008B13A5">
        <w:rPr>
          <w:b/>
          <w:noProof/>
          <w:szCs w:val="22"/>
        </w:rPr>
        <w:t>East Asia</w:t>
      </w:r>
      <w:r w:rsidRPr="008B13A5">
        <w:rPr>
          <w:noProof/>
          <w:szCs w:val="22"/>
        </w:rPr>
        <w:t xml:space="preserve">, including </w:t>
      </w:r>
      <w:r w:rsidRPr="008B13A5">
        <w:rPr>
          <w:b/>
          <w:noProof/>
          <w:szCs w:val="22"/>
        </w:rPr>
        <w:t>Japan</w:t>
      </w:r>
      <w:r w:rsidRPr="008B13A5">
        <w:rPr>
          <w:noProof/>
          <w:szCs w:val="22"/>
        </w:rPr>
        <w:t xml:space="preserve"> (e.g., </w:t>
      </w:r>
      <w:r w:rsidRPr="008B13A5">
        <w:rPr>
          <w:b/>
          <w:noProof/>
          <w:szCs w:val="22"/>
        </w:rPr>
        <w:t>Sumitomo Electric, Resonac, SiCrystal (ROHM group), JX Nippon Mining &amp; Metals</w:t>
      </w:r>
      <w:r w:rsidRPr="008B13A5">
        <w:rPr>
          <w:noProof/>
          <w:szCs w:val="22"/>
        </w:rPr>
        <w:t xml:space="preserve">), </w:t>
      </w:r>
      <w:r w:rsidRPr="008B13A5">
        <w:rPr>
          <w:b/>
          <w:noProof/>
          <w:szCs w:val="22"/>
        </w:rPr>
        <w:t>China</w:t>
      </w:r>
      <w:r w:rsidRPr="008B13A5">
        <w:rPr>
          <w:noProof/>
          <w:szCs w:val="22"/>
        </w:rPr>
        <w:t xml:space="preserve"> (e.g., </w:t>
      </w:r>
      <w:r w:rsidRPr="008B13A5">
        <w:rPr>
          <w:b/>
          <w:noProof/>
          <w:szCs w:val="22"/>
        </w:rPr>
        <w:t>SICC, Tankeblue, Vital</w:t>
      </w:r>
      <w:r w:rsidRPr="008B13A5">
        <w:rPr>
          <w:noProof/>
          <w:szCs w:val="22"/>
        </w:rPr>
        <w:t xml:space="preserve">), and </w:t>
      </w:r>
      <w:r w:rsidRPr="008B13A5">
        <w:rPr>
          <w:b/>
          <w:noProof/>
          <w:szCs w:val="22"/>
        </w:rPr>
        <w:t>Taiwan</w:t>
      </w:r>
      <w:r w:rsidRPr="008B13A5">
        <w:rPr>
          <w:noProof/>
          <w:szCs w:val="22"/>
        </w:rPr>
        <w:t xml:space="preserve"> (e.g., </w:t>
      </w:r>
      <w:r w:rsidRPr="008B13A5">
        <w:rPr>
          <w:b/>
          <w:noProof/>
          <w:szCs w:val="22"/>
        </w:rPr>
        <w:t>GlobalWafer</w:t>
      </w:r>
      <w:r w:rsidRPr="008B13A5">
        <w:rPr>
          <w:noProof/>
          <w:szCs w:val="22"/>
        </w:rPr>
        <w:t xml:space="preserve">s, </w:t>
      </w:r>
      <w:r w:rsidRPr="008B13A5">
        <w:rPr>
          <w:b/>
          <w:noProof/>
          <w:szCs w:val="22"/>
        </w:rPr>
        <w:t>Hermes-Epitek</w:t>
      </w:r>
      <w:r w:rsidRPr="008B13A5">
        <w:rPr>
          <w:noProof/>
          <w:szCs w:val="22"/>
        </w:rPr>
        <w:t>).</w:t>
      </w:r>
      <w:r w:rsidR="00F274DD" w:rsidRPr="008B13A5">
        <w:rPr>
          <w:noProof/>
          <w:szCs w:val="22"/>
        </w:rPr>
        <w:t xml:space="preserve"> </w:t>
      </w:r>
      <w:r w:rsidRPr="008B13A5">
        <w:rPr>
          <w:noProof/>
          <w:szCs w:val="22"/>
        </w:rPr>
        <w:t>(</w:t>
      </w:r>
      <w:r w:rsidRPr="008B13A5">
        <w:rPr>
          <w:noProof/>
          <w:szCs w:val="22"/>
          <w:vertAlign w:val="superscript"/>
        </w:rPr>
        <w:footnoteReference w:id="41"/>
      </w:r>
      <w:r w:rsidRPr="008B13A5">
        <w:rPr>
          <w:noProof/>
          <w:szCs w:val="22"/>
        </w:rPr>
        <w:t xml:space="preserve">) </w:t>
      </w:r>
    </w:p>
    <w:p w14:paraId="294F3ED0" w14:textId="3266D1FD" w:rsidR="002D364B" w:rsidRPr="008B13A5" w:rsidRDefault="002D364B" w:rsidP="002D364B">
      <w:pPr>
        <w:rPr>
          <w:noProof/>
          <w:szCs w:val="22"/>
        </w:rPr>
      </w:pPr>
      <w:r w:rsidRPr="008B13A5">
        <w:rPr>
          <w:noProof/>
          <w:szCs w:val="22"/>
        </w:rPr>
        <w:t xml:space="preserve">However, Europe’s exposure in SiC substrates is partially mitigated by the growing vertical integration of certain IDMs. In particular, </w:t>
      </w:r>
      <w:r w:rsidRPr="008B13A5">
        <w:rPr>
          <w:b/>
          <w:noProof/>
          <w:szCs w:val="22"/>
        </w:rPr>
        <w:t>STMicroelectronics is building in-house SiC substrate capacity in Catania (Italy)</w:t>
      </w:r>
      <w:r w:rsidRPr="008B13A5">
        <w:rPr>
          <w:noProof/>
          <w:szCs w:val="22"/>
        </w:rPr>
        <w:t xml:space="preserve"> within its vertically integrated “Silicon Carbide Campus”, supported by a </w:t>
      </w:r>
      <w:r w:rsidRPr="008B13A5">
        <w:rPr>
          <w:b/>
          <w:noProof/>
          <w:szCs w:val="22"/>
        </w:rPr>
        <w:t>EUR 2 billion Italian state-aid measure approved under the EU Chips Act framework</w:t>
      </w:r>
      <w:r w:rsidRPr="008B13A5">
        <w:rPr>
          <w:noProof/>
          <w:szCs w:val="22"/>
        </w:rPr>
        <w:t xml:space="preserve">. In addition, </w:t>
      </w:r>
      <w:r w:rsidRPr="008B13A5">
        <w:rPr>
          <w:b/>
          <w:noProof/>
          <w:szCs w:val="22"/>
        </w:rPr>
        <w:t>onsemi is expanding SiC-related capacity at Rožnov (Czechia)</w:t>
      </w:r>
      <w:r w:rsidRPr="008B13A5">
        <w:rPr>
          <w:noProof/>
          <w:szCs w:val="22"/>
        </w:rPr>
        <w:t xml:space="preserve">, backed by a </w:t>
      </w:r>
      <w:r w:rsidRPr="008B13A5">
        <w:rPr>
          <w:b/>
          <w:noProof/>
          <w:szCs w:val="22"/>
        </w:rPr>
        <w:t>€450 million Czech state-aid measure likewise approved in line with the objectives of the Chips Act</w:t>
      </w:r>
      <w:r w:rsidRPr="008B13A5">
        <w:rPr>
          <w:noProof/>
          <w:szCs w:val="22"/>
        </w:rPr>
        <w:t>.</w:t>
      </w:r>
      <w:r w:rsidR="00F274DD" w:rsidRPr="008B13A5">
        <w:rPr>
          <w:noProof/>
          <w:szCs w:val="22"/>
        </w:rPr>
        <w:t xml:space="preserve"> </w:t>
      </w:r>
      <w:r w:rsidRPr="008B13A5">
        <w:rPr>
          <w:noProof/>
          <w:szCs w:val="22"/>
        </w:rPr>
        <w:t>(</w:t>
      </w:r>
      <w:r w:rsidRPr="008B13A5">
        <w:rPr>
          <w:noProof/>
          <w:szCs w:val="22"/>
          <w:vertAlign w:val="superscript"/>
        </w:rPr>
        <w:footnoteReference w:id="42"/>
      </w:r>
      <w:r w:rsidRPr="008B13A5">
        <w:rPr>
          <w:noProof/>
          <w:szCs w:val="22"/>
        </w:rPr>
        <w:t>)</w:t>
      </w:r>
    </w:p>
    <w:p w14:paraId="31942598" w14:textId="6A775373" w:rsidR="002D364B" w:rsidRPr="008B13A5" w:rsidRDefault="002D364B" w:rsidP="002D364B">
      <w:pPr>
        <w:rPr>
          <w:noProof/>
          <w:szCs w:val="22"/>
        </w:rPr>
      </w:pPr>
      <w:r w:rsidRPr="008B13A5">
        <w:rPr>
          <w:noProof/>
          <w:szCs w:val="22"/>
        </w:rPr>
        <w:t>Therefore</w:t>
      </w:r>
      <w:r w:rsidR="009668DB" w:rsidRPr="008B13A5">
        <w:rPr>
          <w:noProof/>
          <w:szCs w:val="22"/>
        </w:rPr>
        <w:t>,</w:t>
      </w:r>
      <w:r w:rsidRPr="008B13A5">
        <w:rPr>
          <w:noProof/>
          <w:szCs w:val="22"/>
        </w:rPr>
        <w:t xml:space="preserve"> while Europe does not have significant substrate suppliers, it has significant substrate manufacturing cability as part of vertically integrated IDMs.</w:t>
      </w:r>
    </w:p>
    <w:p w14:paraId="1B731775" w14:textId="33929454" w:rsidR="002D364B" w:rsidRPr="008B13A5" w:rsidRDefault="002D364B" w:rsidP="002D364B">
      <w:pPr>
        <w:rPr>
          <w:noProof/>
        </w:rPr>
      </w:pPr>
      <w:r w:rsidRPr="008B13A5">
        <w:rPr>
          <w:noProof/>
          <w:szCs w:val="22"/>
        </w:rPr>
        <w:t xml:space="preserve">The </w:t>
      </w:r>
      <w:r w:rsidRPr="008B13A5">
        <w:rPr>
          <w:b/>
          <w:noProof/>
          <w:szCs w:val="22"/>
        </w:rPr>
        <w:t>epiwafer segment</w:t>
      </w:r>
      <w:r w:rsidRPr="008B13A5">
        <w:rPr>
          <w:noProof/>
          <w:szCs w:val="22"/>
        </w:rPr>
        <w:t xml:space="preserve"> sits immediately downstream of substrates</w:t>
      </w:r>
      <w:r w:rsidR="000F625D" w:rsidRPr="008B13A5">
        <w:rPr>
          <w:noProof/>
          <w:szCs w:val="22"/>
        </w:rPr>
        <w:t>. Here,</w:t>
      </w:r>
      <w:r w:rsidRPr="008B13A5">
        <w:rPr>
          <w:noProof/>
          <w:szCs w:val="22"/>
        </w:rPr>
        <w:t xml:space="preserve"> suppliers take a base </w:t>
      </w:r>
      <w:r w:rsidRPr="008B13A5">
        <w:rPr>
          <w:b/>
          <w:noProof/>
          <w:szCs w:val="22"/>
        </w:rPr>
        <w:t>substrate</w:t>
      </w:r>
      <w:r w:rsidRPr="008B13A5">
        <w:rPr>
          <w:noProof/>
          <w:szCs w:val="22"/>
        </w:rPr>
        <w:t xml:space="preserve"> (e.g., SiC, GaAs, InP, GaN-on-SiC) and grow </w:t>
      </w:r>
      <w:r w:rsidRPr="008B13A5">
        <w:rPr>
          <w:b/>
          <w:noProof/>
          <w:szCs w:val="22"/>
        </w:rPr>
        <w:t>epitaxial layers</w:t>
      </w:r>
      <w:r w:rsidRPr="008B13A5">
        <w:rPr>
          <w:noProof/>
          <w:szCs w:val="22"/>
        </w:rPr>
        <w:t xml:space="preserve"> that determine device performance. This step is a critical dependency point </w:t>
      </w:r>
      <w:r w:rsidR="000F625D" w:rsidRPr="008B13A5">
        <w:rPr>
          <w:noProof/>
          <w:szCs w:val="22"/>
        </w:rPr>
        <w:t xml:space="preserve">since </w:t>
      </w:r>
      <w:r w:rsidRPr="008B13A5">
        <w:rPr>
          <w:noProof/>
          <w:szCs w:val="22"/>
        </w:rPr>
        <w:t>epitaxy is highly process-sensitive and qualification-</w:t>
      </w:r>
      <w:r w:rsidRPr="008B13A5">
        <w:rPr>
          <w:noProof/>
        </w:rPr>
        <w:t>heavy, making supplier switching slow and costly.</w:t>
      </w:r>
    </w:p>
    <w:p w14:paraId="295791D0" w14:textId="6E9E70AB" w:rsidR="002D364B" w:rsidRPr="008B13A5" w:rsidRDefault="002D364B" w:rsidP="002D364B">
      <w:pPr>
        <w:rPr>
          <w:noProof/>
        </w:rPr>
      </w:pPr>
      <w:r w:rsidRPr="008B13A5">
        <w:rPr>
          <w:noProof/>
        </w:rPr>
        <w:t xml:space="preserve">Based on Yole Intelligence’s mapping of leading epiwafer players, the </w:t>
      </w:r>
      <w:r w:rsidRPr="008B13A5">
        <w:rPr>
          <w:b/>
          <w:noProof/>
        </w:rPr>
        <w:t>EU’s identifiable merchant epiwafer footprint</w:t>
      </w:r>
      <w:r w:rsidRPr="008B13A5">
        <w:rPr>
          <w:noProof/>
        </w:rPr>
        <w:t xml:space="preserve"> includes </w:t>
      </w:r>
      <w:r w:rsidRPr="008B13A5">
        <w:rPr>
          <w:b/>
          <w:noProof/>
        </w:rPr>
        <w:t>Soitec (France)</w:t>
      </w:r>
      <w:r w:rsidRPr="008B13A5">
        <w:rPr>
          <w:noProof/>
        </w:rPr>
        <w:t xml:space="preserve"> and </w:t>
      </w:r>
      <w:r w:rsidRPr="008B13A5">
        <w:rPr>
          <w:b/>
          <w:noProof/>
        </w:rPr>
        <w:t>Azur Space (Germany)</w:t>
      </w:r>
      <w:r w:rsidRPr="008B13A5">
        <w:rPr>
          <w:noProof/>
        </w:rPr>
        <w:t xml:space="preserve">, alongside smaller specialised actors (e.g., </w:t>
      </w:r>
      <w:r w:rsidRPr="008B13A5">
        <w:rPr>
          <w:b/>
          <w:noProof/>
        </w:rPr>
        <w:t>Allos</w:t>
      </w:r>
      <w:r w:rsidRPr="008B13A5">
        <w:rPr>
          <w:noProof/>
        </w:rPr>
        <w:t xml:space="preserve"> for uLED GaN-related activity). In contrast, a substantial portion of global capability is concentrated outside the EU, particularly in </w:t>
      </w:r>
      <w:r w:rsidRPr="008B13A5">
        <w:rPr>
          <w:b/>
          <w:noProof/>
        </w:rPr>
        <w:t>Japan</w:t>
      </w:r>
      <w:r w:rsidRPr="008B13A5">
        <w:rPr>
          <w:noProof/>
        </w:rPr>
        <w:t xml:space="preserve"> (e.g., Sumitomo Electric and other major materials houses), </w:t>
      </w:r>
      <w:r w:rsidRPr="008B13A5">
        <w:rPr>
          <w:b/>
          <w:noProof/>
        </w:rPr>
        <w:t>Taiwan</w:t>
      </w:r>
      <w:r w:rsidRPr="008B13A5">
        <w:rPr>
          <w:noProof/>
        </w:rPr>
        <w:t xml:space="preserve"> (a dense epiwafer ecosystem spanning several III–V platforms), </w:t>
      </w:r>
      <w:r w:rsidRPr="008B13A5">
        <w:rPr>
          <w:b/>
          <w:noProof/>
        </w:rPr>
        <w:t>the United States</w:t>
      </w:r>
      <w:r w:rsidRPr="008B13A5">
        <w:rPr>
          <w:noProof/>
        </w:rPr>
        <w:t xml:space="preserve"> (e.g. Wolfspeed), and </w:t>
      </w:r>
      <w:r w:rsidRPr="008B13A5">
        <w:rPr>
          <w:b/>
          <w:noProof/>
        </w:rPr>
        <w:t xml:space="preserve">China </w:t>
      </w:r>
      <w:r w:rsidRPr="008B13A5">
        <w:rPr>
          <w:noProof/>
        </w:rPr>
        <w:t xml:space="preserve">(Enkris Semiconductor, Epiworld), with suppliers covering </w:t>
      </w:r>
      <w:r w:rsidRPr="008B13A5">
        <w:rPr>
          <w:b/>
          <w:noProof/>
        </w:rPr>
        <w:t>SiC</w:t>
      </w:r>
      <w:r w:rsidRPr="008B13A5">
        <w:rPr>
          <w:noProof/>
        </w:rPr>
        <w:t xml:space="preserve">, </w:t>
      </w:r>
      <w:r w:rsidRPr="008B13A5">
        <w:rPr>
          <w:b/>
          <w:noProof/>
        </w:rPr>
        <w:t>GaN</w:t>
      </w:r>
      <w:r w:rsidRPr="008B13A5">
        <w:rPr>
          <w:noProof/>
        </w:rPr>
        <w:t xml:space="preserve"> variants (GaN-on-Si, GaN-on-SiC, GaN-on-sapphire), and </w:t>
      </w:r>
      <w:r w:rsidRPr="008B13A5">
        <w:rPr>
          <w:b/>
          <w:noProof/>
        </w:rPr>
        <w:t>GaAs/InP</w:t>
      </w:r>
      <w:r w:rsidRPr="008B13A5">
        <w:rPr>
          <w:noProof/>
        </w:rPr>
        <w:t xml:space="preserve"> platforms.</w:t>
      </w:r>
      <w:r w:rsidR="00F274DD" w:rsidRPr="008B13A5">
        <w:rPr>
          <w:noProof/>
        </w:rPr>
        <w:t xml:space="preserve"> </w:t>
      </w:r>
      <w:r w:rsidRPr="008B13A5">
        <w:rPr>
          <w:noProof/>
        </w:rPr>
        <w:t>(</w:t>
      </w:r>
      <w:r w:rsidRPr="008B13A5">
        <w:rPr>
          <w:noProof/>
          <w:vertAlign w:val="superscript"/>
        </w:rPr>
        <w:footnoteReference w:id="43"/>
      </w:r>
      <w:r w:rsidRPr="008B13A5">
        <w:rPr>
          <w:noProof/>
        </w:rPr>
        <w:t xml:space="preserve">) </w:t>
      </w:r>
    </w:p>
    <w:p w14:paraId="1F8195C8" w14:textId="1951187C" w:rsidR="002D364B" w:rsidRPr="008B13A5" w:rsidRDefault="002D364B" w:rsidP="00BD008E">
      <w:pPr>
        <w:pStyle w:val="Heading4"/>
        <w:rPr>
          <w:noProof/>
        </w:rPr>
      </w:pPr>
      <w:bookmarkStart w:id="162" w:name="_Toc230010417"/>
      <w:r w:rsidRPr="008B13A5">
        <w:rPr>
          <w:noProof/>
        </w:rPr>
        <w:t>Ultra-high-purity process gases and chemicals</w:t>
      </w:r>
      <w:bookmarkEnd w:id="162"/>
      <w:r w:rsidRPr="008B13A5">
        <w:rPr>
          <w:noProof/>
        </w:rPr>
        <w:t xml:space="preserve"> </w:t>
      </w:r>
    </w:p>
    <w:p w14:paraId="495BDC7E" w14:textId="77777777" w:rsidR="002D364B" w:rsidRPr="008B13A5" w:rsidRDefault="002D364B" w:rsidP="00BD008E">
      <w:pPr>
        <w:pStyle w:val="Heading4"/>
        <w:numPr>
          <w:ilvl w:val="4"/>
          <w:numId w:val="5"/>
        </w:numPr>
        <w:rPr>
          <w:noProof/>
        </w:rPr>
      </w:pPr>
      <w:bookmarkStart w:id="163" w:name="_Toc230010418"/>
      <w:r w:rsidRPr="008B13A5">
        <w:rPr>
          <w:noProof/>
        </w:rPr>
        <w:t>Gases</w:t>
      </w:r>
      <w:bookmarkEnd w:id="163"/>
    </w:p>
    <w:p w14:paraId="6426A882" w14:textId="12B8C2CA" w:rsidR="002D364B" w:rsidRPr="008B13A5" w:rsidRDefault="002D364B" w:rsidP="002D364B">
      <w:pPr>
        <w:rPr>
          <w:noProof/>
        </w:rPr>
      </w:pPr>
      <w:r w:rsidRPr="008B13A5">
        <w:rPr>
          <w:noProof/>
        </w:rPr>
        <w:t>Europe’s semiconductor manufacturing ecosystem depends on a broad set of ultra-high-purity process gases and precursors that enable thin-film deposition, patterning (etch), doping, chamber cleaning, and surface/interface treatments, including lithography-support gases used for scanner/track purging and post-lithography resist processing. While several baseline gases remain manufactured within Europe, the EU is structurally dependent on external supply for many of the most critical electronics specialty gases. This dependency is significant because semiconductor production is serial and qualification-bound: the absence of a single qualified molecule at the required purity, packaging, and delivery specification can halt an entire process module and disrupt the operations of a whole fab.</w:t>
      </w:r>
    </w:p>
    <w:p w14:paraId="3A1B8228" w14:textId="6092C827" w:rsidR="002D364B" w:rsidRPr="008B13A5" w:rsidRDefault="002D364B" w:rsidP="00BD008E">
      <w:pPr>
        <w:pStyle w:val="Heading4"/>
        <w:numPr>
          <w:ilvl w:val="5"/>
          <w:numId w:val="5"/>
        </w:numPr>
        <w:rPr>
          <w:noProof/>
          <w:szCs w:val="24"/>
        </w:rPr>
      </w:pPr>
      <w:bookmarkStart w:id="164" w:name="_Toc230010419"/>
      <w:r w:rsidRPr="008B13A5">
        <w:rPr>
          <w:noProof/>
        </w:rPr>
        <w:t>Gases manufactured within Europe and principal functions</w:t>
      </w:r>
      <w:bookmarkEnd w:id="164"/>
    </w:p>
    <w:p w14:paraId="4C5D06D5" w14:textId="0168EA59" w:rsidR="002D364B" w:rsidRPr="008B13A5" w:rsidRDefault="002D364B" w:rsidP="002D364B">
      <w:pPr>
        <w:rPr>
          <w:noProof/>
          <w:szCs w:val="22"/>
        </w:rPr>
      </w:pPr>
      <w:r w:rsidRPr="008B13A5">
        <w:rPr>
          <w:noProof/>
        </w:rPr>
        <w:t>European production continues to cover a subset of widely used enabling gases, primarily supporting deposition, etch, and process conditioning. These include ammonia (NH₃) for nitride deposition and nitridation; chlorine (Cl₂) and hydrogen chloride (HCl) for etch, cleaning, and epitaxy process control; nitrous oxide (N₂O) and nitric oxide (NO) for oxide/oxynitride formation and interface engineering; and sulphur hexafluoride (SF₆) for silicon etch (including isotropic and MEMS applications). In addition, certain hydrocarbons (CH₄, C₂H₄, C₃H₈, C₃H₆) are used as carbon sources for specialised films (e.g., hardmasks and carbon-doped layers), while CO and SO₂ may appear in niche plasma or surface-chemistry contexts. Overall, domestic availability exists for several important gases; however, these are often comparatively standardised and, in many cases, less distinctive for advanced-node capability</w:t>
      </w:r>
      <w:r w:rsidRPr="008B13A5">
        <w:rPr>
          <w:noProof/>
          <w:szCs w:val="22"/>
        </w:rPr>
        <w:t xml:space="preserve"> than gasses for dopants, high-value deposition precursors, and critical etch/clean.</w:t>
      </w:r>
    </w:p>
    <w:p w14:paraId="27DBEC1A" w14:textId="5102608C" w:rsidR="002D364B" w:rsidRPr="008B13A5" w:rsidRDefault="002D364B" w:rsidP="00BD008E">
      <w:pPr>
        <w:pStyle w:val="Heading4"/>
        <w:numPr>
          <w:ilvl w:val="5"/>
          <w:numId w:val="5"/>
        </w:numPr>
        <w:rPr>
          <w:noProof/>
          <w:szCs w:val="24"/>
        </w:rPr>
      </w:pPr>
      <w:bookmarkStart w:id="165" w:name="_Toc230010420"/>
      <w:r w:rsidRPr="008B13A5">
        <w:rPr>
          <w:noProof/>
        </w:rPr>
        <w:t>Gases predominantly sourced from outside Europe and principal functions</w:t>
      </w:r>
      <w:bookmarkEnd w:id="165"/>
    </w:p>
    <w:p w14:paraId="3AFD694D" w14:textId="73D0F9DD" w:rsidR="002D364B" w:rsidRPr="008B13A5" w:rsidRDefault="002D364B" w:rsidP="002D364B">
      <w:pPr>
        <w:rPr>
          <w:noProof/>
        </w:rPr>
      </w:pPr>
      <w:r w:rsidRPr="008B13A5">
        <w:rPr>
          <w:noProof/>
        </w:rPr>
        <w:t xml:space="preserve">Europe’s most material external dependencies </w:t>
      </w:r>
      <w:r w:rsidR="007E31F5" w:rsidRPr="008B13A5">
        <w:rPr>
          <w:noProof/>
        </w:rPr>
        <w:t xml:space="preserve">are concentrated on </w:t>
      </w:r>
      <w:r w:rsidRPr="008B13A5">
        <w:rPr>
          <w:noProof/>
        </w:rPr>
        <w:t>molecules that are tightly coupled to transistor formation, materials integration, and equipment availability:</w:t>
      </w:r>
    </w:p>
    <w:p w14:paraId="26BD903B" w14:textId="174C6B83" w:rsidR="002D364B" w:rsidRPr="008B13A5" w:rsidRDefault="002D364B" w:rsidP="002D364B">
      <w:pPr>
        <w:pStyle w:val="ListParagraph"/>
        <w:numPr>
          <w:ilvl w:val="0"/>
          <w:numId w:val="74"/>
        </w:numPr>
        <w:spacing w:after="120"/>
        <w:rPr>
          <w:noProof/>
        </w:rPr>
      </w:pPr>
      <w:r w:rsidRPr="008B13A5">
        <w:rPr>
          <w:noProof/>
        </w:rPr>
        <w:t>Dopant gases and diffusion sources: arsine (AsH₃), phosphine (PH₃), diborane (B₂H₆) and related boron chemistries (BBr₃, BF₃), as well as POCl₃, underpin formation of n-type and p-type regions and diffusion processes.</w:t>
      </w:r>
      <w:r w:rsidR="00F274DD" w:rsidRPr="008B13A5">
        <w:rPr>
          <w:noProof/>
        </w:rPr>
        <w:t xml:space="preserve"> </w:t>
      </w:r>
      <w:r w:rsidRPr="008B13A5">
        <w:rPr>
          <w:noProof/>
        </w:rPr>
        <w:t>(</w:t>
      </w:r>
      <w:r w:rsidRPr="008B13A5">
        <w:rPr>
          <w:noProof/>
          <w:vertAlign w:val="superscript"/>
        </w:rPr>
        <w:footnoteReference w:id="44"/>
      </w:r>
      <w:r w:rsidRPr="008B13A5">
        <w:rPr>
          <w:noProof/>
        </w:rPr>
        <w:t>) These inputs are not readily substitutable; alternative sourcing typically requires extensive requalification and may present yield and reliability risk.</w:t>
      </w:r>
    </w:p>
    <w:p w14:paraId="5152F86E" w14:textId="43ECF051" w:rsidR="002D364B" w:rsidRPr="008B13A5" w:rsidRDefault="002D364B" w:rsidP="002D364B">
      <w:pPr>
        <w:pStyle w:val="ListParagraph"/>
        <w:numPr>
          <w:ilvl w:val="0"/>
          <w:numId w:val="74"/>
        </w:numPr>
        <w:spacing w:after="120"/>
        <w:rPr>
          <w:noProof/>
        </w:rPr>
      </w:pPr>
      <w:r w:rsidRPr="008B13A5">
        <w:rPr>
          <w:noProof/>
        </w:rPr>
        <w:t>Deposition precursors: silane (SiH₄),</w:t>
      </w:r>
      <w:r w:rsidR="00F274DD" w:rsidRPr="008B13A5">
        <w:rPr>
          <w:noProof/>
        </w:rPr>
        <w:t xml:space="preserve"> </w:t>
      </w:r>
      <w:r w:rsidRPr="008B13A5">
        <w:rPr>
          <w:noProof/>
        </w:rPr>
        <w:t>(</w:t>
      </w:r>
      <w:r w:rsidRPr="008B13A5">
        <w:rPr>
          <w:noProof/>
          <w:vertAlign w:val="superscript"/>
        </w:rPr>
        <w:footnoteReference w:id="45"/>
      </w:r>
      <w:r w:rsidRPr="008B13A5">
        <w:rPr>
          <w:noProof/>
        </w:rPr>
        <w:t>) disilane (Si₂H₆), chlorosilanes (DCS/TCS) and SiCl₄, tetraethyl orthosilicate (TEOS), trimethylsilane (TMS), germane (GeH₄) and WF₆ enable deposition of key silicon, dielectric, SiGe/Ge, and tungsten films. Disruption can halt deposition modules and create cascading effects on work-in-progress wafers and cycle time.</w:t>
      </w:r>
    </w:p>
    <w:p w14:paraId="77117B5C" w14:textId="129011FF" w:rsidR="002D364B" w:rsidRPr="008B13A5" w:rsidRDefault="002D364B" w:rsidP="002D364B">
      <w:pPr>
        <w:pStyle w:val="ListParagraph"/>
        <w:numPr>
          <w:ilvl w:val="0"/>
          <w:numId w:val="74"/>
        </w:numPr>
        <w:spacing w:after="120"/>
        <w:rPr>
          <w:noProof/>
        </w:rPr>
      </w:pPr>
      <w:r w:rsidRPr="008B13A5">
        <w:rPr>
          <w:noProof/>
        </w:rPr>
        <w:t>Etch and chamber-clean gases: HF (oxide removal), HBr (anisotropic silicon/polysilicon etch), NF₃ (remote plasma cleaning), F₂/ClF₃ (aggressive cleaning/fluorination), and multiple fluorocarbon/PFC/HFC gases (e.g., CF₄, CHF₃, C₂F₆, C₃F₈, C₄F₈, C₄F₆, C₅F₈, CH₃F, CH₂F₂) are essential for pattern transfer, selectivity/profile control, and maintaining tool uptime.</w:t>
      </w:r>
    </w:p>
    <w:p w14:paraId="74B66BBC" w14:textId="331FF595" w:rsidR="002D364B" w:rsidRPr="008B13A5" w:rsidRDefault="002D364B" w:rsidP="002D364B">
      <w:pPr>
        <w:pStyle w:val="ListParagraph"/>
        <w:numPr>
          <w:ilvl w:val="0"/>
          <w:numId w:val="74"/>
        </w:numPr>
        <w:spacing w:after="120"/>
        <w:rPr>
          <w:noProof/>
        </w:rPr>
      </w:pPr>
      <w:r w:rsidRPr="008B13A5">
        <w:rPr>
          <w:noProof/>
        </w:rPr>
        <w:t xml:space="preserve">Reliability/passivation inputs: deuterium (D₂) supports selected passivation and anneal processes; </w:t>
      </w:r>
      <w:r w:rsidR="003D49D1" w:rsidRPr="008B13A5">
        <w:rPr>
          <w:noProof/>
        </w:rPr>
        <w:t xml:space="preserve">substitutability </w:t>
      </w:r>
      <w:r w:rsidRPr="008B13A5">
        <w:rPr>
          <w:noProof/>
        </w:rPr>
        <w:t>constraints may manifest through yield or reliability qualification impacts even where immediate production continues.</w:t>
      </w:r>
    </w:p>
    <w:p w14:paraId="154FFA1E" w14:textId="7619CDAD" w:rsidR="002D364B" w:rsidRPr="008B13A5" w:rsidRDefault="002D364B" w:rsidP="002D364B">
      <w:pPr>
        <w:rPr>
          <w:noProof/>
        </w:rPr>
      </w:pPr>
      <w:r w:rsidRPr="008B13A5">
        <w:rPr>
          <w:noProof/>
        </w:rPr>
        <w:t xml:space="preserve">Furthermore, when considering the upstream sources of these gases, more than 50% of the Union’s </w:t>
      </w:r>
      <w:r w:rsidR="001B5652" w:rsidRPr="008B13A5">
        <w:rPr>
          <w:noProof/>
        </w:rPr>
        <w:t>e</w:t>
      </w:r>
      <w:r w:rsidRPr="008B13A5">
        <w:rPr>
          <w:noProof/>
        </w:rPr>
        <w:t xml:space="preserve">lectronics </w:t>
      </w:r>
      <w:r w:rsidR="001B5652" w:rsidRPr="008B13A5">
        <w:rPr>
          <w:noProof/>
        </w:rPr>
        <w:t>speciality</w:t>
      </w:r>
      <w:r w:rsidRPr="008B13A5">
        <w:rPr>
          <w:noProof/>
        </w:rPr>
        <w:t xml:space="preserve"> </w:t>
      </w:r>
      <w:r w:rsidR="001B5652" w:rsidRPr="008B13A5">
        <w:rPr>
          <w:noProof/>
        </w:rPr>
        <w:t>g</w:t>
      </w:r>
      <w:r w:rsidRPr="008B13A5">
        <w:rPr>
          <w:noProof/>
        </w:rPr>
        <w:t>ases are heavily dependent on China</w:t>
      </w:r>
      <w:r w:rsidR="008F3AE4" w:rsidRPr="008B13A5">
        <w:rPr>
          <w:noProof/>
        </w:rPr>
        <w:t>.</w:t>
      </w:r>
      <w:r w:rsidRPr="008B13A5">
        <w:rPr>
          <w:noProof/>
        </w:rPr>
        <w:t xml:space="preserve"> </w:t>
      </w:r>
    </w:p>
    <w:p w14:paraId="383B1D40" w14:textId="706E464A" w:rsidR="002D364B" w:rsidRPr="00BD008E" w:rsidRDefault="002D364B" w:rsidP="00BD008E">
      <w:pPr>
        <w:pStyle w:val="Heading4"/>
        <w:numPr>
          <w:ilvl w:val="5"/>
          <w:numId w:val="5"/>
        </w:numPr>
        <w:rPr>
          <w:noProof/>
        </w:rPr>
      </w:pPr>
      <w:bookmarkStart w:id="166" w:name="_Toc230010421"/>
      <w:r w:rsidRPr="00BD008E">
        <w:rPr>
          <w:noProof/>
        </w:rPr>
        <w:t>Structural characteristics of the dependency</w:t>
      </w:r>
      <w:bookmarkEnd w:id="166"/>
    </w:p>
    <w:p w14:paraId="4EDDFD9C" w14:textId="6811B023" w:rsidR="002D364B" w:rsidRPr="008B13A5" w:rsidRDefault="002D364B" w:rsidP="002D364B">
      <w:pPr>
        <w:rPr>
          <w:noProof/>
        </w:rPr>
      </w:pPr>
      <w:r w:rsidRPr="008B13A5">
        <w:rPr>
          <w:noProof/>
        </w:rPr>
        <w:t>These dependencies are amplified by: (i) the serial nature of wafer fabrication (a blocked step halts downstream processing); (ii) qualification constraints (purity, impurity profile, packaging, and delivery stability are part of the specification);(</w:t>
      </w:r>
      <w:r w:rsidRPr="008B13A5">
        <w:rPr>
          <w:noProof/>
          <w:vertAlign w:val="superscript"/>
        </w:rPr>
        <w:footnoteReference w:id="46"/>
      </w:r>
      <w:r w:rsidRPr="008B13A5">
        <w:rPr>
          <w:noProof/>
        </w:rPr>
        <w:t>) and (iii) limited substitutability, particularly for dopants and advanced deposition precursors;</w:t>
      </w:r>
    </w:p>
    <w:p w14:paraId="35572FF3" w14:textId="3676B17B" w:rsidR="002D364B" w:rsidRPr="008B13A5" w:rsidRDefault="002D364B" w:rsidP="002D364B">
      <w:pPr>
        <w:rPr>
          <w:noProof/>
          <w:szCs w:val="22"/>
        </w:rPr>
      </w:pPr>
      <w:r w:rsidRPr="008B13A5">
        <w:rPr>
          <w:noProof/>
        </w:rPr>
        <w:t xml:space="preserve">External dependence for dopants, critical deposition precursors, and etch/clean chemistries, combined with qualification-bound production, creates a </w:t>
      </w:r>
      <w:r w:rsidRPr="008B13A5" w:rsidDel="003A0DC0">
        <w:rPr>
          <w:noProof/>
        </w:rPr>
        <w:t>high</w:t>
      </w:r>
      <w:r w:rsidRPr="008B13A5">
        <w:rPr>
          <w:noProof/>
          <w:szCs w:val="22"/>
        </w:rPr>
        <w:t xml:space="preserve"> risk profile. Even where Europe retains domestic production of several baseline gases, disruption affecting externally sourced molecules on the critical path is likely to result in discontinu</w:t>
      </w:r>
      <w:r w:rsidR="003A0DC0" w:rsidRPr="008B13A5">
        <w:rPr>
          <w:noProof/>
          <w:szCs w:val="22"/>
        </w:rPr>
        <w:t>ed</w:t>
      </w:r>
      <w:r w:rsidRPr="008B13A5">
        <w:rPr>
          <w:noProof/>
          <w:szCs w:val="22"/>
        </w:rPr>
        <w:t xml:space="preserve"> outcomes: module stoppages, tool downtime, cycle-time extension, and potential yield degradation, with cascading effects across the European semiconductor value chain and downstream industrial users.</w:t>
      </w:r>
    </w:p>
    <w:p w14:paraId="6CD754CB" w14:textId="77777777" w:rsidR="002D364B" w:rsidRPr="008B13A5" w:rsidRDefault="002D364B" w:rsidP="00BD008E">
      <w:pPr>
        <w:pStyle w:val="Heading4"/>
        <w:numPr>
          <w:ilvl w:val="4"/>
          <w:numId w:val="5"/>
        </w:numPr>
        <w:rPr>
          <w:noProof/>
        </w:rPr>
      </w:pPr>
      <w:bookmarkStart w:id="167" w:name="_Toc230010422"/>
      <w:r w:rsidRPr="008B13A5">
        <w:rPr>
          <w:noProof/>
        </w:rPr>
        <w:t>Chemicals</w:t>
      </w:r>
      <w:bookmarkEnd w:id="167"/>
    </w:p>
    <w:p w14:paraId="1BDCCF95" w14:textId="35ECC927" w:rsidR="002D364B" w:rsidRPr="008B13A5" w:rsidRDefault="002D364B" w:rsidP="002D364B">
      <w:pPr>
        <w:rPr>
          <w:noProof/>
          <w:szCs w:val="22"/>
        </w:rPr>
      </w:pPr>
      <w:r w:rsidRPr="008B13A5">
        <w:rPr>
          <w:noProof/>
          <w:szCs w:val="22"/>
        </w:rPr>
        <w:t xml:space="preserve">Semiconductor fabs rely on ultra-high-purity chemicals at every step, including cleaning acids (hydrofluoric acid, hydrochloric acid, sulphuric acid), bases (ammonium hydroxide), oxidisers (hydrogen peroxide), solvents (isopropyl alcohol), etch and deposition chemistries, and Chemical-Mechanical Planarisation (CMP) slurries used to polish wafers between layers. These inputs must meet tight purity specifications and are qualified to specific tools and recipes, therefore shortages or quality issues can halt production and are not quickly solved by switching supplier. </w:t>
      </w:r>
    </w:p>
    <w:p w14:paraId="011446E6" w14:textId="49020FA6" w:rsidR="002D364B" w:rsidRPr="008B13A5" w:rsidRDefault="002D364B" w:rsidP="002D364B">
      <w:pPr>
        <w:rPr>
          <w:noProof/>
        </w:rPr>
      </w:pPr>
      <w:r w:rsidRPr="008B13A5">
        <w:rPr>
          <w:noProof/>
          <w:szCs w:val="22"/>
        </w:rPr>
        <w:t xml:space="preserve">This section will focus on photoresists since these </w:t>
      </w:r>
      <w:r w:rsidR="00B33D9F" w:rsidRPr="008B13A5">
        <w:rPr>
          <w:noProof/>
          <w:szCs w:val="22"/>
        </w:rPr>
        <w:t>chemicals are a pronounced</w:t>
      </w:r>
      <w:r w:rsidRPr="008B13A5">
        <w:rPr>
          <w:noProof/>
          <w:szCs w:val="22"/>
        </w:rPr>
        <w:t xml:space="preserve"> dependency. This is due to the </w:t>
      </w:r>
      <w:r w:rsidRPr="008B13A5">
        <w:rPr>
          <w:noProof/>
        </w:rPr>
        <w:t xml:space="preserve">fact that the supply base for high-end resists is </w:t>
      </w:r>
      <w:r w:rsidR="00E33A99" w:rsidRPr="008B13A5">
        <w:rPr>
          <w:noProof/>
        </w:rPr>
        <w:t xml:space="preserve">very </w:t>
      </w:r>
      <w:r w:rsidRPr="008B13A5">
        <w:rPr>
          <w:noProof/>
        </w:rPr>
        <w:t>concentrated and switching costs are higher, with requalification often required and limited near-term alternatives</w:t>
      </w:r>
      <w:r w:rsidR="00DC562A" w:rsidRPr="008B13A5">
        <w:rPr>
          <w:noProof/>
        </w:rPr>
        <w:t xml:space="preserve"> are available</w:t>
      </w:r>
      <w:r w:rsidRPr="008B13A5">
        <w:rPr>
          <w:noProof/>
        </w:rPr>
        <w:t xml:space="preserve"> once a process is </w:t>
      </w:r>
      <w:r w:rsidR="00DC562A" w:rsidRPr="008B13A5">
        <w:rPr>
          <w:noProof/>
        </w:rPr>
        <w:t>determined</w:t>
      </w:r>
      <w:r w:rsidRPr="008B13A5">
        <w:rPr>
          <w:noProof/>
        </w:rPr>
        <w:t>.</w:t>
      </w:r>
      <w:r w:rsidR="00246B27" w:rsidRPr="008B13A5">
        <w:rPr>
          <w:noProof/>
        </w:rPr>
        <w:t xml:space="preserve"> Polysilicon and precursor chemicals will also be considered. </w:t>
      </w:r>
    </w:p>
    <w:p w14:paraId="01F088C6" w14:textId="77777777" w:rsidR="002D364B" w:rsidRPr="008B13A5" w:rsidRDefault="002D364B" w:rsidP="00BD008E">
      <w:pPr>
        <w:pStyle w:val="Heading4"/>
        <w:numPr>
          <w:ilvl w:val="5"/>
          <w:numId w:val="5"/>
        </w:numPr>
        <w:rPr>
          <w:noProof/>
          <w:szCs w:val="24"/>
        </w:rPr>
      </w:pPr>
      <w:bookmarkStart w:id="168" w:name="_Toc230010423"/>
      <w:r w:rsidRPr="008B13A5">
        <w:rPr>
          <w:noProof/>
        </w:rPr>
        <w:t>Photoresist</w:t>
      </w:r>
      <w:bookmarkEnd w:id="168"/>
    </w:p>
    <w:p w14:paraId="03BBD5A6" w14:textId="3C4B71D0" w:rsidR="002D364B" w:rsidRPr="008B13A5" w:rsidRDefault="002D364B" w:rsidP="002D364B">
      <w:pPr>
        <w:rPr>
          <w:noProof/>
        </w:rPr>
      </w:pPr>
      <w:r w:rsidRPr="008B13A5">
        <w:rPr>
          <w:noProof/>
        </w:rPr>
        <w:t>Photoresist is a critical input to semiconductor photolithography. It is the chemically active film that receives the circuit pattern during lithographic exposure (DUV/EUV), enabling selective development, etching, and subsequent pattern transfer to the wafer. While lithography tools and masks are high-profile assets, photoresist performance directly governs pattern quality, throughput, and ultimately yield. Any sustained disruption in photoresist supply can therefore halt wafer output in fabs.</w:t>
      </w:r>
    </w:p>
    <w:p w14:paraId="57FFE561" w14:textId="38ED192D" w:rsidR="002D364B" w:rsidRPr="008B13A5" w:rsidRDefault="002D364B" w:rsidP="002D364B">
      <w:pPr>
        <w:rPr>
          <w:noProof/>
        </w:rPr>
      </w:pPr>
      <w:r w:rsidRPr="008B13A5">
        <w:rPr>
          <w:noProof/>
        </w:rPr>
        <w:t>This dependency is amplified by stringent performance and integration requirements. Photoresists must be highly sensitive at the relevant wavelength to support acceptable scanner throughput, form uniform films with strong adhesion, and remain mechanically and chemically stable through downstream steps (etch, cleans, stripping). These materials are typically co-developed and qualified with fabs for specific process windows, tool settings, and patterning stacks. Once qualified for high-volume manufacturing, changing resist formulations or suppliers can trigger lengthy requalification and yield risk, creating high switching costs and practical vendor lock-in.</w:t>
      </w:r>
    </w:p>
    <w:p w14:paraId="0F0FA1EA" w14:textId="1869ED3F" w:rsidR="002D364B" w:rsidRPr="008B13A5" w:rsidRDefault="002D364B" w:rsidP="002D364B">
      <w:pPr>
        <w:rPr>
          <w:noProof/>
        </w:rPr>
      </w:pPr>
      <w:r w:rsidRPr="008B13A5">
        <w:rPr>
          <w:noProof/>
        </w:rPr>
        <w:t>The supply base is highly concentrated, with Japanese suppliers holding an estimated ~90% share, notably JSR and Tokyo Ohka Kogyo (TOK).</w:t>
      </w:r>
      <w:r w:rsidRPr="008B13A5">
        <w:rPr>
          <w:noProof/>
          <w:vertAlign w:val="superscript"/>
        </w:rPr>
        <w:t xml:space="preserve"> (</w:t>
      </w:r>
      <w:r w:rsidRPr="008B13A5">
        <w:rPr>
          <w:noProof/>
          <w:vertAlign w:val="superscript"/>
        </w:rPr>
        <w:footnoteReference w:id="47"/>
      </w:r>
      <w:r w:rsidRPr="008B13A5">
        <w:rPr>
          <w:noProof/>
          <w:vertAlign w:val="superscript"/>
        </w:rPr>
        <w:t>)</w:t>
      </w:r>
      <w:r w:rsidRPr="008B13A5">
        <w:rPr>
          <w:noProof/>
        </w:rPr>
        <w:t xml:space="preserve">  This market structure increases systemic exposure to disruptions affecting a small set of producers (manufacturing incidents, quality excursions, logistics interruptions) and heightens sensitivity to policy or geopolitical events. The 2019 Japan–South Korea export licensing changes affecting certain semiconductor chemicals, including EUV photoresist, illustrate how regulatory actions can translate into near-term supply uncertainty for dependent manufacturing regions.(</w:t>
      </w:r>
      <w:r w:rsidRPr="008B13A5">
        <w:rPr>
          <w:noProof/>
          <w:vertAlign w:val="superscript"/>
        </w:rPr>
        <w:footnoteReference w:id="48"/>
      </w:r>
      <w:r w:rsidRPr="008B13A5">
        <w:rPr>
          <w:noProof/>
        </w:rPr>
        <w:t>) Even where alternative sourcing exists, substitution is constrained by qualification timelines and by extreme purity requirements, where trace contamination can produce unacceptable defect rates and shipment rejections.</w:t>
      </w:r>
    </w:p>
    <w:p w14:paraId="65C3490D" w14:textId="4A2BAC4E" w:rsidR="002D364B" w:rsidRPr="008B13A5" w:rsidRDefault="002D364B" w:rsidP="002D364B">
      <w:pPr>
        <w:rPr>
          <w:noProof/>
        </w:rPr>
      </w:pPr>
      <w:r w:rsidRPr="008B13A5">
        <w:rPr>
          <w:noProof/>
        </w:rPr>
        <w:t>Although strategically significant, as attested by the acquisition of JSR by Japan’s state-backed fund JIC,</w:t>
      </w:r>
      <w:r w:rsidR="00F274DD" w:rsidRPr="008B13A5">
        <w:rPr>
          <w:noProof/>
        </w:rPr>
        <w:t xml:space="preserve"> </w:t>
      </w:r>
      <w:r w:rsidRPr="008B13A5">
        <w:rPr>
          <w:noProof/>
        </w:rPr>
        <w:t>(</w:t>
      </w:r>
      <w:r w:rsidRPr="008B13A5">
        <w:rPr>
          <w:noProof/>
          <w:vertAlign w:val="superscript"/>
        </w:rPr>
        <w:footnoteReference w:id="49"/>
      </w:r>
      <w:r w:rsidRPr="008B13A5">
        <w:rPr>
          <w:noProof/>
        </w:rPr>
        <w:t>) the photoresist sector is comparatively small and specialised, requiring sustained R&amp;D and high-purity manufacturing capabilities. This combination of high technical barriers, concentrated incumbency, and tight fab integration suggests persistent dependency risk, particularly for leading-edge nodes and EUV processes.</w:t>
      </w:r>
    </w:p>
    <w:p w14:paraId="0FD656A9" w14:textId="77777777" w:rsidR="002D364B" w:rsidRPr="008B13A5" w:rsidRDefault="002D364B" w:rsidP="00BD008E">
      <w:pPr>
        <w:pStyle w:val="Heading4"/>
        <w:numPr>
          <w:ilvl w:val="5"/>
          <w:numId w:val="5"/>
        </w:numPr>
        <w:rPr>
          <w:noProof/>
          <w:szCs w:val="24"/>
        </w:rPr>
      </w:pPr>
      <w:bookmarkStart w:id="169" w:name="_Toc230010424"/>
      <w:r w:rsidRPr="008B13A5">
        <w:rPr>
          <w:noProof/>
        </w:rPr>
        <w:t>Polysilicon</w:t>
      </w:r>
      <w:bookmarkEnd w:id="169"/>
    </w:p>
    <w:p w14:paraId="2CC74A31" w14:textId="6CB07551" w:rsidR="002D364B" w:rsidRPr="00BD008E" w:rsidRDefault="002D364B" w:rsidP="002D364B">
      <w:pPr>
        <w:rPr>
          <w:noProof/>
        </w:rPr>
      </w:pPr>
      <w:r w:rsidRPr="00BD008E">
        <w:rPr>
          <w:noProof/>
        </w:rPr>
        <w:t xml:space="preserve">High-purity polysilicon serves as feedstock for production of silicon wafers. Stringent purity requirements exist in order to ensure that resultant wafers </w:t>
      </w:r>
      <w:r w:rsidR="001F2790" w:rsidRPr="00BD008E">
        <w:rPr>
          <w:noProof/>
        </w:rPr>
        <w:t xml:space="preserve">have no </w:t>
      </w:r>
      <w:r w:rsidR="002F7694" w:rsidRPr="00BD008E">
        <w:rPr>
          <w:noProof/>
        </w:rPr>
        <w:t>deformities</w:t>
      </w:r>
      <w:r w:rsidR="001F2790" w:rsidRPr="00BD008E">
        <w:rPr>
          <w:noProof/>
        </w:rPr>
        <w:t xml:space="preserve"> or impurit</w:t>
      </w:r>
      <w:r w:rsidR="002F7694" w:rsidRPr="00BD008E">
        <w:rPr>
          <w:noProof/>
        </w:rPr>
        <w:t>ies that would</w:t>
      </w:r>
      <w:r w:rsidRPr="00BD008E">
        <w:rPr>
          <w:noProof/>
        </w:rPr>
        <w:t xml:space="preserve"> inhibit </w:t>
      </w:r>
      <w:r w:rsidR="002F7694" w:rsidRPr="00BD008E">
        <w:rPr>
          <w:noProof/>
        </w:rPr>
        <w:t xml:space="preserve">the </w:t>
      </w:r>
      <w:r w:rsidRPr="00BD008E">
        <w:rPr>
          <w:noProof/>
        </w:rPr>
        <w:t xml:space="preserve">function and performance of fabricated chips. </w:t>
      </w:r>
    </w:p>
    <w:p w14:paraId="74760780" w14:textId="4891A514" w:rsidR="002D364B" w:rsidRPr="00BD008E" w:rsidRDefault="002D364B" w:rsidP="002D364B">
      <w:pPr>
        <w:rPr>
          <w:noProof/>
        </w:rPr>
      </w:pPr>
      <w:r w:rsidRPr="00BD008E">
        <w:rPr>
          <w:noProof/>
        </w:rPr>
        <w:t>Today’s</w:t>
      </w:r>
      <w:r w:rsidRPr="00BD008E" w:rsidDel="00A279C4">
        <w:rPr>
          <w:noProof/>
        </w:rPr>
        <w:t xml:space="preserve"> </w:t>
      </w:r>
      <w:r w:rsidRPr="00BD008E">
        <w:rPr>
          <w:noProof/>
        </w:rPr>
        <w:t>polysilicon market is bifurcated. The vast majority (&gt;90%) is manufactured to support relatively lower purity photovoltaic (PV) applications. The PV segment is dominated by Chinese suppliers.</w:t>
      </w:r>
    </w:p>
    <w:p w14:paraId="6F0AA133" w14:textId="3866227C" w:rsidR="002D364B" w:rsidRPr="00BD008E" w:rsidRDefault="002D364B" w:rsidP="002D364B">
      <w:pPr>
        <w:rPr>
          <w:noProof/>
        </w:rPr>
      </w:pPr>
      <w:r w:rsidRPr="00BD008E">
        <w:rPr>
          <w:noProof/>
        </w:rPr>
        <w:t xml:space="preserve">That contrasts with electronic- or semiconductor-grade (EG) polysilicon, which has been historically produced outside of China at a more even supply-demand balance. In the EG segment, Germany’s Wacker Chemie (“Wacker”) is a market leader, alongside other key players from the U.S., Japan, and South Korea. </w:t>
      </w:r>
    </w:p>
    <w:p w14:paraId="05D70A5B" w14:textId="6582077F" w:rsidR="002D364B" w:rsidRPr="00BD008E" w:rsidRDefault="002D364B" w:rsidP="002D364B">
      <w:pPr>
        <w:rPr>
          <w:noProof/>
        </w:rPr>
      </w:pPr>
      <w:r w:rsidRPr="00BD008E">
        <w:rPr>
          <w:noProof/>
        </w:rPr>
        <w:t xml:space="preserve">Additionally, the input material required to produce both PV and EG polysilicon is metallurgical-grade silicon (MG-Si), </w:t>
      </w:r>
      <w:r w:rsidR="007225DC" w:rsidRPr="00BD008E">
        <w:rPr>
          <w:noProof/>
        </w:rPr>
        <w:t>for which global supply is heavily dependent on China</w:t>
      </w:r>
      <w:r w:rsidRPr="00BD008E">
        <w:rPr>
          <w:noProof/>
        </w:rPr>
        <w:t xml:space="preserve">. </w:t>
      </w:r>
    </w:p>
    <w:p w14:paraId="25B4FD08" w14:textId="77777777" w:rsidR="002D364B" w:rsidRPr="008B13A5" w:rsidRDefault="002D364B" w:rsidP="00BD008E">
      <w:pPr>
        <w:pStyle w:val="Heading4"/>
        <w:numPr>
          <w:ilvl w:val="5"/>
          <w:numId w:val="5"/>
        </w:numPr>
        <w:rPr>
          <w:noProof/>
          <w:szCs w:val="24"/>
        </w:rPr>
      </w:pPr>
      <w:bookmarkStart w:id="170" w:name="_Toc230010425"/>
      <w:r w:rsidRPr="008B13A5">
        <w:rPr>
          <w:noProof/>
        </w:rPr>
        <w:t>Precursors</w:t>
      </w:r>
      <w:bookmarkEnd w:id="170"/>
    </w:p>
    <w:p w14:paraId="2B5BE9AF" w14:textId="58EEE1E9" w:rsidR="002D364B" w:rsidRPr="00BD008E" w:rsidRDefault="002D364B" w:rsidP="002D364B">
      <w:pPr>
        <w:rPr>
          <w:noProof/>
          <w:szCs w:val="22"/>
        </w:rPr>
      </w:pPr>
      <w:r w:rsidRPr="00BD008E">
        <w:rPr>
          <w:noProof/>
        </w:rPr>
        <w:t>Precursors are complex molecules used in Atomic Layer Deposition (ALD) and Chemical Vapor Deposition (CVD), which enable the atomic-scale precision essential for fabricating transistors, interconnects, and memory structures in advanced chips. They represent one of the most knowledge-intensive, high-value segments of the semiconductor materials chain, and their production requires deep expertise in molecular</w:t>
      </w:r>
      <w:r w:rsidRPr="00BD008E">
        <w:rPr>
          <w:noProof/>
          <w:szCs w:val="22"/>
        </w:rPr>
        <w:t xml:space="preserve"> design, purification, and process integration.</w:t>
      </w:r>
    </w:p>
    <w:p w14:paraId="0020A6E2" w14:textId="1107C107" w:rsidR="002D364B" w:rsidRPr="00BD008E" w:rsidRDefault="002D364B" w:rsidP="002D364B">
      <w:pPr>
        <w:rPr>
          <w:noProof/>
          <w:szCs w:val="22"/>
        </w:rPr>
      </w:pPr>
      <w:r w:rsidRPr="00BD008E">
        <w:rPr>
          <w:noProof/>
          <w:szCs w:val="22"/>
        </w:rPr>
        <w:t xml:space="preserve">The global precursor market, though modest in size at around </w:t>
      </w:r>
      <w:r w:rsidR="007545E7" w:rsidRPr="00BD008E">
        <w:rPr>
          <w:noProof/>
          <w:szCs w:val="22"/>
        </w:rPr>
        <w:t xml:space="preserve">USD </w:t>
      </w:r>
      <w:r w:rsidRPr="00BD008E">
        <w:rPr>
          <w:noProof/>
          <w:szCs w:val="22"/>
        </w:rPr>
        <w:t xml:space="preserve">1.7 billion in annual revenues in 2024, is strategically critical and growing rapidly. The market is projected to exceed </w:t>
      </w:r>
      <w:r w:rsidR="009366BF" w:rsidRPr="00BD008E">
        <w:rPr>
          <w:noProof/>
          <w:szCs w:val="22"/>
        </w:rPr>
        <w:t xml:space="preserve">USD </w:t>
      </w:r>
      <w:r w:rsidRPr="00BD008E">
        <w:rPr>
          <w:noProof/>
          <w:szCs w:val="22"/>
        </w:rPr>
        <w:t>2.</w:t>
      </w:r>
      <w:r w:rsidR="00036C86" w:rsidRPr="00BD008E">
        <w:rPr>
          <w:noProof/>
          <w:szCs w:val="22"/>
        </w:rPr>
        <w:t>5</w:t>
      </w:r>
      <w:r w:rsidRPr="00BD008E">
        <w:rPr>
          <w:noProof/>
          <w:szCs w:val="22"/>
        </w:rPr>
        <w:t xml:space="preserve"> billion by 202</w:t>
      </w:r>
      <w:r w:rsidR="00036C86" w:rsidRPr="00BD008E">
        <w:rPr>
          <w:noProof/>
          <w:szCs w:val="22"/>
        </w:rPr>
        <w:t>9</w:t>
      </w:r>
      <w:r w:rsidRPr="00BD008E">
        <w:rPr>
          <w:noProof/>
          <w:szCs w:val="22"/>
        </w:rPr>
        <w:t xml:space="preserve">, a </w:t>
      </w:r>
      <w:r w:rsidR="00031E3A" w:rsidRPr="00BD008E">
        <w:rPr>
          <w:noProof/>
          <w:szCs w:val="22"/>
        </w:rPr>
        <w:t>47</w:t>
      </w:r>
      <w:r w:rsidRPr="00BD008E">
        <w:rPr>
          <w:noProof/>
          <w:szCs w:val="22"/>
        </w:rPr>
        <w:t>% increase from 2024,</w:t>
      </w:r>
      <w:r w:rsidR="00942892" w:rsidRPr="00BD008E">
        <w:rPr>
          <w:noProof/>
          <w:szCs w:val="22"/>
        </w:rPr>
        <w:t>(</w:t>
      </w:r>
      <w:r w:rsidR="001449E6" w:rsidRPr="00BD008E">
        <w:rPr>
          <w:rStyle w:val="FootnoteReference"/>
          <w:noProof/>
          <w:szCs w:val="22"/>
        </w:rPr>
        <w:footnoteReference w:id="50"/>
      </w:r>
      <w:r w:rsidR="00942892" w:rsidRPr="00BD008E">
        <w:rPr>
          <w:noProof/>
          <w:szCs w:val="22"/>
        </w:rPr>
        <w:t>)</w:t>
      </w:r>
      <w:r w:rsidRPr="00BD008E">
        <w:rPr>
          <w:noProof/>
          <w:szCs w:val="22"/>
        </w:rPr>
        <w:t xml:space="preserve"> driven by demand for advanced logic and 3D memory chips, and by the use of new materials such as cobalt, ruthenium, molybdenum, and ferroelectric high-k dielectrics. Metal and metal oxide precursors account for most of this growth, while dielectric and low-k materials are projected to remain large and stable segments.</w:t>
      </w:r>
    </w:p>
    <w:p w14:paraId="7FAEEA70" w14:textId="59BEBD24" w:rsidR="002D364B" w:rsidRPr="008B13A5" w:rsidRDefault="002D364B" w:rsidP="002D364B">
      <w:pPr>
        <w:rPr>
          <w:noProof/>
        </w:rPr>
      </w:pPr>
      <w:r w:rsidRPr="00BD008E">
        <w:rPr>
          <w:noProof/>
          <w:szCs w:val="22"/>
        </w:rPr>
        <w:t xml:space="preserve">The EU holds a globally leading position in the precursor market through its chemical champions Merck (Germany) and Air Liquide (France). These two companies together command over half of global market share in advanced precursors. Their strengths lie in chemical synthesis, purification, and </w:t>
      </w:r>
      <w:r w:rsidRPr="00BD008E">
        <w:rPr>
          <w:noProof/>
        </w:rPr>
        <w:t>integration with process equipment and fabs. Supporting firms such as BASF (Germany), Solvay (Belgium), Evonik (Germany), Umicore (Belgium)</w:t>
      </w:r>
      <w:r w:rsidR="007E0DF7">
        <w:rPr>
          <w:noProof/>
        </w:rPr>
        <w:t xml:space="preserve"> and</w:t>
      </w:r>
      <w:r w:rsidRPr="00BD008E">
        <w:rPr>
          <w:noProof/>
        </w:rPr>
        <w:t xml:space="preserve"> DOCK Chemicals (Germany)</w:t>
      </w:r>
      <w:r w:rsidR="007E0DF7">
        <w:rPr>
          <w:noProof/>
        </w:rPr>
        <w:t xml:space="preserve"> </w:t>
      </w:r>
      <w:r w:rsidRPr="00BD008E">
        <w:rPr>
          <w:noProof/>
        </w:rPr>
        <w:t>complement this leadership through the development of speciali</w:t>
      </w:r>
      <w:r w:rsidR="00F950A1" w:rsidRPr="00BD008E">
        <w:rPr>
          <w:noProof/>
        </w:rPr>
        <w:t>s</w:t>
      </w:r>
      <w:r w:rsidRPr="00BD008E">
        <w:rPr>
          <w:noProof/>
        </w:rPr>
        <w:t xml:space="preserve">ed chemistries and R&amp;D collaboration. These capabilities, backed by Europe’s strong research ecosystem, make the region a cornerstone of global innovation in ALD and CVD materials. On the other hand, Chinese firms </w:t>
      </w:r>
      <w:r w:rsidR="007E0DF7">
        <w:rPr>
          <w:noProof/>
        </w:rPr>
        <w:t>such as</w:t>
      </w:r>
      <w:r w:rsidR="007E0DF7" w:rsidRPr="00BD008E">
        <w:rPr>
          <w:noProof/>
        </w:rPr>
        <w:t xml:space="preserve"> </w:t>
      </w:r>
      <w:r w:rsidRPr="00BD008E">
        <w:rPr>
          <w:noProof/>
        </w:rPr>
        <w:t>Huate Gas, Nata Opto, and Jingrui are rapidly scaling capacity</w:t>
      </w:r>
      <w:r w:rsidR="007E0DF7">
        <w:rPr>
          <w:noProof/>
        </w:rPr>
        <w:t xml:space="preserve">. </w:t>
      </w:r>
    </w:p>
    <w:p w14:paraId="7464CFAF" w14:textId="2105A5CB" w:rsidR="002D364B" w:rsidRPr="008B13A5" w:rsidRDefault="002D364B" w:rsidP="00BD008E">
      <w:pPr>
        <w:pStyle w:val="Heading4"/>
        <w:rPr>
          <w:noProof/>
        </w:rPr>
      </w:pPr>
      <w:bookmarkStart w:id="171" w:name="_Toc227078857"/>
      <w:bookmarkStart w:id="172" w:name="_Toc230010426"/>
      <w:r w:rsidRPr="008B13A5">
        <w:rPr>
          <w:noProof/>
        </w:rPr>
        <w:t>Manufactured inputs</w:t>
      </w:r>
      <w:bookmarkEnd w:id="171"/>
      <w:bookmarkEnd w:id="172"/>
    </w:p>
    <w:p w14:paraId="5A8064AF" w14:textId="7BF5B4A5" w:rsidR="002D364B" w:rsidRPr="008B13A5" w:rsidRDefault="002D364B" w:rsidP="00BD008E">
      <w:pPr>
        <w:pStyle w:val="Heading4"/>
        <w:numPr>
          <w:ilvl w:val="4"/>
          <w:numId w:val="5"/>
        </w:numPr>
        <w:rPr>
          <w:noProof/>
        </w:rPr>
      </w:pPr>
      <w:bookmarkStart w:id="173" w:name="_Toc230010427"/>
      <w:r w:rsidRPr="008B13A5">
        <w:rPr>
          <w:noProof/>
        </w:rPr>
        <w:t>Front-end manufacturing</w:t>
      </w:r>
      <w:bookmarkEnd w:id="173"/>
      <w:r w:rsidRPr="008B13A5">
        <w:rPr>
          <w:noProof/>
        </w:rPr>
        <w:t xml:space="preserve"> </w:t>
      </w:r>
    </w:p>
    <w:p w14:paraId="0AA36E03" w14:textId="77777777" w:rsidR="002D364B" w:rsidRPr="008B13A5" w:rsidRDefault="002D364B" w:rsidP="00BD008E">
      <w:pPr>
        <w:pStyle w:val="Heading4"/>
        <w:numPr>
          <w:ilvl w:val="5"/>
          <w:numId w:val="5"/>
        </w:numPr>
        <w:rPr>
          <w:noProof/>
          <w:szCs w:val="24"/>
        </w:rPr>
      </w:pPr>
      <w:bookmarkStart w:id="174" w:name="_Toc230010428"/>
      <w:r w:rsidRPr="008B13A5">
        <w:rPr>
          <w:noProof/>
        </w:rPr>
        <w:t>Masks</w:t>
      </w:r>
      <w:bookmarkEnd w:id="174"/>
    </w:p>
    <w:p w14:paraId="3AC013CD" w14:textId="238BC463" w:rsidR="002D364B" w:rsidRPr="008B13A5" w:rsidRDefault="002D364B" w:rsidP="002D364B">
      <w:pPr>
        <w:rPr>
          <w:noProof/>
          <w:szCs w:val="22"/>
        </w:rPr>
      </w:pPr>
      <w:r w:rsidRPr="008B13A5">
        <w:rPr>
          <w:noProof/>
        </w:rPr>
        <w:t xml:space="preserve">Photomasks are </w:t>
      </w:r>
      <w:r w:rsidRPr="008B13A5">
        <w:rPr>
          <w:b/>
          <w:noProof/>
        </w:rPr>
        <w:t xml:space="preserve">design-specific and critical input </w:t>
      </w:r>
      <w:r w:rsidRPr="008B13A5">
        <w:rPr>
          <w:noProof/>
        </w:rPr>
        <w:t xml:space="preserve">to wafer fabrication: each product and process node requires a dedicated mask set, and delays in mask availability can directly gate tape-out schedules and production ramps. The supply base is structurally split between </w:t>
      </w:r>
      <w:r w:rsidRPr="008B13A5">
        <w:rPr>
          <w:b/>
          <w:noProof/>
        </w:rPr>
        <w:t>captive production</w:t>
      </w:r>
      <w:r w:rsidRPr="008B13A5">
        <w:rPr>
          <w:noProof/>
        </w:rPr>
        <w:t xml:space="preserve"> (masks made in-house by leading foundries/IDMs) and the </w:t>
      </w:r>
      <w:r w:rsidRPr="008B13A5">
        <w:rPr>
          <w:b/>
          <w:noProof/>
        </w:rPr>
        <w:t>merchant market</w:t>
      </w:r>
      <w:r w:rsidRPr="008B13A5">
        <w:rPr>
          <w:noProof/>
        </w:rPr>
        <w:t xml:space="preserve"> (external mask shops). Market analysis indicates that captive production</w:t>
      </w:r>
      <w:r w:rsidRPr="008B13A5">
        <w:rPr>
          <w:noProof/>
          <w:szCs w:val="22"/>
        </w:rPr>
        <w:t xml:space="preserve"> increased from </w:t>
      </w:r>
      <w:r w:rsidRPr="008B13A5">
        <w:rPr>
          <w:b/>
          <w:noProof/>
          <w:szCs w:val="22"/>
        </w:rPr>
        <w:t>35% - 65% of the global photomask market</w:t>
      </w:r>
      <w:r w:rsidRPr="008B13A5">
        <w:rPr>
          <w:noProof/>
          <w:szCs w:val="22"/>
        </w:rPr>
        <w:t xml:space="preserve"> between </w:t>
      </w:r>
      <w:r w:rsidRPr="008B13A5">
        <w:rPr>
          <w:b/>
          <w:noProof/>
          <w:szCs w:val="22"/>
        </w:rPr>
        <w:t>2008 and 2020</w:t>
      </w:r>
      <w:r w:rsidRPr="008B13A5">
        <w:rPr>
          <w:noProof/>
          <w:szCs w:val="22"/>
        </w:rPr>
        <w:t>, implying that firms without captive capability are increasingly reliant on a relatively smaller merchant capacity pool, which can tighten during upcycles.</w:t>
      </w:r>
      <w:r w:rsidR="00F274DD" w:rsidRPr="008B13A5">
        <w:rPr>
          <w:noProof/>
          <w:szCs w:val="22"/>
        </w:rPr>
        <w:t xml:space="preserve"> </w:t>
      </w:r>
      <w:r w:rsidRPr="008B13A5">
        <w:rPr>
          <w:noProof/>
          <w:szCs w:val="22"/>
        </w:rPr>
        <w:t>(</w:t>
      </w:r>
      <w:r w:rsidRPr="008B13A5">
        <w:rPr>
          <w:noProof/>
          <w:szCs w:val="22"/>
          <w:vertAlign w:val="superscript"/>
        </w:rPr>
        <w:footnoteReference w:id="51"/>
      </w:r>
      <w:r w:rsidRPr="008B13A5">
        <w:rPr>
          <w:noProof/>
          <w:szCs w:val="22"/>
        </w:rPr>
        <w:t>)</w:t>
      </w:r>
    </w:p>
    <w:p w14:paraId="75C4677A" w14:textId="59FA33E0" w:rsidR="002D364B" w:rsidRPr="008B13A5" w:rsidRDefault="002D364B" w:rsidP="002D364B">
      <w:pPr>
        <w:rPr>
          <w:noProof/>
        </w:rPr>
      </w:pPr>
      <w:r w:rsidRPr="008B13A5">
        <w:rPr>
          <w:noProof/>
          <w:szCs w:val="22"/>
        </w:rPr>
        <w:t xml:space="preserve">In the merchant segment, key suppliers include </w:t>
      </w:r>
      <w:r w:rsidRPr="008B13A5">
        <w:rPr>
          <w:b/>
          <w:noProof/>
          <w:szCs w:val="22"/>
        </w:rPr>
        <w:t>Tekscend Photomask (Japan)</w:t>
      </w:r>
      <w:r w:rsidRPr="008B13A5">
        <w:rPr>
          <w:noProof/>
          <w:szCs w:val="22"/>
        </w:rPr>
        <w:t xml:space="preserve">, </w:t>
      </w:r>
      <w:r w:rsidRPr="008B13A5">
        <w:rPr>
          <w:b/>
          <w:noProof/>
          <w:szCs w:val="22"/>
        </w:rPr>
        <w:t>Dai Nippon Printing, DNP (Japan)</w:t>
      </w:r>
      <w:r w:rsidRPr="008B13A5">
        <w:rPr>
          <w:noProof/>
          <w:szCs w:val="22"/>
        </w:rPr>
        <w:t xml:space="preserve">, </w:t>
      </w:r>
      <w:r w:rsidRPr="008B13A5">
        <w:rPr>
          <w:b/>
          <w:noProof/>
          <w:szCs w:val="22"/>
        </w:rPr>
        <w:t>Photronics (United States)</w:t>
      </w:r>
      <w:r w:rsidRPr="008B13A5">
        <w:rPr>
          <w:noProof/>
          <w:szCs w:val="22"/>
        </w:rPr>
        <w:t xml:space="preserve">, </w:t>
      </w:r>
      <w:r w:rsidRPr="008B13A5">
        <w:rPr>
          <w:b/>
          <w:noProof/>
          <w:szCs w:val="22"/>
        </w:rPr>
        <w:t>SK-Electronics (Japan)</w:t>
      </w:r>
      <w:r w:rsidRPr="008B13A5">
        <w:rPr>
          <w:noProof/>
          <w:szCs w:val="22"/>
        </w:rPr>
        <w:t xml:space="preserve">, and </w:t>
      </w:r>
      <w:r w:rsidRPr="008B13A5">
        <w:rPr>
          <w:b/>
          <w:noProof/>
          <w:szCs w:val="22"/>
        </w:rPr>
        <w:t>Taiwan Mask Corporation, TMC (Taiwan)</w:t>
      </w:r>
      <w:r w:rsidRPr="008B13A5">
        <w:rPr>
          <w:noProof/>
          <w:szCs w:val="22"/>
        </w:rPr>
        <w:t>. While no E headquartered companies are in this market, Tekscend has a production facility in Dresden that supplies leading-edge photomasks including for EUV lithography.</w:t>
      </w:r>
    </w:p>
    <w:p w14:paraId="0AC2A284" w14:textId="4C35DD01" w:rsidR="002D364B" w:rsidRPr="008B13A5" w:rsidRDefault="002D364B" w:rsidP="002D364B">
      <w:pPr>
        <w:rPr>
          <w:noProof/>
        </w:rPr>
      </w:pPr>
      <w:r w:rsidRPr="008B13A5">
        <w:rPr>
          <w:noProof/>
        </w:rPr>
        <w:t xml:space="preserve">Upstream of mask shops, supply is further concentrated in </w:t>
      </w:r>
      <w:r w:rsidRPr="008B13A5">
        <w:rPr>
          <w:b/>
          <w:noProof/>
        </w:rPr>
        <w:t>EUV mask blanks</w:t>
      </w:r>
      <w:r w:rsidRPr="008B13A5">
        <w:rPr>
          <w:noProof/>
        </w:rPr>
        <w:t xml:space="preserve">, where a recent market summary reports that the top two manufacturers, </w:t>
      </w:r>
      <w:r w:rsidRPr="008B13A5">
        <w:rPr>
          <w:b/>
          <w:noProof/>
        </w:rPr>
        <w:t>AGC (Japan)</w:t>
      </w:r>
      <w:r w:rsidRPr="008B13A5">
        <w:rPr>
          <w:noProof/>
        </w:rPr>
        <w:t xml:space="preserve"> and </w:t>
      </w:r>
      <w:r w:rsidRPr="008B13A5">
        <w:rPr>
          <w:b/>
          <w:noProof/>
        </w:rPr>
        <w:t>HOYA (Japan)</w:t>
      </w:r>
      <w:r w:rsidRPr="008B13A5">
        <w:rPr>
          <w:noProof/>
        </w:rPr>
        <w:t xml:space="preserve">, account for </w:t>
      </w:r>
      <w:r w:rsidRPr="008B13A5">
        <w:rPr>
          <w:b/>
          <w:noProof/>
        </w:rPr>
        <w:t>around 93%</w:t>
      </w:r>
      <w:r w:rsidRPr="008B13A5">
        <w:rPr>
          <w:noProof/>
        </w:rPr>
        <w:t xml:space="preserve"> of the market, creating an additional dependency that can propagate into mask availability even where mask-making capacity exists.</w:t>
      </w:r>
      <w:r w:rsidR="00F274DD" w:rsidRPr="008B13A5">
        <w:rPr>
          <w:noProof/>
        </w:rPr>
        <w:t xml:space="preserve"> </w:t>
      </w:r>
      <w:r w:rsidRPr="008B13A5">
        <w:rPr>
          <w:noProof/>
        </w:rPr>
        <w:t>(</w:t>
      </w:r>
      <w:r w:rsidRPr="008B13A5">
        <w:rPr>
          <w:noProof/>
          <w:vertAlign w:val="superscript"/>
        </w:rPr>
        <w:footnoteReference w:id="52"/>
      </w:r>
      <w:r w:rsidRPr="008B13A5">
        <w:rPr>
          <w:noProof/>
        </w:rPr>
        <w:t xml:space="preserve">) </w:t>
      </w:r>
    </w:p>
    <w:p w14:paraId="67E16AB5" w14:textId="7E09A064" w:rsidR="002D364B" w:rsidRPr="008B13A5" w:rsidRDefault="002D364B" w:rsidP="00BD008E">
      <w:pPr>
        <w:pStyle w:val="Heading4"/>
        <w:numPr>
          <w:ilvl w:val="4"/>
          <w:numId w:val="5"/>
        </w:numPr>
        <w:rPr>
          <w:noProof/>
        </w:rPr>
      </w:pPr>
      <w:bookmarkStart w:id="175" w:name="_Toc230010429"/>
      <w:r w:rsidRPr="008B13A5">
        <w:rPr>
          <w:noProof/>
        </w:rPr>
        <w:t>Advanced packaging</w:t>
      </w:r>
      <w:bookmarkEnd w:id="175"/>
    </w:p>
    <w:p w14:paraId="4DC789E7" w14:textId="77777777" w:rsidR="002D364B" w:rsidRPr="008B13A5" w:rsidRDefault="002D364B" w:rsidP="00BD008E">
      <w:pPr>
        <w:pStyle w:val="Heading4"/>
        <w:numPr>
          <w:ilvl w:val="5"/>
          <w:numId w:val="5"/>
        </w:numPr>
        <w:rPr>
          <w:noProof/>
          <w:szCs w:val="24"/>
        </w:rPr>
      </w:pPr>
      <w:bookmarkStart w:id="176" w:name="_Toc230010430"/>
      <w:r w:rsidRPr="008B13A5">
        <w:rPr>
          <w:noProof/>
        </w:rPr>
        <w:t>T-Glass</w:t>
      </w:r>
      <w:bookmarkEnd w:id="176"/>
    </w:p>
    <w:p w14:paraId="7B024F30" w14:textId="739CC646" w:rsidR="002D364B" w:rsidRPr="008B13A5" w:rsidRDefault="002D364B" w:rsidP="002D364B">
      <w:pPr>
        <w:rPr>
          <w:noProof/>
        </w:rPr>
      </w:pPr>
      <w:r w:rsidRPr="008B13A5">
        <w:rPr>
          <w:noProof/>
        </w:rPr>
        <w:t xml:space="preserve">Nittobo’s </w:t>
      </w:r>
      <w:r w:rsidRPr="008B13A5">
        <w:rPr>
          <w:b/>
          <w:noProof/>
        </w:rPr>
        <w:t>T-glass</w:t>
      </w:r>
      <w:r w:rsidRPr="008B13A5">
        <w:rPr>
          <w:noProof/>
        </w:rPr>
        <w:t xml:space="preserve"> is a specialised glass cloth used in the </w:t>
      </w:r>
      <w:r w:rsidRPr="008B13A5">
        <w:rPr>
          <w:b/>
          <w:noProof/>
        </w:rPr>
        <w:t>package substrates</w:t>
      </w:r>
      <w:r w:rsidRPr="008B13A5">
        <w:rPr>
          <w:noProof/>
        </w:rPr>
        <w:t xml:space="preserve"> that support and connect advanced chips (the “carrier” that links the silicon to the rest of the device). Its purpose is to improve </w:t>
      </w:r>
      <w:r w:rsidRPr="008B13A5">
        <w:rPr>
          <w:b/>
          <w:noProof/>
        </w:rPr>
        <w:t>dimensional stability under heat</w:t>
      </w:r>
      <w:r w:rsidRPr="008B13A5">
        <w:rPr>
          <w:noProof/>
        </w:rPr>
        <w:t>, which helps reduce substrate warpage and supports manufacturing yields and reliability in large, high-power packages.(</w:t>
      </w:r>
      <w:r w:rsidRPr="008B13A5">
        <w:rPr>
          <w:noProof/>
          <w:vertAlign w:val="superscript"/>
        </w:rPr>
        <w:footnoteReference w:id="53"/>
      </w:r>
      <w:r w:rsidRPr="008B13A5">
        <w:rPr>
          <w:noProof/>
        </w:rPr>
        <w:t xml:space="preserve">) Nittobo explicitly positions this material </w:t>
      </w:r>
      <w:r w:rsidR="00AE0C34">
        <w:rPr>
          <w:noProof/>
        </w:rPr>
        <w:t xml:space="preserve">as crucial </w:t>
      </w:r>
      <w:r w:rsidRPr="008B13A5">
        <w:rPr>
          <w:noProof/>
        </w:rPr>
        <w:t xml:space="preserve">for </w:t>
      </w:r>
      <w:r w:rsidRPr="008B13A5">
        <w:rPr>
          <w:b/>
          <w:noProof/>
        </w:rPr>
        <w:t>semiconductor package substrates</w:t>
      </w:r>
      <w:r w:rsidRPr="008B13A5">
        <w:rPr>
          <w:noProof/>
        </w:rPr>
        <w:t xml:space="preserve"> used in </w:t>
      </w:r>
      <w:r w:rsidRPr="008B13A5">
        <w:rPr>
          <w:b/>
          <w:noProof/>
        </w:rPr>
        <w:t>high-performance CPUs</w:t>
      </w:r>
      <w:r w:rsidRPr="008B13A5">
        <w:rPr>
          <w:noProof/>
        </w:rPr>
        <w:t xml:space="preserve"> and </w:t>
      </w:r>
      <w:r w:rsidRPr="008B13A5">
        <w:rPr>
          <w:b/>
          <w:noProof/>
        </w:rPr>
        <w:t>AI semiconductors</w:t>
      </w:r>
      <w:r w:rsidRPr="008B13A5">
        <w:rPr>
          <w:noProof/>
        </w:rPr>
        <w:t xml:space="preserve">, and also links it to </w:t>
      </w:r>
      <w:r w:rsidRPr="008B13A5">
        <w:rPr>
          <w:b/>
          <w:noProof/>
        </w:rPr>
        <w:t>communications ASICs and switches</w:t>
      </w:r>
      <w:r w:rsidRPr="008B13A5">
        <w:rPr>
          <w:noProof/>
        </w:rPr>
        <w:t>, making it relevant to data-centre compute and high-speed networking supply chains.</w:t>
      </w:r>
      <w:r w:rsidR="00F274DD" w:rsidRPr="008B13A5">
        <w:rPr>
          <w:noProof/>
        </w:rPr>
        <w:t xml:space="preserve"> </w:t>
      </w:r>
      <w:r w:rsidRPr="008B13A5">
        <w:rPr>
          <w:noProof/>
        </w:rPr>
        <w:t>(</w:t>
      </w:r>
      <w:r w:rsidRPr="008B13A5">
        <w:rPr>
          <w:noProof/>
          <w:vertAlign w:val="superscript"/>
        </w:rPr>
        <w:footnoteReference w:id="54"/>
      </w:r>
      <w:r w:rsidRPr="008B13A5">
        <w:rPr>
          <w:noProof/>
        </w:rPr>
        <w:t xml:space="preserve">) From a resilience perspective, the key impact driver is </w:t>
      </w:r>
      <w:r w:rsidRPr="008B13A5">
        <w:rPr>
          <w:b/>
          <w:noProof/>
        </w:rPr>
        <w:t>market concentration</w:t>
      </w:r>
      <w:r w:rsidRPr="008B13A5">
        <w:rPr>
          <w:noProof/>
        </w:rPr>
        <w:t xml:space="preserve">: industry reporting places Nittobo at </w:t>
      </w:r>
      <w:r w:rsidRPr="008B13A5">
        <w:rPr>
          <w:b/>
          <w:noProof/>
        </w:rPr>
        <w:t>around 90% market share</w:t>
      </w:r>
      <w:r w:rsidRPr="008B13A5">
        <w:rPr>
          <w:noProof/>
        </w:rPr>
        <w:t xml:space="preserve"> in the relevant semiconductor-materials glass fibre cloth segment (often referenced specifically as low-CTE/T-glass), indicating limited redundancy and a heightened risk of bottlenecks if capacity, logistics, or qualification timelines are disrupted.</w:t>
      </w:r>
      <w:r w:rsidR="00F274DD" w:rsidRPr="008B13A5">
        <w:rPr>
          <w:noProof/>
        </w:rPr>
        <w:t xml:space="preserve"> </w:t>
      </w:r>
      <w:r w:rsidRPr="008B13A5">
        <w:rPr>
          <w:noProof/>
        </w:rPr>
        <w:t>(</w:t>
      </w:r>
      <w:r w:rsidRPr="008B13A5">
        <w:rPr>
          <w:noProof/>
          <w:vertAlign w:val="superscript"/>
        </w:rPr>
        <w:footnoteReference w:id="55"/>
      </w:r>
      <w:r w:rsidRPr="008B13A5">
        <w:rPr>
          <w:noProof/>
        </w:rPr>
        <w:t xml:space="preserve">) </w:t>
      </w:r>
    </w:p>
    <w:p w14:paraId="22A4D056" w14:textId="74F797F4" w:rsidR="002D364B" w:rsidRPr="008B13A5" w:rsidRDefault="002D364B" w:rsidP="00BD008E">
      <w:pPr>
        <w:pStyle w:val="Heading4"/>
        <w:numPr>
          <w:ilvl w:val="5"/>
          <w:numId w:val="5"/>
        </w:numPr>
        <w:rPr>
          <w:noProof/>
          <w:szCs w:val="24"/>
        </w:rPr>
      </w:pPr>
      <w:bookmarkStart w:id="177" w:name="_Toc230010431"/>
      <w:r w:rsidRPr="008B13A5">
        <w:rPr>
          <w:noProof/>
        </w:rPr>
        <w:t>Dielectric polymer film</w:t>
      </w:r>
      <w:bookmarkEnd w:id="177"/>
    </w:p>
    <w:p w14:paraId="53EB0D45" w14:textId="28FC4AC1" w:rsidR="002D364B" w:rsidRPr="008B13A5" w:rsidRDefault="002D364B" w:rsidP="00BD008E">
      <w:pPr>
        <w:rPr>
          <w:b/>
          <w:bCs/>
          <w:noProof/>
          <w:szCs w:val="22"/>
          <w:u w:val="single"/>
        </w:rPr>
      </w:pPr>
      <w:r w:rsidRPr="008B13A5">
        <w:rPr>
          <w:noProof/>
        </w:rPr>
        <w:t>When it comes to dielectric polymer film, a key insulating material used in CPUs and GPUs, 95% of supply is dependent on one manufacturer in Japan, Ajinomoto, with its Ajinomoto Build-up Film (ABF).</w:t>
      </w:r>
      <w:r w:rsidR="00F274DD" w:rsidRPr="008B13A5">
        <w:rPr>
          <w:noProof/>
        </w:rPr>
        <w:t xml:space="preserve"> </w:t>
      </w:r>
      <w:r w:rsidRPr="008B13A5">
        <w:rPr>
          <w:noProof/>
        </w:rPr>
        <w:t>(</w:t>
      </w:r>
      <w:r w:rsidRPr="008B13A5">
        <w:rPr>
          <w:noProof/>
          <w:vertAlign w:val="superscript"/>
        </w:rPr>
        <w:footnoteReference w:id="56"/>
      </w:r>
      <w:r w:rsidRPr="008B13A5">
        <w:rPr>
          <w:noProof/>
        </w:rPr>
        <w:t xml:space="preserve">) This film is used in </w:t>
      </w:r>
      <w:r w:rsidRPr="008B13A5">
        <w:rPr>
          <w:b/>
          <w:bCs/>
          <w:noProof/>
        </w:rPr>
        <w:t>build-up package substrates</w:t>
      </w:r>
      <w:r w:rsidRPr="008B13A5">
        <w:rPr>
          <w:noProof/>
        </w:rPr>
        <w:t xml:space="preserve"> that sit between the silicon die (e.g., CPU/GPU) and the printed circuit board, enabling the dense multilayer wiring and microvia structures needed to route signals from nanometre-scale on-chip circuitry to millimetre-scale system interconnects.</w:t>
      </w:r>
      <w:r w:rsidR="00F274DD" w:rsidRPr="008B13A5">
        <w:rPr>
          <w:noProof/>
        </w:rPr>
        <w:t xml:space="preserve"> </w:t>
      </w:r>
      <w:r w:rsidRPr="008B13A5">
        <w:rPr>
          <w:noProof/>
        </w:rPr>
        <w:t>(</w:t>
      </w:r>
      <w:r w:rsidRPr="008B13A5">
        <w:rPr>
          <w:noProof/>
          <w:vertAlign w:val="superscript"/>
        </w:rPr>
        <w:footnoteReference w:id="57"/>
      </w:r>
      <w:r w:rsidRPr="008B13A5">
        <w:rPr>
          <w:noProof/>
        </w:rPr>
        <w:t>)</w:t>
      </w:r>
    </w:p>
    <w:p w14:paraId="7B68EBDA" w14:textId="393C8D95" w:rsidR="002D364B" w:rsidRPr="008B13A5" w:rsidRDefault="002D364B" w:rsidP="00BD008E">
      <w:pPr>
        <w:pStyle w:val="Heading4"/>
        <w:rPr>
          <w:noProof/>
        </w:rPr>
      </w:pPr>
      <w:bookmarkStart w:id="178" w:name="_Toc227078858"/>
      <w:bookmarkStart w:id="179" w:name="_Toc230010432"/>
      <w:r w:rsidRPr="008B13A5">
        <w:rPr>
          <w:noProof/>
        </w:rPr>
        <w:t>Manufacturing equipment</w:t>
      </w:r>
      <w:bookmarkEnd w:id="178"/>
      <w:r w:rsidR="00D34A81">
        <w:rPr>
          <w:noProof/>
        </w:rPr>
        <w:t xml:space="preserve"> </w:t>
      </w:r>
      <w:r w:rsidR="00D34A81" w:rsidRPr="00974B44">
        <w:rPr>
          <w:noProof/>
        </w:rPr>
        <w:t>(</w:t>
      </w:r>
      <w:r w:rsidR="00D34A81" w:rsidRPr="00974B44">
        <w:rPr>
          <w:noProof/>
          <w:vertAlign w:val="superscript"/>
        </w:rPr>
        <w:footnoteReference w:id="58"/>
      </w:r>
      <w:r w:rsidR="00D34A81" w:rsidRPr="00974B44">
        <w:rPr>
          <w:noProof/>
        </w:rPr>
        <w:t>)</w:t>
      </w:r>
      <w:bookmarkEnd w:id="179"/>
    </w:p>
    <w:p w14:paraId="032CF798" w14:textId="069490EB" w:rsidR="002D364B" w:rsidRPr="008B13A5" w:rsidRDefault="002D364B" w:rsidP="00BD008E">
      <w:pPr>
        <w:rPr>
          <w:noProof/>
        </w:rPr>
      </w:pPr>
      <w:r w:rsidRPr="008B13A5">
        <w:rPr>
          <w:noProof/>
        </w:rPr>
        <w:t xml:space="preserve">The manufacturing process for a chip is equipment intensive and as is the case across the semiconductor value chain, the equipment ecosystem is fragmented and highly specialised. For the purpose of simplicity, this analysis will group the equipment market in two </w:t>
      </w:r>
      <w:r w:rsidR="00CA5680">
        <w:rPr>
          <w:noProof/>
        </w:rPr>
        <w:t xml:space="preserve">- </w:t>
      </w:r>
      <w:r w:rsidRPr="008B13A5">
        <w:rPr>
          <w:noProof/>
        </w:rPr>
        <w:t xml:space="preserve">front-end and back-end manufacturing. </w:t>
      </w:r>
    </w:p>
    <w:p w14:paraId="6F233D2F" w14:textId="10D40CD3" w:rsidR="002D364B" w:rsidRPr="008B13A5" w:rsidRDefault="002D364B" w:rsidP="00BD008E">
      <w:pPr>
        <w:rPr>
          <w:noProof/>
        </w:rPr>
      </w:pPr>
      <w:r w:rsidRPr="008B13A5">
        <w:rPr>
          <w:b/>
          <w:bCs/>
          <w:noProof/>
        </w:rPr>
        <w:t xml:space="preserve">Front-end manufacturing </w:t>
      </w:r>
      <w:r w:rsidRPr="008B13A5">
        <w:rPr>
          <w:noProof/>
        </w:rPr>
        <w:t xml:space="preserve">(FEOL/BEOL wafer fabrication) comprises the processes used to form semiconductor devices and interconnect structures on a silicon wafer, including transistor formation, dielectric and metal layer deposition, patterning, etching, and planarisation. </w:t>
      </w:r>
      <w:r w:rsidRPr="008B13A5">
        <w:rPr>
          <w:b/>
          <w:bCs/>
          <w:noProof/>
        </w:rPr>
        <w:t xml:space="preserve">Back-end manufacturing </w:t>
      </w:r>
      <w:r w:rsidRPr="008B13A5">
        <w:rPr>
          <w:noProof/>
        </w:rPr>
        <w:t>(assembly, packaging, and test) comprises post-fabrication operations that separate the wafer into individual dies and integrate each die into a package, including die attach, electrical interconnection (e.g., wire bond or flip-chip), encapsulation, thermal/mechanical integration, and final electrical test.</w:t>
      </w:r>
    </w:p>
    <w:p w14:paraId="35EF3268" w14:textId="5DA26985" w:rsidR="002D364B" w:rsidRPr="008B13A5" w:rsidRDefault="002D364B" w:rsidP="00BD008E">
      <w:pPr>
        <w:pStyle w:val="Heading4"/>
        <w:numPr>
          <w:ilvl w:val="4"/>
          <w:numId w:val="5"/>
        </w:numPr>
        <w:rPr>
          <w:noProof/>
          <w:szCs w:val="22"/>
        </w:rPr>
      </w:pPr>
      <w:bookmarkStart w:id="180" w:name="_Toc230010433"/>
      <w:r w:rsidRPr="008B13A5">
        <w:rPr>
          <w:noProof/>
        </w:rPr>
        <w:t>Front end</w:t>
      </w:r>
      <w:r w:rsidR="003E646E" w:rsidRPr="008B13A5">
        <w:rPr>
          <w:noProof/>
        </w:rPr>
        <w:t xml:space="preserve"> equipment</w:t>
      </w:r>
      <w:bookmarkEnd w:id="180"/>
    </w:p>
    <w:p w14:paraId="346D93C7" w14:textId="2A2E27A6" w:rsidR="002D364B" w:rsidRPr="00BD008E" w:rsidRDefault="002D364B" w:rsidP="00BD008E">
      <w:pPr>
        <w:rPr>
          <w:noProof/>
        </w:rPr>
      </w:pPr>
      <w:r w:rsidRPr="00BD008E">
        <w:rPr>
          <w:noProof/>
        </w:rPr>
        <w:t xml:space="preserve">When it comes to front-end equipment, the EU’s most significant lever is </w:t>
      </w:r>
      <w:r w:rsidRPr="00BD008E">
        <w:rPr>
          <w:b/>
          <w:noProof/>
        </w:rPr>
        <w:t>lithography (approx.. 92%)</w:t>
      </w:r>
      <w:r w:rsidRPr="00BD008E">
        <w:rPr>
          <w:noProof/>
        </w:rPr>
        <w:t xml:space="preserve">. This is a strong position in a critical process step, but it is also highly concentrated in one segment. In contrast, </w:t>
      </w:r>
      <w:r w:rsidRPr="00BD008E">
        <w:rPr>
          <w:b/>
          <w:noProof/>
        </w:rPr>
        <w:t>front-end wafer-fab equipment as a whole</w:t>
      </w:r>
      <w:r w:rsidRPr="00BD008E">
        <w:rPr>
          <w:noProof/>
        </w:rPr>
        <w:t xml:space="preserve"> is led by the </w:t>
      </w:r>
      <w:r w:rsidRPr="00BD008E">
        <w:rPr>
          <w:b/>
          <w:noProof/>
        </w:rPr>
        <w:t xml:space="preserve">United States </w:t>
      </w:r>
      <w:r w:rsidRPr="00BD008E">
        <w:rPr>
          <w:noProof/>
        </w:rPr>
        <w:t xml:space="preserve">with a market share of approximately 40%, followed by </w:t>
      </w:r>
      <w:r w:rsidRPr="00BD008E">
        <w:rPr>
          <w:b/>
          <w:noProof/>
        </w:rPr>
        <w:t xml:space="preserve">Japan </w:t>
      </w:r>
      <w:r w:rsidRPr="00BD008E">
        <w:rPr>
          <w:noProof/>
        </w:rPr>
        <w:t>at approximately</w:t>
      </w:r>
      <w:r w:rsidRPr="00BD008E">
        <w:rPr>
          <w:b/>
          <w:noProof/>
        </w:rPr>
        <w:t xml:space="preserve"> </w:t>
      </w:r>
      <w:r w:rsidRPr="00BD008E">
        <w:rPr>
          <w:noProof/>
        </w:rPr>
        <w:t xml:space="preserve">28% and </w:t>
      </w:r>
      <w:r w:rsidRPr="00BD008E">
        <w:rPr>
          <w:b/>
          <w:noProof/>
        </w:rPr>
        <w:t xml:space="preserve">Korea </w:t>
      </w:r>
      <w:r w:rsidRPr="00BD008E">
        <w:rPr>
          <w:noProof/>
        </w:rPr>
        <w:t xml:space="preserve">at 24%, with the EU remaining in </w:t>
      </w:r>
      <w:r w:rsidRPr="00BD008E">
        <w:rPr>
          <w:b/>
          <w:noProof/>
        </w:rPr>
        <w:t>single digits</w:t>
      </w:r>
      <w:r w:rsidRPr="00BD008E">
        <w:rPr>
          <w:noProof/>
        </w:rPr>
        <w:t>.(</w:t>
      </w:r>
      <w:r w:rsidRPr="00BD008E">
        <w:rPr>
          <w:noProof/>
          <w:vertAlign w:val="superscript"/>
        </w:rPr>
        <w:footnoteReference w:id="59"/>
      </w:r>
      <w:r w:rsidRPr="00BD008E">
        <w:rPr>
          <w:noProof/>
        </w:rPr>
        <w:t>) This distribution indicates that Europe’s influence over upstream manufacturing capacity is not commensurate with its lithography strength.</w:t>
      </w:r>
    </w:p>
    <w:p w14:paraId="6ACB0485" w14:textId="77777777" w:rsidR="002D364B" w:rsidRPr="008B13A5" w:rsidRDefault="002D364B" w:rsidP="00BD008E">
      <w:pPr>
        <w:pStyle w:val="Heading4"/>
        <w:numPr>
          <w:ilvl w:val="5"/>
          <w:numId w:val="5"/>
        </w:numPr>
        <w:rPr>
          <w:noProof/>
        </w:rPr>
      </w:pPr>
      <w:bookmarkStart w:id="181" w:name="_Toc230010434"/>
      <w:r w:rsidRPr="008B13A5">
        <w:rPr>
          <w:noProof/>
        </w:rPr>
        <w:t>Deposition</w:t>
      </w:r>
      <w:bookmarkEnd w:id="181"/>
    </w:p>
    <w:p w14:paraId="09794A3F" w14:textId="3C601E23" w:rsidR="002D364B" w:rsidRPr="008B13A5" w:rsidRDefault="002D364B" w:rsidP="00BD008E">
      <w:pPr>
        <w:rPr>
          <w:noProof/>
        </w:rPr>
      </w:pPr>
      <w:r w:rsidRPr="008B13A5">
        <w:rPr>
          <w:noProof/>
        </w:rPr>
        <w:t>Deposition equipment comprises chemical vapour deposition (CVD) and plasma-enhanced CVD for dielectrics and spacers, physical vapour deposition (PVD, sputter) for metals and liners, atomic layer deposition (ALD) for ultra-thin conformal films (including high-k and barriers), and, in advanced FEOL, epitaxy reactors for selective Si/SiGe growth. Here, the leading vendors are primarily non-European, notably Applied Materials (US), Tokyo Electron (JP) and LAM (US), with a significant European position in ALD through ASM (NL).</w:t>
      </w:r>
    </w:p>
    <w:p w14:paraId="0D2203F8" w14:textId="1542B98D" w:rsidR="002D364B" w:rsidRPr="008B13A5" w:rsidRDefault="002D364B" w:rsidP="00BD008E">
      <w:pPr>
        <w:rPr>
          <w:noProof/>
        </w:rPr>
      </w:pPr>
      <w:r w:rsidRPr="008B13A5">
        <w:rPr>
          <w:noProof/>
        </w:rPr>
        <w:t>In 2023, the deposition equipment market totalled USD 23.1bn in sales and was dominated by Applied Materials (US) at 54% market share and Lam Research (US) at 14%, Tokyo Electron at 13% and ASM (NL) at 10% representing the most significant EU position in this sub-segment.</w:t>
      </w:r>
      <w:r w:rsidRPr="00BD008E">
        <w:rPr>
          <w:noProof/>
          <w:vertAlign w:val="superscript"/>
        </w:rPr>
        <w:t xml:space="preserve"> </w:t>
      </w:r>
      <w:r w:rsidR="00F274DD" w:rsidRPr="00BD008E">
        <w:rPr>
          <w:noProof/>
          <w:vertAlign w:val="superscript"/>
        </w:rPr>
        <w:t xml:space="preserve"> </w:t>
      </w:r>
      <w:r w:rsidRPr="00BD008E">
        <w:rPr>
          <w:noProof/>
          <w:vertAlign w:val="superscript"/>
        </w:rPr>
        <w:t>(</w:t>
      </w:r>
      <w:r w:rsidRPr="00BD008E">
        <w:rPr>
          <w:noProof/>
          <w:vertAlign w:val="superscript"/>
        </w:rPr>
        <w:footnoteReference w:id="60"/>
      </w:r>
      <w:r w:rsidRPr="00BD008E">
        <w:rPr>
          <w:noProof/>
          <w:vertAlign w:val="superscript"/>
        </w:rPr>
        <w:t>)</w:t>
      </w:r>
    </w:p>
    <w:p w14:paraId="6CFEF398" w14:textId="77777777" w:rsidR="002D364B" w:rsidRPr="008B13A5" w:rsidRDefault="002D364B" w:rsidP="00BD008E">
      <w:pPr>
        <w:pStyle w:val="Heading4"/>
        <w:numPr>
          <w:ilvl w:val="5"/>
          <w:numId w:val="5"/>
        </w:numPr>
        <w:rPr>
          <w:noProof/>
        </w:rPr>
      </w:pPr>
      <w:bookmarkStart w:id="182" w:name="_Toc230010435"/>
      <w:r w:rsidRPr="008B13A5">
        <w:rPr>
          <w:noProof/>
        </w:rPr>
        <w:t>Lithography</w:t>
      </w:r>
      <w:bookmarkEnd w:id="182"/>
    </w:p>
    <w:p w14:paraId="0BD3F865" w14:textId="275FFDC7" w:rsidR="002D364B" w:rsidRPr="008B13A5" w:rsidRDefault="002D364B" w:rsidP="00BD008E">
      <w:pPr>
        <w:rPr>
          <w:noProof/>
        </w:rPr>
      </w:pPr>
      <w:r w:rsidRPr="008B13A5">
        <w:rPr>
          <w:noProof/>
        </w:rPr>
        <w:t>Lithography is the manufacturing step that transfers a circuit pattern onto a silicon wafer. A photomask contains the pattern for one layer. The wafer is coated with a light-sensitive film (photoresist), then a lithography tool projects light through the reticle to expose the resist. The wafer is developed so parts of the resist are removed, leaving a temporary patterned layer that acts as a stencil.</w:t>
      </w:r>
    </w:p>
    <w:p w14:paraId="5DECFD00" w14:textId="78D5ADA2" w:rsidR="002D364B" w:rsidRPr="008B13A5" w:rsidRDefault="002D364B" w:rsidP="00BD008E">
      <w:pPr>
        <w:rPr>
          <w:noProof/>
        </w:rPr>
      </w:pPr>
      <w:r w:rsidRPr="008B13A5">
        <w:rPr>
          <w:noProof/>
        </w:rPr>
        <w:t xml:space="preserve">Lithography combines the exposure tool (i.e. optical exposure) with resist processing (coater/developer tracks) to transfer mask patterns into photoresist, which subsequently guides etch or implant. </w:t>
      </w:r>
    </w:p>
    <w:p w14:paraId="67B2DFAF" w14:textId="73197198" w:rsidR="002D364B" w:rsidRPr="008B13A5" w:rsidRDefault="002D364B" w:rsidP="00BD008E">
      <w:pPr>
        <w:rPr>
          <w:noProof/>
        </w:rPr>
      </w:pPr>
      <w:r w:rsidRPr="008B13A5">
        <w:rPr>
          <w:noProof/>
        </w:rPr>
        <w:t xml:space="preserve">In 2023, lithography sales were at USD 25.1bn and were overwhelmingly concentrated in ASML (NL) with a 92% market share, with small EU shares held by SUSS MicroTec (DE, 0.5%) and EV Group (AT, 0.2%). Within the Extreme Ultraviolet (EUV) segment, required for the most leading-edge chips, ASML holds 100% market share, with Canon (JP) and Nikon (JP) being competitors in Deep Ultraviolet (DUV) machines. </w:t>
      </w:r>
    </w:p>
    <w:p w14:paraId="543C31FC" w14:textId="35887202" w:rsidR="002D364B" w:rsidRPr="008B13A5" w:rsidRDefault="002D364B" w:rsidP="00BD008E">
      <w:pPr>
        <w:rPr>
          <w:noProof/>
        </w:rPr>
      </w:pPr>
      <w:r w:rsidRPr="008B13A5">
        <w:rPr>
          <w:noProof/>
        </w:rPr>
        <w:t xml:space="preserve">Resist processing equipment sales </w:t>
      </w:r>
      <w:r w:rsidR="004F0E04">
        <w:rPr>
          <w:noProof/>
        </w:rPr>
        <w:t xml:space="preserve">in 2023 </w:t>
      </w:r>
      <w:r w:rsidRPr="008B13A5">
        <w:rPr>
          <w:noProof/>
        </w:rPr>
        <w:t>were US</w:t>
      </w:r>
      <w:r w:rsidR="00A952C8">
        <w:rPr>
          <w:noProof/>
        </w:rPr>
        <w:t xml:space="preserve">D </w:t>
      </w:r>
      <w:r w:rsidRPr="008B13A5">
        <w:rPr>
          <w:noProof/>
        </w:rPr>
        <w:t>3.4bn and were highly concentrated in Tokyo Electron (JP) with a market share of 92%, with SUSS MicroTec (DE) the only EU player with a measurable share of 2.3%.</w:t>
      </w:r>
    </w:p>
    <w:p w14:paraId="24568297" w14:textId="77777777" w:rsidR="002D364B" w:rsidRPr="008B13A5" w:rsidRDefault="002D364B" w:rsidP="00BD008E">
      <w:pPr>
        <w:pStyle w:val="Heading4"/>
        <w:numPr>
          <w:ilvl w:val="5"/>
          <w:numId w:val="5"/>
        </w:numPr>
        <w:rPr>
          <w:noProof/>
        </w:rPr>
      </w:pPr>
      <w:bookmarkStart w:id="183" w:name="_Toc230010436"/>
      <w:r w:rsidRPr="008B13A5">
        <w:rPr>
          <w:noProof/>
        </w:rPr>
        <w:t>Etch</w:t>
      </w:r>
      <w:bookmarkEnd w:id="183"/>
    </w:p>
    <w:p w14:paraId="25DC9FDE" w14:textId="64F8E0B8" w:rsidR="002D364B" w:rsidRPr="008B13A5" w:rsidRDefault="002D364B" w:rsidP="00BD008E">
      <w:pPr>
        <w:rPr>
          <w:noProof/>
        </w:rPr>
      </w:pPr>
      <w:r w:rsidRPr="008B13A5">
        <w:rPr>
          <w:noProof/>
        </w:rPr>
        <w:t>Etch is the manufacturing step that selectively removes material from the wafer to transfer a pattern into an underlying layer. After lithography creates a patterned photoresist “stencil”, etch removes exposed regions of a target film (or silicon) while protected regions remain, thereby forming features such as trenches, holes, and device structures.</w:t>
      </w:r>
    </w:p>
    <w:p w14:paraId="1BEDC64B" w14:textId="69A4F609" w:rsidR="002D364B" w:rsidRPr="008B13A5" w:rsidRDefault="002D364B" w:rsidP="00BD008E">
      <w:pPr>
        <w:rPr>
          <w:noProof/>
        </w:rPr>
      </w:pPr>
      <w:r w:rsidRPr="008B13A5">
        <w:rPr>
          <w:noProof/>
        </w:rPr>
        <w:t>Etch is performed using either dry (plasma) etching, which offers high precision and vertical sidewalls, or wet chemical etching, which is used where high selectivity is required. Etch is critical because it determines the shape and dimensions of features and must stop accurately on the intended layer to avoid defects and yield loss.</w:t>
      </w:r>
    </w:p>
    <w:p w14:paraId="0BDCD908" w14:textId="0B981497" w:rsidR="002D364B" w:rsidRPr="008B13A5" w:rsidRDefault="002D364B" w:rsidP="00BD008E">
      <w:pPr>
        <w:rPr>
          <w:noProof/>
        </w:rPr>
      </w:pPr>
      <w:r w:rsidRPr="008B13A5">
        <w:rPr>
          <w:noProof/>
        </w:rPr>
        <w:t>The dry processing segment reached USD 15.6bn in 2023, with market leadership held by Lam Research (US) with a market share of 44.5%, followed by Tokyo Electron (JP) with a market share of 21% and Applied Materials (US) with a market share of 18%</w:t>
      </w:r>
      <w:r w:rsidR="00450922">
        <w:rPr>
          <w:noProof/>
        </w:rPr>
        <w:t>.</w:t>
      </w:r>
      <w:r w:rsidRPr="008B13A5">
        <w:rPr>
          <w:noProof/>
        </w:rPr>
        <w:t xml:space="preserve"> EU presence was marginal (for example PVA TePla (DE) with a marginal market share of 0.3%</w:t>
      </w:r>
      <w:r w:rsidR="00782B0E">
        <w:rPr>
          <w:noProof/>
        </w:rPr>
        <w:t>)</w:t>
      </w:r>
      <w:r w:rsidRPr="008B13A5">
        <w:rPr>
          <w:noProof/>
        </w:rPr>
        <w:t xml:space="preserve">. </w:t>
      </w:r>
    </w:p>
    <w:p w14:paraId="327EBAB5" w14:textId="512B7637" w:rsidR="002D364B" w:rsidRPr="008B13A5" w:rsidRDefault="009D19DF" w:rsidP="00BD008E">
      <w:pPr>
        <w:rPr>
          <w:noProof/>
        </w:rPr>
      </w:pPr>
      <w:r>
        <w:rPr>
          <w:noProof/>
        </w:rPr>
        <w:t>When it comes to</w:t>
      </w:r>
      <w:r w:rsidRPr="008B13A5">
        <w:rPr>
          <w:noProof/>
        </w:rPr>
        <w:t xml:space="preserve"> </w:t>
      </w:r>
      <w:r w:rsidR="002D364B" w:rsidRPr="008B13A5">
        <w:rPr>
          <w:noProof/>
        </w:rPr>
        <w:t>wet wafer processing systems, sales were USD 6.0bn in 2023, led by SCREEN (JP) with a market share of 35%, Tokyo Electron (JP) with a market share of 21% and Lam Research (US) with a market share of 16%</w:t>
      </w:r>
      <w:r w:rsidR="00B52A3B">
        <w:rPr>
          <w:noProof/>
        </w:rPr>
        <w:t>.</w:t>
      </w:r>
      <w:r w:rsidR="002D364B" w:rsidRPr="008B13A5" w:rsidDel="00B52A3B">
        <w:rPr>
          <w:noProof/>
        </w:rPr>
        <w:t xml:space="preserve"> </w:t>
      </w:r>
      <w:r w:rsidR="002D364B" w:rsidRPr="008B13A5">
        <w:rPr>
          <w:noProof/>
        </w:rPr>
        <w:t xml:space="preserve">EU suppliers </w:t>
      </w:r>
      <w:r w:rsidR="00B52A3B">
        <w:rPr>
          <w:noProof/>
        </w:rPr>
        <w:t>in this segment have a small market share</w:t>
      </w:r>
      <w:r w:rsidR="00A41661">
        <w:rPr>
          <w:noProof/>
        </w:rPr>
        <w:t xml:space="preserve"> with</w:t>
      </w:r>
      <w:r w:rsidR="00B52A3B" w:rsidRPr="008B13A5">
        <w:rPr>
          <w:noProof/>
        </w:rPr>
        <w:t xml:space="preserve"> </w:t>
      </w:r>
      <w:r w:rsidR="002D364B" w:rsidRPr="008B13A5">
        <w:rPr>
          <w:noProof/>
        </w:rPr>
        <w:t xml:space="preserve">for example Siconnex (AT) </w:t>
      </w:r>
      <w:r w:rsidR="00A41661">
        <w:rPr>
          <w:noProof/>
        </w:rPr>
        <w:t xml:space="preserve">at </w:t>
      </w:r>
      <w:r w:rsidR="002D364B" w:rsidRPr="008B13A5">
        <w:rPr>
          <w:noProof/>
        </w:rPr>
        <w:t xml:space="preserve">0.3% of etch revenues and 0.1% </w:t>
      </w:r>
      <w:r w:rsidR="00A41661">
        <w:rPr>
          <w:noProof/>
        </w:rPr>
        <w:t xml:space="preserve">market share </w:t>
      </w:r>
      <w:r w:rsidR="002D364B" w:rsidRPr="008B13A5">
        <w:rPr>
          <w:noProof/>
        </w:rPr>
        <w:t>for RENA (DE).</w:t>
      </w:r>
    </w:p>
    <w:p w14:paraId="42CD9170" w14:textId="77777777" w:rsidR="002D364B" w:rsidRPr="008B13A5" w:rsidRDefault="002D364B" w:rsidP="00BD008E">
      <w:pPr>
        <w:pStyle w:val="Heading4"/>
        <w:numPr>
          <w:ilvl w:val="5"/>
          <w:numId w:val="5"/>
        </w:numPr>
        <w:rPr>
          <w:noProof/>
        </w:rPr>
      </w:pPr>
      <w:bookmarkStart w:id="184" w:name="_Toc230010437"/>
      <w:r w:rsidRPr="008B13A5">
        <w:rPr>
          <w:noProof/>
        </w:rPr>
        <w:t>Clean</w:t>
      </w:r>
      <w:bookmarkEnd w:id="184"/>
    </w:p>
    <w:p w14:paraId="63514DCD" w14:textId="099530A2" w:rsidR="002D364B" w:rsidRPr="008B13A5" w:rsidRDefault="002D364B" w:rsidP="00BD008E">
      <w:pPr>
        <w:rPr>
          <w:noProof/>
          <w:szCs w:val="22"/>
        </w:rPr>
      </w:pPr>
      <w:r w:rsidRPr="008B13A5">
        <w:rPr>
          <w:noProof/>
          <w:szCs w:val="22"/>
        </w:rPr>
        <w:t>Clean is the manufacturing step that removes contamination and process residues from the wafer to prevent defects and enable reliable subsequent processing. It is used throughout FEOL and BEOL, including after lithography and etch (to remove photoresist and etch by-products), before deposition (to prepare surfaces), and after CMP (to remove slurry particles).</w:t>
      </w:r>
    </w:p>
    <w:p w14:paraId="4122A2B1" w14:textId="0F72F3F8" w:rsidR="002D364B" w:rsidRPr="008B13A5" w:rsidRDefault="002D364B" w:rsidP="00BD008E">
      <w:pPr>
        <w:rPr>
          <w:noProof/>
          <w:szCs w:val="22"/>
        </w:rPr>
      </w:pPr>
      <w:r w:rsidRPr="008B13A5">
        <w:rPr>
          <w:noProof/>
          <w:szCs w:val="22"/>
        </w:rPr>
        <w:t>Cleaning is carried out using wet chemical processes (on batch wet benches or single-wafer tools) and, where needed, dry cleaning/ashing (often plasma-based) for resist and organic removal. Clean is yield-critical because microscopic particles or residual films can cause shorts, opens, poor adhesion, or increased leakage.</w:t>
      </w:r>
    </w:p>
    <w:p w14:paraId="68C82562" w14:textId="70ED1E11" w:rsidR="002D364B" w:rsidRPr="008B13A5" w:rsidRDefault="00197578" w:rsidP="00BD008E">
      <w:pPr>
        <w:rPr>
          <w:noProof/>
          <w:szCs w:val="22"/>
        </w:rPr>
      </w:pPr>
      <w:r w:rsidRPr="00197578">
        <w:rPr>
          <w:noProof/>
          <w:szCs w:val="22"/>
        </w:rPr>
        <w:t>In the wet processing segment, 2023 market share data indicate the predominant role of Japanese suppliers.</w:t>
      </w:r>
      <w:r w:rsidRPr="00197578" w:rsidDel="00197578">
        <w:rPr>
          <w:noProof/>
          <w:szCs w:val="22"/>
        </w:rPr>
        <w:t xml:space="preserve"> </w:t>
      </w:r>
      <w:r w:rsidR="00671CC7">
        <w:rPr>
          <w:noProof/>
          <w:szCs w:val="22"/>
        </w:rPr>
        <w:t>Here</w:t>
      </w:r>
      <w:r w:rsidR="002D364B" w:rsidRPr="008B13A5" w:rsidDel="00B67FCB">
        <w:rPr>
          <w:noProof/>
          <w:szCs w:val="22"/>
        </w:rPr>
        <w:t xml:space="preserve">, </w:t>
      </w:r>
      <w:r w:rsidR="002D364B" w:rsidRPr="008B13A5">
        <w:rPr>
          <w:noProof/>
          <w:szCs w:val="22"/>
        </w:rPr>
        <w:t xml:space="preserve">SCREEN </w:t>
      </w:r>
      <w:r w:rsidR="00671CC7">
        <w:rPr>
          <w:noProof/>
          <w:szCs w:val="22"/>
        </w:rPr>
        <w:t xml:space="preserve">(JP) leads </w:t>
      </w:r>
      <w:r w:rsidR="002D364B" w:rsidRPr="008B13A5">
        <w:rPr>
          <w:noProof/>
          <w:szCs w:val="22"/>
        </w:rPr>
        <w:t xml:space="preserve">with </w:t>
      </w:r>
      <w:r w:rsidR="00244D50">
        <w:rPr>
          <w:noProof/>
          <w:szCs w:val="22"/>
        </w:rPr>
        <w:t xml:space="preserve">a </w:t>
      </w:r>
      <w:r w:rsidR="002D364B" w:rsidRPr="008B13A5">
        <w:rPr>
          <w:noProof/>
          <w:szCs w:val="22"/>
        </w:rPr>
        <w:t>market share of 35%</w:t>
      </w:r>
      <w:r w:rsidR="00244D50">
        <w:rPr>
          <w:noProof/>
          <w:szCs w:val="22"/>
        </w:rPr>
        <w:t>, followed by</w:t>
      </w:r>
      <w:r w:rsidR="00415A9D">
        <w:rPr>
          <w:noProof/>
          <w:szCs w:val="22"/>
        </w:rPr>
        <w:t xml:space="preserve"> </w:t>
      </w:r>
      <w:r w:rsidR="00671CC7">
        <w:rPr>
          <w:noProof/>
          <w:szCs w:val="22"/>
        </w:rPr>
        <w:t>Tokyo Electron (JP)</w:t>
      </w:r>
      <w:r w:rsidR="002D364B" w:rsidRPr="008B13A5">
        <w:rPr>
          <w:noProof/>
          <w:szCs w:val="22"/>
        </w:rPr>
        <w:t xml:space="preserve"> with market share of 21% and to a lesser extent</w:t>
      </w:r>
      <w:r w:rsidR="00415A9D">
        <w:rPr>
          <w:noProof/>
          <w:szCs w:val="22"/>
        </w:rPr>
        <w:t xml:space="preserve"> by </w:t>
      </w:r>
      <w:r w:rsidR="002D364B" w:rsidRPr="008B13A5">
        <w:rPr>
          <w:noProof/>
          <w:szCs w:val="22"/>
        </w:rPr>
        <w:t xml:space="preserve">Lam </w:t>
      </w:r>
      <w:r w:rsidR="00415A9D">
        <w:rPr>
          <w:noProof/>
          <w:szCs w:val="22"/>
        </w:rPr>
        <w:t xml:space="preserve">(US) </w:t>
      </w:r>
      <w:r w:rsidR="002D364B" w:rsidRPr="008B13A5">
        <w:rPr>
          <w:noProof/>
          <w:szCs w:val="22"/>
        </w:rPr>
        <w:t>with a market share of 16%</w:t>
      </w:r>
      <w:r w:rsidR="00415A9D">
        <w:rPr>
          <w:noProof/>
          <w:szCs w:val="22"/>
        </w:rPr>
        <w:t>. In this segment</w:t>
      </w:r>
      <w:r w:rsidR="002D364B" w:rsidRPr="008B13A5">
        <w:rPr>
          <w:noProof/>
          <w:szCs w:val="22"/>
        </w:rPr>
        <w:t xml:space="preserve"> EU suppliers (Siconnex</w:t>
      </w:r>
      <w:r w:rsidR="00D51867">
        <w:rPr>
          <w:noProof/>
          <w:szCs w:val="22"/>
        </w:rPr>
        <w:t xml:space="preserve"> (AT)</w:t>
      </w:r>
      <w:r w:rsidR="002D364B" w:rsidRPr="008B13A5">
        <w:rPr>
          <w:noProof/>
          <w:szCs w:val="22"/>
        </w:rPr>
        <w:t>, RENA</w:t>
      </w:r>
      <w:r w:rsidR="004538A5">
        <w:rPr>
          <w:noProof/>
          <w:szCs w:val="22"/>
        </w:rPr>
        <w:t xml:space="preserve"> (DE)</w:t>
      </w:r>
      <w:r w:rsidR="002D364B" w:rsidRPr="008B13A5">
        <w:rPr>
          <w:noProof/>
          <w:szCs w:val="22"/>
        </w:rPr>
        <w:t>, SEMYSCO</w:t>
      </w:r>
      <w:r w:rsidR="007F3658">
        <w:rPr>
          <w:noProof/>
          <w:szCs w:val="22"/>
        </w:rPr>
        <w:t xml:space="preserve"> (DE)</w:t>
      </w:r>
      <w:r w:rsidR="002D364B" w:rsidRPr="008B13A5">
        <w:rPr>
          <w:noProof/>
          <w:szCs w:val="22"/>
        </w:rPr>
        <w:t xml:space="preserve">) </w:t>
      </w:r>
      <w:r w:rsidR="00415A9D">
        <w:rPr>
          <w:noProof/>
          <w:szCs w:val="22"/>
        </w:rPr>
        <w:t xml:space="preserve">are </w:t>
      </w:r>
      <w:r w:rsidR="002D364B" w:rsidRPr="008B13A5">
        <w:rPr>
          <w:noProof/>
          <w:szCs w:val="22"/>
        </w:rPr>
        <w:t xml:space="preserve">present but </w:t>
      </w:r>
      <w:r w:rsidR="00415A9D">
        <w:rPr>
          <w:noProof/>
          <w:szCs w:val="22"/>
        </w:rPr>
        <w:t xml:space="preserve">play a </w:t>
      </w:r>
      <w:r w:rsidR="00075810">
        <w:rPr>
          <w:noProof/>
          <w:szCs w:val="22"/>
        </w:rPr>
        <w:t xml:space="preserve">relatively </w:t>
      </w:r>
      <w:r w:rsidR="002D364B" w:rsidRPr="008B13A5">
        <w:rPr>
          <w:noProof/>
          <w:szCs w:val="22"/>
        </w:rPr>
        <w:t>minor</w:t>
      </w:r>
      <w:r w:rsidR="00415A9D">
        <w:rPr>
          <w:noProof/>
          <w:szCs w:val="22"/>
        </w:rPr>
        <w:t xml:space="preserve"> role</w:t>
      </w:r>
      <w:r w:rsidR="002D364B" w:rsidRPr="008B13A5">
        <w:rPr>
          <w:noProof/>
          <w:szCs w:val="22"/>
        </w:rPr>
        <w:t>.</w:t>
      </w:r>
    </w:p>
    <w:p w14:paraId="614F0C92" w14:textId="53A76A6F" w:rsidR="002D364B" w:rsidRPr="008B13A5" w:rsidRDefault="002D364B" w:rsidP="00BD008E">
      <w:pPr>
        <w:rPr>
          <w:noProof/>
          <w:szCs w:val="22"/>
        </w:rPr>
      </w:pPr>
      <w:r w:rsidRPr="008B13A5">
        <w:rPr>
          <w:noProof/>
          <w:szCs w:val="22"/>
        </w:rPr>
        <w:t xml:space="preserve">When it comes to dry processing, LAM (US) in 2023 a market share of 44.5%, </w:t>
      </w:r>
      <w:r w:rsidR="00D6785C">
        <w:rPr>
          <w:noProof/>
          <w:szCs w:val="22"/>
        </w:rPr>
        <w:t>Tokyo Electron</w:t>
      </w:r>
      <w:r w:rsidR="00D6785C" w:rsidRPr="008B13A5">
        <w:rPr>
          <w:noProof/>
          <w:szCs w:val="22"/>
        </w:rPr>
        <w:t xml:space="preserve"> </w:t>
      </w:r>
      <w:r w:rsidRPr="008B13A5">
        <w:rPr>
          <w:noProof/>
          <w:szCs w:val="22"/>
        </w:rPr>
        <w:t xml:space="preserve">(JP) had a market share of 21% and Applied Materials (US) at 18%. </w:t>
      </w:r>
    </w:p>
    <w:p w14:paraId="30A2336D" w14:textId="165C2A79" w:rsidR="002D364B" w:rsidRPr="008B13A5" w:rsidRDefault="002D364B" w:rsidP="00BD008E">
      <w:pPr>
        <w:pStyle w:val="Heading4"/>
        <w:numPr>
          <w:ilvl w:val="5"/>
          <w:numId w:val="5"/>
        </w:numPr>
        <w:rPr>
          <w:noProof/>
        </w:rPr>
      </w:pPr>
      <w:bookmarkStart w:id="185" w:name="_Toc230010438"/>
      <w:r w:rsidRPr="008B13A5">
        <w:rPr>
          <w:noProof/>
        </w:rPr>
        <w:t>Metrology and inspection</w:t>
      </w:r>
      <w:bookmarkEnd w:id="185"/>
    </w:p>
    <w:p w14:paraId="599BB623" w14:textId="0D2A0837" w:rsidR="002D364B" w:rsidRPr="008B13A5" w:rsidRDefault="002D364B" w:rsidP="00BD008E">
      <w:pPr>
        <w:rPr>
          <w:noProof/>
          <w:szCs w:val="22"/>
        </w:rPr>
      </w:pPr>
      <w:r w:rsidRPr="008B13A5">
        <w:rPr>
          <w:noProof/>
          <w:szCs w:val="22"/>
        </w:rPr>
        <w:t>Metrology and inspection are the manufacturing activities that measure features on a wafer and detect defects so the process can be controlled, and yield can be maintained.</w:t>
      </w:r>
    </w:p>
    <w:p w14:paraId="45A738E0" w14:textId="179F0AE4" w:rsidR="002D364B" w:rsidRPr="008B13A5" w:rsidRDefault="002D364B" w:rsidP="00BD008E">
      <w:pPr>
        <w:rPr>
          <w:noProof/>
          <w:szCs w:val="22"/>
        </w:rPr>
      </w:pPr>
      <w:r w:rsidRPr="008B13A5">
        <w:rPr>
          <w:noProof/>
          <w:szCs w:val="22"/>
        </w:rPr>
        <w:t xml:space="preserve">The market for this segment amounted to USD 10.3bn in 2023 and was highly concentrated in KLA (US) with a market share of 60% and Applied Materials (US) at 12%, with EU suppliers holding smaller but relevant shares, including ASML (NL) with a market share of 6%, Bruker AXS (DE, 1%) and Semilab (HU, 1%). </w:t>
      </w:r>
    </w:p>
    <w:p w14:paraId="3B3DD340" w14:textId="50000F08" w:rsidR="002D364B" w:rsidRPr="008B13A5" w:rsidRDefault="002D364B" w:rsidP="00BD008E">
      <w:pPr>
        <w:rPr>
          <w:noProof/>
          <w:szCs w:val="22"/>
        </w:rPr>
      </w:pPr>
      <w:r w:rsidRPr="008B13A5">
        <w:rPr>
          <w:noProof/>
          <w:szCs w:val="22"/>
        </w:rPr>
        <w:t>For reticle inspection and repair (a critical enabler for lithography yield), the 2023 market was led by Lasertec (JP) with 50% market and KLA (US) with 43% market share</w:t>
      </w:r>
      <w:r w:rsidR="00DC61ED">
        <w:rPr>
          <w:noProof/>
          <w:szCs w:val="22"/>
        </w:rPr>
        <w:t>.</w:t>
      </w:r>
      <w:r w:rsidRPr="008B13A5" w:rsidDel="00197578">
        <w:rPr>
          <w:noProof/>
          <w:szCs w:val="22"/>
        </w:rPr>
        <w:t xml:space="preserve"> </w:t>
      </w:r>
      <w:r w:rsidR="00D22BF2" w:rsidRPr="00D22BF2">
        <w:rPr>
          <w:noProof/>
          <w:szCs w:val="22"/>
        </w:rPr>
        <w:t>Zeiss (DE) accounts for a 5% market share and represents the principal EU presence in this segment</w:t>
      </w:r>
      <w:r w:rsidR="00D22BF2" w:rsidRPr="00D22BF2" w:rsidDel="00D22BF2">
        <w:rPr>
          <w:noProof/>
          <w:szCs w:val="22"/>
        </w:rPr>
        <w:t xml:space="preserve"> </w:t>
      </w:r>
    </w:p>
    <w:p w14:paraId="4DDE0AFA" w14:textId="77777777" w:rsidR="002D364B" w:rsidRPr="008B13A5" w:rsidRDefault="002D364B" w:rsidP="00BD008E">
      <w:pPr>
        <w:pStyle w:val="Heading4"/>
        <w:numPr>
          <w:ilvl w:val="5"/>
          <w:numId w:val="5"/>
        </w:numPr>
        <w:rPr>
          <w:noProof/>
        </w:rPr>
      </w:pPr>
      <w:bookmarkStart w:id="186" w:name="_Toc230010439"/>
      <w:r w:rsidRPr="008B13A5">
        <w:rPr>
          <w:noProof/>
        </w:rPr>
        <w:t>Planarisation</w:t>
      </w:r>
      <w:bookmarkEnd w:id="186"/>
    </w:p>
    <w:p w14:paraId="5A57F2A8" w14:textId="77FF0B45" w:rsidR="002D364B" w:rsidRPr="008B13A5" w:rsidRDefault="002D364B" w:rsidP="00BD008E">
      <w:pPr>
        <w:rPr>
          <w:noProof/>
          <w:szCs w:val="22"/>
        </w:rPr>
      </w:pPr>
      <w:r w:rsidRPr="008B13A5">
        <w:rPr>
          <w:noProof/>
          <w:szCs w:val="22"/>
        </w:rPr>
        <w:t>Planarisation is the process of flattening the wafer surface to ensure subsequent lithography and layer integration remain within focus and uniformity tolerances. In semiconductor manufacturing it is implemented primarily through chemical mechanical planarisation (CMP), which removes material using a combination of chemical reactions and mechanical polishing to restore a controlled, planar surface.</w:t>
      </w:r>
    </w:p>
    <w:p w14:paraId="7B050F10" w14:textId="79D83D3B" w:rsidR="002D364B" w:rsidRPr="008B13A5" w:rsidRDefault="002D364B" w:rsidP="00BD008E">
      <w:pPr>
        <w:rPr>
          <w:noProof/>
          <w:szCs w:val="22"/>
        </w:rPr>
      </w:pPr>
      <w:r w:rsidRPr="008B13A5">
        <w:rPr>
          <w:noProof/>
          <w:szCs w:val="22"/>
        </w:rPr>
        <w:t>CMP equipment sales were USD 2.7bn in 2023 and were concentrated in Applied Materials (US) with a market share of 56% and Ebara (JP) at 30%, with no EU supplier reported as having a material global share in this segment.</w:t>
      </w:r>
    </w:p>
    <w:p w14:paraId="0C1FD892" w14:textId="77777777" w:rsidR="002D364B" w:rsidRPr="008B13A5" w:rsidRDefault="002D364B" w:rsidP="00BD008E">
      <w:pPr>
        <w:pStyle w:val="Heading4"/>
        <w:numPr>
          <w:ilvl w:val="4"/>
          <w:numId w:val="5"/>
        </w:numPr>
        <w:rPr>
          <w:noProof/>
        </w:rPr>
      </w:pPr>
      <w:bookmarkStart w:id="187" w:name="_Toc230010440"/>
      <w:r w:rsidRPr="008B13A5">
        <w:rPr>
          <w:noProof/>
        </w:rPr>
        <w:t>Back-end</w:t>
      </w:r>
      <w:bookmarkEnd w:id="187"/>
    </w:p>
    <w:p w14:paraId="3CC400FA" w14:textId="5E079D20" w:rsidR="002D364B" w:rsidRPr="008B13A5" w:rsidRDefault="002D364B" w:rsidP="00BD008E">
      <w:pPr>
        <w:rPr>
          <w:noProof/>
          <w:szCs w:val="22"/>
        </w:rPr>
      </w:pPr>
      <w:r w:rsidRPr="008B13A5">
        <w:rPr>
          <w:noProof/>
          <w:szCs w:val="22"/>
        </w:rPr>
        <w:t xml:space="preserve">Assembly and packaging are the final steps in turning finished wafers into packaged chips and boards for end users. Assembly typically includes </w:t>
      </w:r>
      <w:r w:rsidRPr="008B13A5">
        <w:rPr>
          <w:b/>
          <w:noProof/>
          <w:szCs w:val="22"/>
        </w:rPr>
        <w:t>wafer dicing and thinning</w:t>
      </w:r>
      <w:r w:rsidRPr="008B13A5">
        <w:rPr>
          <w:noProof/>
          <w:szCs w:val="22"/>
        </w:rPr>
        <w:t xml:space="preserve">, </w:t>
      </w:r>
      <w:r w:rsidRPr="008B13A5">
        <w:rPr>
          <w:b/>
          <w:noProof/>
          <w:szCs w:val="22"/>
        </w:rPr>
        <w:t>bonding and interconnect</w:t>
      </w:r>
      <w:r w:rsidRPr="008B13A5">
        <w:rPr>
          <w:noProof/>
          <w:szCs w:val="22"/>
        </w:rPr>
        <w:t xml:space="preserve">, </w:t>
      </w:r>
      <w:r w:rsidRPr="008B13A5">
        <w:rPr>
          <w:b/>
          <w:noProof/>
          <w:szCs w:val="22"/>
        </w:rPr>
        <w:t>moulding and sealing</w:t>
      </w:r>
      <w:r w:rsidRPr="008B13A5">
        <w:rPr>
          <w:noProof/>
          <w:szCs w:val="22"/>
        </w:rPr>
        <w:t xml:space="preserve"> (</w:t>
      </w:r>
      <w:r w:rsidRPr="008B13A5">
        <w:rPr>
          <w:b/>
          <w:noProof/>
          <w:szCs w:val="22"/>
        </w:rPr>
        <w:t>encapsulation)</w:t>
      </w:r>
      <w:r w:rsidRPr="008B13A5">
        <w:rPr>
          <w:noProof/>
          <w:szCs w:val="22"/>
        </w:rPr>
        <w:t xml:space="preserve">, </w:t>
      </w:r>
      <w:r w:rsidRPr="008B13A5">
        <w:rPr>
          <w:b/>
          <w:noProof/>
          <w:szCs w:val="22"/>
        </w:rPr>
        <w:t>inspection and handling</w:t>
      </w:r>
      <w:r w:rsidRPr="008B13A5">
        <w:rPr>
          <w:noProof/>
          <w:szCs w:val="22"/>
        </w:rPr>
        <w:t xml:space="preserve"> and </w:t>
      </w:r>
      <w:r w:rsidRPr="008B13A5">
        <w:rPr>
          <w:b/>
          <w:noProof/>
          <w:szCs w:val="22"/>
        </w:rPr>
        <w:t>test equipment</w:t>
      </w:r>
      <w:r w:rsidRPr="008B13A5">
        <w:rPr>
          <w:noProof/>
          <w:szCs w:val="22"/>
        </w:rPr>
        <w:t>. Packaging provides the electrical connections needed for signal transmission, power delivery, and voltage regulation, while also managing heat dissipation and providing the physical protection required for long-term reliability.</w:t>
      </w:r>
      <w:r w:rsidR="00F274DD" w:rsidRPr="008B13A5">
        <w:rPr>
          <w:noProof/>
          <w:szCs w:val="22"/>
        </w:rPr>
        <w:t xml:space="preserve"> </w:t>
      </w:r>
      <w:r w:rsidRPr="008B13A5">
        <w:rPr>
          <w:noProof/>
          <w:szCs w:val="22"/>
        </w:rPr>
        <w:t>(</w:t>
      </w:r>
      <w:r w:rsidRPr="008B13A5">
        <w:rPr>
          <w:noProof/>
          <w:szCs w:val="22"/>
          <w:vertAlign w:val="superscript"/>
        </w:rPr>
        <w:footnoteReference w:id="61"/>
      </w:r>
      <w:r w:rsidRPr="008B13A5">
        <w:rPr>
          <w:noProof/>
          <w:szCs w:val="22"/>
        </w:rPr>
        <w:t>).</w:t>
      </w:r>
    </w:p>
    <w:p w14:paraId="4666498B" w14:textId="4433F9B7" w:rsidR="002D364B" w:rsidRPr="008B13A5" w:rsidRDefault="002D364B" w:rsidP="00BD008E">
      <w:pPr>
        <w:rPr>
          <w:noProof/>
          <w:szCs w:val="22"/>
        </w:rPr>
      </w:pPr>
      <w:r w:rsidRPr="008B13A5">
        <w:rPr>
          <w:noProof/>
          <w:szCs w:val="22"/>
        </w:rPr>
        <w:t xml:space="preserve">In 2023, Japan accounted for 48% of the global market (up from 33% in 2017) and recorded the highest compound annual growth rate (15%) among the leading countries during the COVID-19 period and its aftermath. Japan also held a dominant position in dicing equipment, controlling over 92% of the market in 2023. In packaging equipment, Japan captured 51.4% of the global market in 2023, increasing to 75.3% in </w:t>
      </w:r>
      <w:r w:rsidR="006435CD" w:rsidRPr="008B13A5">
        <w:rPr>
          <w:noProof/>
          <w:szCs w:val="22"/>
        </w:rPr>
        <w:t>moulding</w:t>
      </w:r>
      <w:r w:rsidRPr="008B13A5">
        <w:rPr>
          <w:noProof/>
          <w:szCs w:val="22"/>
        </w:rPr>
        <w:t xml:space="preserve"> and sealing systems.</w:t>
      </w:r>
      <w:r w:rsidRPr="008B13A5">
        <w:rPr>
          <w:noProof/>
          <w:szCs w:val="22"/>
          <w:vertAlign w:val="superscript"/>
        </w:rPr>
        <w:t>(</w:t>
      </w:r>
      <w:r w:rsidRPr="008B13A5">
        <w:rPr>
          <w:noProof/>
          <w:szCs w:val="22"/>
          <w:vertAlign w:val="superscript"/>
        </w:rPr>
        <w:footnoteReference w:id="62"/>
      </w:r>
      <w:r w:rsidRPr="008B13A5">
        <w:rPr>
          <w:noProof/>
          <w:szCs w:val="22"/>
          <w:vertAlign w:val="superscript"/>
        </w:rPr>
        <w:t>)</w:t>
      </w:r>
      <w:r w:rsidR="006435CD">
        <w:rPr>
          <w:noProof/>
          <w:szCs w:val="22"/>
        </w:rPr>
        <w:t xml:space="preserve"> </w:t>
      </w:r>
      <w:r w:rsidRPr="008B13A5">
        <w:rPr>
          <w:noProof/>
          <w:szCs w:val="22"/>
        </w:rPr>
        <w:t>Singapore’s global market share declined to 21% in 2023 (from 35% in 2017), reflecting its concentrated specialisation in bonding equipment, particularly wire bonding. In 2023, Singapore accounted for over 81% of global wire bonding sales (up from 7 5% in 2017). Singapore also held an effective monopoly in integrated assembly systems, with a 97% market share in 2023; the remaining 3% was held by Grohmann Engineering (</w:t>
      </w:r>
      <w:r w:rsidR="00EA3859">
        <w:rPr>
          <w:noProof/>
          <w:szCs w:val="22"/>
        </w:rPr>
        <w:t>DE</w:t>
      </w:r>
      <w:r w:rsidRPr="008B13A5">
        <w:rPr>
          <w:noProof/>
          <w:szCs w:val="22"/>
        </w:rPr>
        <w:t>).</w:t>
      </w:r>
      <w:r w:rsidRPr="008B13A5">
        <w:rPr>
          <w:noProof/>
          <w:szCs w:val="22"/>
          <w:vertAlign w:val="superscript"/>
        </w:rPr>
        <w:t xml:space="preserve"> </w:t>
      </w:r>
      <w:r w:rsidR="00F274DD" w:rsidRPr="008B13A5">
        <w:rPr>
          <w:noProof/>
          <w:szCs w:val="22"/>
          <w:vertAlign w:val="superscript"/>
        </w:rPr>
        <w:t xml:space="preserve"> </w:t>
      </w:r>
      <w:r w:rsidRPr="008B13A5">
        <w:rPr>
          <w:noProof/>
          <w:szCs w:val="22"/>
          <w:vertAlign w:val="superscript"/>
        </w:rPr>
        <w:t>(</w:t>
      </w:r>
      <w:r w:rsidRPr="008B13A5">
        <w:rPr>
          <w:noProof/>
          <w:szCs w:val="22"/>
          <w:vertAlign w:val="superscript"/>
        </w:rPr>
        <w:footnoteReference w:id="63"/>
      </w:r>
      <w:r w:rsidRPr="008B13A5">
        <w:rPr>
          <w:noProof/>
          <w:szCs w:val="22"/>
          <w:vertAlign w:val="superscript"/>
        </w:rPr>
        <w:t>)</w:t>
      </w:r>
    </w:p>
    <w:p w14:paraId="5D20215A" w14:textId="00348BF5" w:rsidR="002D364B" w:rsidRPr="008B13A5" w:rsidRDefault="002D364B" w:rsidP="00BD008E">
      <w:pPr>
        <w:rPr>
          <w:noProof/>
          <w:szCs w:val="22"/>
        </w:rPr>
      </w:pPr>
      <w:r w:rsidRPr="008B13A5">
        <w:rPr>
          <w:noProof/>
          <w:szCs w:val="22"/>
        </w:rPr>
        <w:t xml:space="preserve">In 2023, the European Union held 14.5% of the global market for assembly and packaging equipment, down from 16% in 2017. The EU had limited to no presence in the dicing and assembly equipment segments. However, it maintained a significant position in bonding equipment, holding 26% of the global market in 2023, driven in particular by die attaching, where the EU’s market share reached 43%. </w:t>
      </w:r>
      <w:r w:rsidR="00EA15CD">
        <w:rPr>
          <w:noProof/>
          <w:szCs w:val="22"/>
        </w:rPr>
        <w:t>The</w:t>
      </w:r>
      <w:r w:rsidRPr="008B13A5">
        <w:rPr>
          <w:noProof/>
          <w:szCs w:val="22"/>
        </w:rPr>
        <w:t xml:space="preserve"> EU was a</w:t>
      </w:r>
      <w:r w:rsidR="00EA15CD">
        <w:rPr>
          <w:noProof/>
          <w:szCs w:val="22"/>
        </w:rPr>
        <w:t>lso a</w:t>
      </w:r>
      <w:r w:rsidRPr="008B13A5">
        <w:rPr>
          <w:noProof/>
          <w:szCs w:val="22"/>
        </w:rPr>
        <w:t xml:space="preserve"> leading supplier in lead-finishing and marking systems, together with the Republic of Korea, jointly accounting for 34% of the global market in 2023. Finally, in </w:t>
      </w:r>
      <w:r w:rsidR="00A405FD" w:rsidRPr="008B13A5">
        <w:rPr>
          <w:noProof/>
          <w:szCs w:val="22"/>
        </w:rPr>
        <w:t>moulding</w:t>
      </w:r>
      <w:r w:rsidRPr="008B13A5">
        <w:rPr>
          <w:noProof/>
          <w:szCs w:val="22"/>
        </w:rPr>
        <w:t xml:space="preserve"> and sealing systems, the EU held 13% of the global market in 2023, ranking second to Japan.</w:t>
      </w:r>
      <w:r w:rsidR="00F274DD" w:rsidRPr="008B13A5">
        <w:rPr>
          <w:noProof/>
          <w:szCs w:val="22"/>
        </w:rPr>
        <w:t xml:space="preserve"> </w:t>
      </w:r>
      <w:r w:rsidRPr="008B13A5">
        <w:rPr>
          <w:noProof/>
          <w:szCs w:val="22"/>
        </w:rPr>
        <w:t>(</w:t>
      </w:r>
      <w:r w:rsidRPr="008B13A5">
        <w:rPr>
          <w:noProof/>
          <w:szCs w:val="22"/>
          <w:vertAlign w:val="superscript"/>
        </w:rPr>
        <w:footnoteReference w:id="64"/>
      </w:r>
      <w:r w:rsidRPr="008B13A5">
        <w:rPr>
          <w:noProof/>
          <w:szCs w:val="22"/>
        </w:rPr>
        <w:t>)</w:t>
      </w:r>
    </w:p>
    <w:p w14:paraId="34AC5AF4" w14:textId="6EAFDECD" w:rsidR="002D364B" w:rsidRPr="008B13A5" w:rsidRDefault="002D364B" w:rsidP="00BD008E">
      <w:pPr>
        <w:pStyle w:val="Heading4"/>
        <w:numPr>
          <w:ilvl w:val="5"/>
          <w:numId w:val="5"/>
        </w:numPr>
        <w:rPr>
          <w:noProof/>
        </w:rPr>
      </w:pPr>
      <w:bookmarkStart w:id="188" w:name="_Toc230010441"/>
      <w:r w:rsidRPr="008B13A5">
        <w:rPr>
          <w:noProof/>
        </w:rPr>
        <w:t>Wafer dicing and thinning</w:t>
      </w:r>
      <w:bookmarkEnd w:id="188"/>
    </w:p>
    <w:p w14:paraId="532A13A3" w14:textId="0D60F389" w:rsidR="002D364B" w:rsidRPr="008B13A5" w:rsidRDefault="002D364B" w:rsidP="00BD008E">
      <w:pPr>
        <w:rPr>
          <w:noProof/>
        </w:rPr>
      </w:pPr>
      <w:r w:rsidRPr="008B13A5">
        <w:rPr>
          <w:noProof/>
        </w:rPr>
        <w:t>Wafer dicing is the process of separating the wafer into individual dies after wafer processing. It is executed by blade sawing or laser dicing, depending on materials and edge-quality requirements. Wafer thinning is the process of reducing wafer thickness to meet packaging requirements. It is performed primarily by backside grinding, often followed by polishing or stress-relief treatments, with the wafer supported on a carrier to prevent mechanical damage.</w:t>
      </w:r>
    </w:p>
    <w:p w14:paraId="10403B9E" w14:textId="1EAD22D5" w:rsidR="002D364B" w:rsidRPr="008B13A5" w:rsidRDefault="002D364B" w:rsidP="00BD008E">
      <w:pPr>
        <w:rPr>
          <w:noProof/>
          <w:szCs w:val="22"/>
        </w:rPr>
      </w:pPr>
      <w:r w:rsidRPr="008B13A5">
        <w:rPr>
          <w:noProof/>
          <w:szCs w:val="22"/>
        </w:rPr>
        <w:t>In dicing and wafer thinning, dependence is structurally high. In 2023, DISCO (JP) has a market share of 83% in blade sawing. In laser sawing, DISCO (JP) has a market share of 78% and ACCRETECH/Tokyo Seimitsu (JP) has a market share of 14%. Backside grinding is similarly concentrated, with DISCO (JP) having a market share of 86%, while European participation is limited</w:t>
      </w:r>
      <w:r w:rsidR="008753E6">
        <w:rPr>
          <w:noProof/>
          <w:szCs w:val="22"/>
        </w:rPr>
        <w:t xml:space="preserve"> -</w:t>
      </w:r>
      <w:r w:rsidRPr="008B13A5">
        <w:rPr>
          <w:noProof/>
          <w:szCs w:val="22"/>
        </w:rPr>
        <w:t xml:space="preserve"> for example G&amp;N (DE) has a market share of 1.2%. </w:t>
      </w:r>
    </w:p>
    <w:p w14:paraId="0B3BE95A" w14:textId="01637604" w:rsidR="002D364B" w:rsidRPr="00BD008E" w:rsidRDefault="002D364B" w:rsidP="00BD008E">
      <w:pPr>
        <w:pStyle w:val="Heading4"/>
        <w:numPr>
          <w:ilvl w:val="5"/>
          <w:numId w:val="5"/>
        </w:numPr>
        <w:rPr>
          <w:noProof/>
        </w:rPr>
      </w:pPr>
      <w:bookmarkStart w:id="189" w:name="_Toc230010442"/>
      <w:r w:rsidRPr="00BD008E">
        <w:rPr>
          <w:noProof/>
        </w:rPr>
        <w:t>Bonding and interconnect</w:t>
      </w:r>
      <w:bookmarkEnd w:id="189"/>
    </w:p>
    <w:p w14:paraId="1473EA14" w14:textId="491C2CF5" w:rsidR="002D364B" w:rsidRPr="008B13A5" w:rsidRDefault="002D364B" w:rsidP="00BD008E">
      <w:pPr>
        <w:rPr>
          <w:noProof/>
        </w:rPr>
      </w:pPr>
      <w:r w:rsidRPr="008B13A5">
        <w:rPr>
          <w:noProof/>
        </w:rPr>
        <w:t>Bonding and interconnect equipment comprises the tools used to attach the semiconductor die to a package substrate and create the electrical connections between the die and the package.</w:t>
      </w:r>
    </w:p>
    <w:p w14:paraId="3DE7C693" w14:textId="44FFD0C7" w:rsidR="002D364B" w:rsidRPr="008B13A5" w:rsidRDefault="002D364B" w:rsidP="00BD008E">
      <w:pPr>
        <w:rPr>
          <w:noProof/>
        </w:rPr>
      </w:pPr>
      <w:r w:rsidRPr="008B13A5">
        <w:rPr>
          <w:noProof/>
        </w:rPr>
        <w:t>Here, Europe’s strongest position is in die attach (die attaching equipment). BESI (NL) has a global market share of 43% in 2023, followed by ASMPT (SG) with a market share of 21%. This concentration implies that a meaningful portion of global die attach capability is European-origin. However, Europe’s position weakens in wire bonding. Kulicke &amp; Soffa (SG) has a market share of 53% and ASMPT (SG) has a market share of 29%, while German suppliers Hesse (DE) has a market share of 5% and F&amp;K Delvotec (DE) has a market share of 2%</w:t>
      </w:r>
      <w:r w:rsidR="0068052A">
        <w:rPr>
          <w:noProof/>
        </w:rPr>
        <w:t>.</w:t>
      </w:r>
      <w:r w:rsidRPr="008B13A5">
        <w:rPr>
          <w:noProof/>
        </w:rPr>
        <w:t xml:space="preserve"> </w:t>
      </w:r>
    </w:p>
    <w:p w14:paraId="7FB9CFEA" w14:textId="27083D1C" w:rsidR="002D364B" w:rsidRPr="00BD008E" w:rsidRDefault="002D364B" w:rsidP="00BD008E">
      <w:pPr>
        <w:pStyle w:val="Heading4"/>
        <w:numPr>
          <w:ilvl w:val="5"/>
          <w:numId w:val="5"/>
        </w:numPr>
        <w:rPr>
          <w:noProof/>
        </w:rPr>
      </w:pPr>
      <w:bookmarkStart w:id="190" w:name="_Toc230010443"/>
      <w:r w:rsidRPr="00BD008E">
        <w:rPr>
          <w:noProof/>
        </w:rPr>
        <w:t>Moulding, sealing and finishing</w:t>
      </w:r>
      <w:bookmarkEnd w:id="190"/>
    </w:p>
    <w:p w14:paraId="166A2E09" w14:textId="075A95B5" w:rsidR="002D364B" w:rsidRPr="008B13A5" w:rsidRDefault="002D364B" w:rsidP="00BD008E">
      <w:pPr>
        <w:rPr>
          <w:noProof/>
        </w:rPr>
      </w:pPr>
      <w:r w:rsidRPr="00BD008E">
        <w:rPr>
          <w:noProof/>
        </w:rPr>
        <w:t>Moulding, sealing and finishing equipment comprises the tools used to encapsulate and complete packaged semiconductor devices after the die has been attached and electrically connected.</w:t>
      </w:r>
    </w:p>
    <w:p w14:paraId="0274C3A6" w14:textId="3AE975B6" w:rsidR="002D364B" w:rsidRPr="008B13A5" w:rsidRDefault="002D364B" w:rsidP="00BD008E">
      <w:pPr>
        <w:rPr>
          <w:noProof/>
        </w:rPr>
      </w:pPr>
      <w:r w:rsidRPr="008B13A5">
        <w:rPr>
          <w:noProof/>
        </w:rPr>
        <w:t xml:space="preserve">In this segment, the dependency is again concentrated outside Europe. TOWA (JP) has a market share of 61% in moulding and sealing systems and APIC Yamada (JP) has a market share of 14%, while BESI (BE) has a market share of 13%, indicating a meaningful European position. In lead finishing and marking, BESI (BE) has a market share of 32%, alongside EO Technics (KR) with a market share of 26%. Smaller European presences include ROFIN (DE) with a market share of 1.3% and PacTech (DE) with a market share of 0.6%. </w:t>
      </w:r>
    </w:p>
    <w:p w14:paraId="54826981" w14:textId="55CD9D96" w:rsidR="002D364B" w:rsidRPr="00BD008E" w:rsidRDefault="002D364B" w:rsidP="00BD008E">
      <w:pPr>
        <w:pStyle w:val="Heading4"/>
        <w:numPr>
          <w:ilvl w:val="5"/>
          <w:numId w:val="5"/>
        </w:numPr>
        <w:rPr>
          <w:noProof/>
        </w:rPr>
      </w:pPr>
      <w:bookmarkStart w:id="191" w:name="_Toc230010444"/>
      <w:r w:rsidRPr="00BD008E">
        <w:rPr>
          <w:noProof/>
        </w:rPr>
        <w:t>Inspection and handling</w:t>
      </w:r>
      <w:bookmarkEnd w:id="191"/>
    </w:p>
    <w:p w14:paraId="2A166E88" w14:textId="16734DC6" w:rsidR="002D364B" w:rsidRPr="00BD008E" w:rsidRDefault="002D364B" w:rsidP="00BD008E">
      <w:pPr>
        <w:rPr>
          <w:noProof/>
        </w:rPr>
      </w:pPr>
      <w:r w:rsidRPr="00BD008E">
        <w:rPr>
          <w:noProof/>
        </w:rPr>
        <w:t>Inspection and handling equipment comprises the tools used to detect defects and manage product movement through packaging and test operations.</w:t>
      </w:r>
    </w:p>
    <w:p w14:paraId="399B1AC4" w14:textId="613092D0" w:rsidR="002D364B" w:rsidRPr="00BD008E" w:rsidRDefault="002D364B" w:rsidP="00BD008E">
      <w:pPr>
        <w:rPr>
          <w:noProof/>
        </w:rPr>
      </w:pPr>
      <w:r w:rsidRPr="00BD008E">
        <w:rPr>
          <w:noProof/>
        </w:rPr>
        <w:t xml:space="preserve">In this segment, the equipment ecosystem shows mixed dependency with only minor European footholds. In wafer-level packaging inspection systems, Onto Innovation (US) has a market share of 42%, Camtek (IL) has a market share of 28%, and KLA (US) has a market share of 27%, while Unity SC (FR) has a market share of 3%. In package handling equipment, Cohu (US) has a market share of 27% and Pentamaster (MY) has a market share of 10%. Europe is represented by SPEA (IT) with a market share of 3.2%, alongside marginal shares for German suppliers. </w:t>
      </w:r>
    </w:p>
    <w:p w14:paraId="0E5EB65C" w14:textId="0154BA16" w:rsidR="002D364B" w:rsidRPr="00BD008E" w:rsidRDefault="002D364B" w:rsidP="00BD008E">
      <w:pPr>
        <w:pStyle w:val="Heading4"/>
        <w:numPr>
          <w:ilvl w:val="5"/>
          <w:numId w:val="5"/>
        </w:numPr>
        <w:rPr>
          <w:noProof/>
        </w:rPr>
      </w:pPr>
      <w:bookmarkStart w:id="192" w:name="_Toc230010445"/>
      <w:r w:rsidRPr="00BD008E">
        <w:rPr>
          <w:noProof/>
        </w:rPr>
        <w:t>Test equipment</w:t>
      </w:r>
      <w:bookmarkEnd w:id="192"/>
    </w:p>
    <w:p w14:paraId="6286A323" w14:textId="2C401BE9" w:rsidR="002D364B" w:rsidRPr="008B13A5" w:rsidRDefault="002D364B" w:rsidP="00BD008E">
      <w:pPr>
        <w:rPr>
          <w:noProof/>
          <w:szCs w:val="22"/>
        </w:rPr>
      </w:pPr>
      <w:r w:rsidRPr="008B13A5">
        <w:rPr>
          <w:noProof/>
          <w:szCs w:val="22"/>
        </w:rPr>
        <w:t>Test equipment comprises the tools used to verify that semiconductor devices meet electrical performance and reliability requirements before shipment and, in some cases, during intermediate production stages.</w:t>
      </w:r>
    </w:p>
    <w:p w14:paraId="622D6D00" w14:textId="22A539A5" w:rsidR="002D364B" w:rsidRPr="008B13A5" w:rsidRDefault="002D364B" w:rsidP="00BD008E">
      <w:pPr>
        <w:rPr>
          <w:noProof/>
          <w:szCs w:val="22"/>
        </w:rPr>
      </w:pPr>
      <w:r w:rsidRPr="008B13A5">
        <w:rPr>
          <w:noProof/>
          <w:szCs w:val="22"/>
        </w:rPr>
        <w:t xml:space="preserve">In test equipment, Europe’s presence is concentrated in specific niches rather than the largest-volume segments. For system-on-chip test systems, Advantest (JP) has a market share of 59% and Teradyne (US) has a market share of 31%, while SPEA (IT) has a market share of 1.5%. In burn-in test systems, European suppliers have more material positions: ELES (IT) has a market share of 5% and EDA Industries (IT) has a market share of 1.5%. </w:t>
      </w:r>
    </w:p>
    <w:p w14:paraId="03BB7970" w14:textId="551CE1C5" w:rsidR="002D364B" w:rsidRPr="008B13A5" w:rsidRDefault="002D364B" w:rsidP="00BD008E">
      <w:pPr>
        <w:rPr>
          <w:noProof/>
          <w:szCs w:val="22"/>
        </w:rPr>
      </w:pPr>
      <w:r w:rsidRPr="008B13A5">
        <w:rPr>
          <w:noProof/>
          <w:szCs w:val="22"/>
        </w:rPr>
        <w:t xml:space="preserve">In handlers and probers (including wafer probing), leadership is again non-European, with ACCRETECH/Tokyo Seimitsu (JP) having a market share of 43% and Tokyo Electron (JP) having a market share of 29%. </w:t>
      </w:r>
    </w:p>
    <w:p w14:paraId="4A2E6865" w14:textId="77777777" w:rsidR="002D364B" w:rsidRPr="008B13A5" w:rsidRDefault="002D364B" w:rsidP="002D364B">
      <w:pPr>
        <w:keepLines/>
        <w:rPr>
          <w:noProof/>
          <w:szCs w:val="22"/>
          <w:u w:val="single"/>
        </w:rPr>
      </w:pPr>
      <w:r w:rsidRPr="008B13A5">
        <w:rPr>
          <w:noProof/>
          <w:szCs w:val="22"/>
          <w:u w:val="single"/>
        </w:rPr>
        <w:br w:type="page"/>
      </w:r>
    </w:p>
    <w:p w14:paraId="46C1A53F" w14:textId="77777777" w:rsidR="00EC49AF" w:rsidRPr="008B13A5" w:rsidRDefault="00EC49AF" w:rsidP="00EC49AF">
      <w:pPr>
        <w:rPr>
          <w:noProof/>
        </w:rPr>
        <w:sectPr w:rsidR="00EC49AF" w:rsidRPr="008B13A5" w:rsidSect="00AA3F22">
          <w:pgSz w:w="11906" w:h="16838"/>
          <w:pgMar w:top="1134" w:right="1418" w:bottom="1418" w:left="1134" w:header="601" w:footer="1077" w:gutter="0"/>
          <w:cols w:space="720"/>
          <w:titlePg/>
        </w:sectPr>
      </w:pPr>
    </w:p>
    <w:p w14:paraId="0DED4A91" w14:textId="54007AA8" w:rsidR="00EC49AF" w:rsidRPr="008B13A5" w:rsidRDefault="00EC49AF" w:rsidP="004242D8">
      <w:pPr>
        <w:pStyle w:val="Heading3"/>
        <w:rPr>
          <w:noProof/>
        </w:rPr>
      </w:pPr>
      <w:bookmarkStart w:id="193" w:name="_Toc217395616"/>
      <w:bookmarkStart w:id="194" w:name="_Toc217396465"/>
      <w:bookmarkStart w:id="195" w:name="_Toc525353246"/>
      <w:bookmarkStart w:id="196" w:name="_Toc223620626"/>
      <w:bookmarkStart w:id="197" w:name="_Toc230010446"/>
      <w:r w:rsidRPr="008B13A5">
        <w:rPr>
          <w:noProof/>
        </w:rPr>
        <w:t>Establishing a starting point for BAU scenario</w:t>
      </w:r>
      <w:bookmarkEnd w:id="193"/>
      <w:bookmarkEnd w:id="194"/>
      <w:bookmarkEnd w:id="195"/>
      <w:bookmarkEnd w:id="196"/>
      <w:bookmarkEnd w:id="197"/>
    </w:p>
    <w:p w14:paraId="635246A2" w14:textId="4F7819B5" w:rsidR="00EC49AF" w:rsidRPr="008B13A5" w:rsidRDefault="00EC49AF" w:rsidP="00F47256">
      <w:pPr>
        <w:pStyle w:val="ListParagraph"/>
        <w:numPr>
          <w:ilvl w:val="0"/>
          <w:numId w:val="52"/>
        </w:numPr>
        <w:spacing w:after="120"/>
        <w:rPr>
          <w:b/>
          <w:noProof/>
        </w:rPr>
      </w:pPr>
      <w:r w:rsidRPr="008B13A5">
        <w:rPr>
          <w:b/>
          <w:noProof/>
        </w:rPr>
        <w:t>Upstream segments</w:t>
      </w:r>
    </w:p>
    <w:p w14:paraId="666CAA43" w14:textId="500E30C9" w:rsidR="00EC49AF" w:rsidRPr="008B13A5" w:rsidRDefault="00EC49AF" w:rsidP="00EC49AF">
      <w:pPr>
        <w:keepLines/>
        <w:rPr>
          <w:b/>
          <w:bCs/>
          <w:noProof/>
          <w:sz w:val="22"/>
          <w:szCs w:val="20"/>
        </w:rPr>
      </w:pPr>
      <w:r w:rsidRPr="008B13A5">
        <w:rPr>
          <w:b/>
          <w:bCs/>
          <w:noProof/>
          <w:sz w:val="22"/>
          <w:szCs w:val="20"/>
        </w:rPr>
        <w:t xml:space="preserve">Table </w:t>
      </w:r>
      <w:r w:rsidR="006022A4">
        <w:rPr>
          <w:b/>
          <w:bCs/>
          <w:noProof/>
          <w:sz w:val="22"/>
          <w:szCs w:val="20"/>
        </w:rPr>
        <w:t>6</w:t>
      </w:r>
      <w:r w:rsidRPr="008B13A5">
        <w:rPr>
          <w:b/>
          <w:bCs/>
          <w:noProof/>
          <w:sz w:val="22"/>
          <w:szCs w:val="20"/>
        </w:rPr>
        <w:t xml:space="preserve">. Mapping of the upstream segments in the chips value chain. </w:t>
      </w:r>
      <w:r w:rsidRPr="008B13A5">
        <w:rPr>
          <w:i/>
          <w:iCs/>
          <w:noProof/>
          <w:sz w:val="22"/>
          <w:szCs w:val="20"/>
        </w:rPr>
        <w:t xml:space="preserve">Source: compiled by the </w:t>
      </w:r>
      <w:r w:rsidRPr="008B13A5">
        <w:rPr>
          <w:i/>
          <w:iCs/>
          <w:noProof/>
          <w:sz w:val="22"/>
          <w:szCs w:val="20"/>
          <w:lang w:eastAsia="en-GB"/>
        </w:rPr>
        <w:t>authors</w:t>
      </w:r>
      <w:r w:rsidRPr="008B13A5">
        <w:rPr>
          <w:i/>
          <w:iCs/>
          <w:noProof/>
          <w:sz w:val="22"/>
          <w:szCs w:val="20"/>
        </w:rPr>
        <w:t>.</w:t>
      </w:r>
      <w:r w:rsidRPr="008B13A5">
        <w:rPr>
          <w:b/>
          <w:bCs/>
          <w:noProof/>
          <w:sz w:val="22"/>
          <w:szCs w:val="20"/>
        </w:rPr>
        <w:t xml:space="preserve"> </w:t>
      </w:r>
    </w:p>
    <w:tbl>
      <w:tblPr>
        <w:tblStyle w:val="TableGrid"/>
        <w:tblW w:w="14904" w:type="dxa"/>
        <w:tblInd w:w="-116" w:type="dxa"/>
        <w:tblLook w:val="04A0" w:firstRow="1" w:lastRow="0" w:firstColumn="1" w:lastColumn="0" w:noHBand="0" w:noVBand="1"/>
      </w:tblPr>
      <w:tblGrid>
        <w:gridCol w:w="2401"/>
        <w:gridCol w:w="2395"/>
        <w:gridCol w:w="2978"/>
        <w:gridCol w:w="2380"/>
        <w:gridCol w:w="2377"/>
        <w:gridCol w:w="2373"/>
      </w:tblGrid>
      <w:tr w:rsidR="004F2DE8" w:rsidRPr="008B13A5" w14:paraId="5F89EBFF" w14:textId="77777777" w:rsidTr="00021E68">
        <w:trPr>
          <w:trHeight w:val="391"/>
          <w:tblHeader/>
        </w:trPr>
        <w:tc>
          <w:tcPr>
            <w:tcW w:w="2401" w:type="dxa"/>
            <w:shd w:val="clear" w:color="auto" w:fill="BFBFBF" w:themeFill="background1" w:themeFillShade="BF"/>
          </w:tcPr>
          <w:p w14:paraId="71CCBE61" w14:textId="5AF8CD70" w:rsidR="00EC49AF" w:rsidRPr="008B13A5" w:rsidRDefault="00EC49AF">
            <w:pPr>
              <w:keepLines/>
              <w:rPr>
                <w:b/>
                <w:noProof/>
                <w:szCs w:val="22"/>
              </w:rPr>
            </w:pPr>
            <w:r w:rsidRPr="008B13A5">
              <w:rPr>
                <w:b/>
                <w:noProof/>
                <w:szCs w:val="22"/>
              </w:rPr>
              <w:t>GVC segment</w:t>
            </w:r>
          </w:p>
        </w:tc>
        <w:tc>
          <w:tcPr>
            <w:tcW w:w="2395" w:type="dxa"/>
            <w:shd w:val="clear" w:color="auto" w:fill="BFBFBF" w:themeFill="background1" w:themeFillShade="BF"/>
          </w:tcPr>
          <w:p w14:paraId="56B07A9C" w14:textId="73C25743" w:rsidR="00EC49AF" w:rsidRPr="008B13A5" w:rsidRDefault="00EC49AF">
            <w:pPr>
              <w:keepLines/>
              <w:rPr>
                <w:b/>
                <w:noProof/>
                <w:szCs w:val="22"/>
              </w:rPr>
            </w:pPr>
            <w:r w:rsidRPr="008B13A5">
              <w:rPr>
                <w:b/>
                <w:noProof/>
                <w:szCs w:val="22"/>
              </w:rPr>
              <w:t>Value added characteristics</w:t>
            </w:r>
          </w:p>
        </w:tc>
        <w:tc>
          <w:tcPr>
            <w:tcW w:w="2978" w:type="dxa"/>
            <w:shd w:val="clear" w:color="auto" w:fill="BFBFBF" w:themeFill="background1" w:themeFillShade="BF"/>
          </w:tcPr>
          <w:p w14:paraId="4B5C97C0" w14:textId="252C72E7" w:rsidR="00EC49AF" w:rsidRPr="008B13A5" w:rsidRDefault="00EC49AF">
            <w:pPr>
              <w:keepLines/>
              <w:rPr>
                <w:b/>
                <w:noProof/>
                <w:szCs w:val="22"/>
              </w:rPr>
            </w:pPr>
            <w:r w:rsidRPr="008B13A5">
              <w:rPr>
                <w:b/>
                <w:noProof/>
                <w:szCs w:val="22"/>
              </w:rPr>
              <w:t>EU strengths</w:t>
            </w:r>
          </w:p>
        </w:tc>
        <w:tc>
          <w:tcPr>
            <w:tcW w:w="2380" w:type="dxa"/>
            <w:shd w:val="clear" w:color="auto" w:fill="BFBFBF" w:themeFill="background1" w:themeFillShade="BF"/>
          </w:tcPr>
          <w:p w14:paraId="3A367BDD" w14:textId="11EE7183" w:rsidR="00EC49AF" w:rsidRPr="008B13A5" w:rsidRDefault="00EC49AF">
            <w:pPr>
              <w:keepLines/>
              <w:rPr>
                <w:b/>
                <w:noProof/>
                <w:szCs w:val="22"/>
              </w:rPr>
            </w:pPr>
            <w:r w:rsidRPr="008B13A5">
              <w:rPr>
                <w:b/>
                <w:noProof/>
                <w:szCs w:val="22"/>
              </w:rPr>
              <w:t>EU gaps</w:t>
            </w:r>
          </w:p>
        </w:tc>
        <w:tc>
          <w:tcPr>
            <w:tcW w:w="2377" w:type="dxa"/>
            <w:shd w:val="clear" w:color="auto" w:fill="BFBFBF" w:themeFill="background1" w:themeFillShade="BF"/>
          </w:tcPr>
          <w:p w14:paraId="573AA254" w14:textId="58C6A684" w:rsidR="00EC49AF" w:rsidRPr="008B13A5" w:rsidRDefault="00EC49AF">
            <w:pPr>
              <w:keepLines/>
              <w:rPr>
                <w:b/>
                <w:noProof/>
                <w:szCs w:val="22"/>
              </w:rPr>
            </w:pPr>
            <w:r w:rsidRPr="008B13A5">
              <w:rPr>
                <w:b/>
                <w:noProof/>
                <w:szCs w:val="22"/>
              </w:rPr>
              <w:t>EU share in the global market</w:t>
            </w:r>
          </w:p>
        </w:tc>
        <w:tc>
          <w:tcPr>
            <w:tcW w:w="2373" w:type="dxa"/>
            <w:shd w:val="clear" w:color="auto" w:fill="BFBFBF" w:themeFill="background1" w:themeFillShade="BF"/>
          </w:tcPr>
          <w:p w14:paraId="7F725092" w14:textId="4B727047" w:rsidR="00EC49AF" w:rsidRPr="008B13A5" w:rsidRDefault="00EC49AF">
            <w:pPr>
              <w:keepLines/>
              <w:rPr>
                <w:b/>
                <w:noProof/>
                <w:szCs w:val="22"/>
              </w:rPr>
            </w:pPr>
            <w:r w:rsidRPr="008B13A5">
              <w:rPr>
                <w:b/>
                <w:noProof/>
                <w:szCs w:val="22"/>
              </w:rPr>
              <w:t xml:space="preserve">Chips Act </w:t>
            </w:r>
            <w:r w:rsidR="0085725F">
              <w:rPr>
                <w:b/>
                <w:noProof/>
                <w:szCs w:val="22"/>
              </w:rPr>
              <w:t>relevance</w:t>
            </w:r>
          </w:p>
        </w:tc>
      </w:tr>
      <w:tr w:rsidR="00EC49AF" w:rsidRPr="008B13A5" w14:paraId="76074AD2" w14:textId="77777777" w:rsidTr="00B52FD3">
        <w:tc>
          <w:tcPr>
            <w:tcW w:w="2401" w:type="dxa"/>
          </w:tcPr>
          <w:p w14:paraId="492F7253" w14:textId="53CB6AA4" w:rsidR="00EC49AF" w:rsidRPr="008B13A5" w:rsidRDefault="00EC49AF">
            <w:pPr>
              <w:rPr>
                <w:b/>
                <w:noProof/>
                <w:szCs w:val="22"/>
              </w:rPr>
            </w:pPr>
            <w:r w:rsidRPr="008B13A5">
              <w:rPr>
                <w:b/>
                <w:noProof/>
                <w:szCs w:val="22"/>
              </w:rPr>
              <w:t xml:space="preserve">IP </w:t>
            </w:r>
          </w:p>
          <w:p w14:paraId="3C41A814" w14:textId="77777777" w:rsidR="00EC49AF" w:rsidRPr="008B13A5" w:rsidRDefault="00EC49AF">
            <w:pPr>
              <w:rPr>
                <w:b/>
                <w:noProof/>
                <w:szCs w:val="22"/>
              </w:rPr>
            </w:pPr>
            <w:r w:rsidRPr="008B13A5">
              <w:rPr>
                <w:b/>
                <w:noProof/>
                <w:szCs w:val="22"/>
              </w:rPr>
              <w:t>EDA</w:t>
            </w:r>
          </w:p>
          <w:p w14:paraId="3DD9DD82" w14:textId="77777777" w:rsidR="00EC49AF" w:rsidRPr="008B13A5" w:rsidRDefault="00EC49AF">
            <w:pPr>
              <w:keepLines/>
              <w:rPr>
                <w:b/>
                <w:noProof/>
                <w:szCs w:val="22"/>
              </w:rPr>
            </w:pPr>
          </w:p>
        </w:tc>
        <w:tc>
          <w:tcPr>
            <w:tcW w:w="2395" w:type="dxa"/>
          </w:tcPr>
          <w:p w14:paraId="6A13A0B0" w14:textId="5742B34F" w:rsidR="00EC49AF" w:rsidRPr="008B13A5" w:rsidRDefault="00EC49AF">
            <w:pPr>
              <w:rPr>
                <w:noProof/>
                <w:sz w:val="20"/>
              </w:rPr>
            </w:pPr>
            <w:r w:rsidRPr="008B13A5">
              <w:rPr>
                <w:noProof/>
                <w:sz w:val="20"/>
              </w:rPr>
              <w:t>Low-to-moderate capital intensity, very high R&amp;D intensity.</w:t>
            </w:r>
          </w:p>
          <w:p w14:paraId="0E085F53" w14:textId="6B757B41" w:rsidR="00EC49AF" w:rsidRPr="008B13A5" w:rsidRDefault="00EC49AF">
            <w:pPr>
              <w:rPr>
                <w:noProof/>
                <w:sz w:val="20"/>
              </w:rPr>
            </w:pPr>
            <w:r w:rsidRPr="008B13A5">
              <w:rPr>
                <w:noProof/>
                <w:sz w:val="20"/>
              </w:rPr>
              <w:t>Value created through innovation, IP, and system integration.</w:t>
            </w:r>
          </w:p>
          <w:p w14:paraId="723DAF64" w14:textId="004A24CB" w:rsidR="00EC49AF" w:rsidRPr="008B13A5" w:rsidRDefault="00EC49AF">
            <w:pPr>
              <w:rPr>
                <w:noProof/>
                <w:sz w:val="20"/>
              </w:rPr>
            </w:pPr>
            <w:r w:rsidRPr="008B13A5">
              <w:rPr>
                <w:noProof/>
                <w:sz w:val="20"/>
              </w:rPr>
              <w:t>Profit margins typically 20–40%, driven by IP licensing and high switching costs.</w:t>
            </w:r>
          </w:p>
          <w:p w14:paraId="437E9107" w14:textId="77777777" w:rsidR="00EC49AF" w:rsidRPr="008B13A5" w:rsidRDefault="00EC49AF">
            <w:pPr>
              <w:keepLines/>
              <w:rPr>
                <w:noProof/>
                <w:sz w:val="20"/>
              </w:rPr>
            </w:pPr>
          </w:p>
        </w:tc>
        <w:tc>
          <w:tcPr>
            <w:tcW w:w="2978" w:type="dxa"/>
          </w:tcPr>
          <w:p w14:paraId="698EA390" w14:textId="75A5ABF4" w:rsidR="00EC49AF" w:rsidRPr="008B13A5" w:rsidRDefault="00EC49AF">
            <w:pPr>
              <w:pStyle w:val="Text2"/>
              <w:ind w:left="29"/>
              <w:rPr>
                <w:noProof/>
                <w:sz w:val="22"/>
                <w:szCs w:val="18"/>
              </w:rPr>
            </w:pPr>
            <w:r w:rsidRPr="008B13A5">
              <w:rPr>
                <w:noProof/>
                <w:sz w:val="22"/>
                <w:szCs w:val="18"/>
              </w:rPr>
              <w:t xml:space="preserve">One of the 3 EDA market leaders, Mentor Graphics, has been acquired by Siemens EDA, reducing EU’s overdependence on US software tools </w:t>
            </w:r>
            <w:r w:rsidR="00F274DD" w:rsidRPr="008B13A5">
              <w:rPr>
                <w:noProof/>
                <w:sz w:val="22"/>
                <w:szCs w:val="18"/>
              </w:rPr>
              <w:t xml:space="preserve"> </w:t>
            </w:r>
            <w:r w:rsidRPr="008B13A5">
              <w:rPr>
                <w:noProof/>
                <w:sz w:val="22"/>
                <w:szCs w:val="18"/>
              </w:rPr>
              <w:t>(</w:t>
            </w:r>
            <w:r w:rsidRPr="008B13A5">
              <w:rPr>
                <w:rStyle w:val="FootnoteReference"/>
                <w:noProof/>
                <w:sz w:val="18"/>
                <w:szCs w:val="18"/>
              </w:rPr>
              <w:footnoteReference w:id="65"/>
            </w:r>
            <w:r w:rsidRPr="008B13A5">
              <w:rPr>
                <w:noProof/>
                <w:sz w:val="22"/>
                <w:szCs w:val="18"/>
              </w:rPr>
              <w:t>)</w:t>
            </w:r>
            <w:r w:rsidRPr="008B13A5">
              <w:rPr>
                <w:noProof/>
                <w:sz w:val="22"/>
                <w:szCs w:val="18"/>
                <w:vertAlign w:val="superscript"/>
              </w:rPr>
              <w:t>,</w:t>
            </w:r>
            <w:r w:rsidRPr="008B13A5">
              <w:rPr>
                <w:noProof/>
                <w:sz w:val="22"/>
                <w:szCs w:val="18"/>
              </w:rPr>
              <w:t xml:space="preserve"> </w:t>
            </w:r>
            <w:r w:rsidR="00F274DD" w:rsidRPr="008B13A5">
              <w:rPr>
                <w:noProof/>
                <w:sz w:val="22"/>
                <w:szCs w:val="18"/>
              </w:rPr>
              <w:t xml:space="preserve"> </w:t>
            </w:r>
            <w:r w:rsidRPr="008B13A5">
              <w:rPr>
                <w:noProof/>
                <w:sz w:val="22"/>
                <w:szCs w:val="18"/>
              </w:rPr>
              <w:t>(</w:t>
            </w:r>
            <w:r w:rsidRPr="008B13A5">
              <w:rPr>
                <w:rStyle w:val="FootnoteReference"/>
                <w:noProof/>
                <w:sz w:val="18"/>
                <w:szCs w:val="18"/>
              </w:rPr>
              <w:footnoteReference w:id="66"/>
            </w:r>
            <w:r w:rsidRPr="008B13A5">
              <w:rPr>
                <w:noProof/>
                <w:sz w:val="22"/>
                <w:szCs w:val="18"/>
              </w:rPr>
              <w:t>)</w:t>
            </w:r>
          </w:p>
          <w:p w14:paraId="2025CC57" w14:textId="77777777" w:rsidR="00EC49AF" w:rsidRPr="008B13A5" w:rsidRDefault="00EC49AF">
            <w:pPr>
              <w:keepLines/>
              <w:rPr>
                <w:noProof/>
                <w:sz w:val="20"/>
              </w:rPr>
            </w:pPr>
          </w:p>
        </w:tc>
        <w:tc>
          <w:tcPr>
            <w:tcW w:w="2380" w:type="dxa"/>
          </w:tcPr>
          <w:p w14:paraId="651CF733" w14:textId="22669DEA" w:rsidR="00EC49AF" w:rsidRPr="008B13A5" w:rsidRDefault="00EC49AF">
            <w:pPr>
              <w:rPr>
                <w:noProof/>
                <w:sz w:val="20"/>
              </w:rPr>
            </w:pPr>
            <w:r w:rsidRPr="008B13A5">
              <w:rPr>
                <w:noProof/>
                <w:sz w:val="20"/>
              </w:rPr>
              <w:t>The EU is dependent on the US, the UK, and Japan for Intellectual Property (IP) providers, which are vital for semiconductor design, with companies such as Cadence, Synopsys, or ARM being prominent in this area</w:t>
            </w:r>
            <w:r w:rsidR="00F274DD" w:rsidRPr="008B13A5">
              <w:rPr>
                <w:noProof/>
                <w:sz w:val="20"/>
              </w:rPr>
              <w:t xml:space="preserve"> </w:t>
            </w:r>
            <w:r w:rsidRPr="008B13A5">
              <w:rPr>
                <w:noProof/>
                <w:sz w:val="20"/>
              </w:rPr>
              <w:t>(</w:t>
            </w:r>
            <w:r w:rsidRPr="008B13A5">
              <w:rPr>
                <w:rStyle w:val="FootnoteReference"/>
                <w:noProof/>
                <w:sz w:val="20"/>
              </w:rPr>
              <w:footnoteReference w:id="67"/>
            </w:r>
            <w:r w:rsidRPr="008B13A5">
              <w:rPr>
                <w:noProof/>
                <w:sz w:val="20"/>
              </w:rPr>
              <w:t>).</w:t>
            </w:r>
          </w:p>
          <w:p w14:paraId="23445850" w14:textId="3D01CA15" w:rsidR="00EC49AF" w:rsidRPr="008B13A5" w:rsidRDefault="00EC49AF">
            <w:pPr>
              <w:rPr>
                <w:noProof/>
                <w:sz w:val="20"/>
              </w:rPr>
            </w:pPr>
            <w:r w:rsidRPr="008B13A5">
              <w:rPr>
                <w:noProof/>
                <w:sz w:val="20"/>
              </w:rPr>
              <w:t>Many EU companies rely on Cadence and Synopsys due to long-term engagements and the significant costs and delays associated with switching EDA suppliers</w:t>
            </w:r>
            <w:r w:rsidR="00F274DD" w:rsidRPr="008B13A5">
              <w:rPr>
                <w:noProof/>
                <w:sz w:val="20"/>
              </w:rPr>
              <w:t xml:space="preserve"> </w:t>
            </w:r>
            <w:r w:rsidRPr="008B13A5">
              <w:rPr>
                <w:noProof/>
                <w:sz w:val="20"/>
              </w:rPr>
              <w:t>(</w:t>
            </w:r>
            <w:r w:rsidRPr="008B13A5">
              <w:rPr>
                <w:rStyle w:val="FootnoteReference"/>
                <w:noProof/>
                <w:sz w:val="20"/>
              </w:rPr>
              <w:footnoteReference w:id="68"/>
            </w:r>
            <w:r w:rsidRPr="008B13A5">
              <w:rPr>
                <w:noProof/>
                <w:sz w:val="20"/>
              </w:rPr>
              <w:t>).</w:t>
            </w:r>
          </w:p>
          <w:p w14:paraId="0FFCC769" w14:textId="77777777" w:rsidR="00EC49AF" w:rsidRPr="008B13A5" w:rsidRDefault="00EC49AF">
            <w:pPr>
              <w:keepLines/>
              <w:rPr>
                <w:noProof/>
                <w:sz w:val="20"/>
              </w:rPr>
            </w:pPr>
          </w:p>
        </w:tc>
        <w:tc>
          <w:tcPr>
            <w:tcW w:w="2377" w:type="dxa"/>
          </w:tcPr>
          <w:p w14:paraId="6F7AD285" w14:textId="3222DA48" w:rsidR="00EC49AF" w:rsidRPr="008B13A5" w:rsidRDefault="00EC49AF">
            <w:pPr>
              <w:rPr>
                <w:noProof/>
                <w:sz w:val="20"/>
              </w:rPr>
            </w:pPr>
            <w:r w:rsidRPr="008B13A5">
              <w:rPr>
                <w:noProof/>
                <w:sz w:val="20"/>
              </w:rPr>
              <w:t>EU27 share of the global semiconductor EDA market in 2023: 20.6 %</w:t>
            </w:r>
            <w:r w:rsidR="00F274DD" w:rsidRPr="008B13A5">
              <w:rPr>
                <w:noProof/>
                <w:sz w:val="20"/>
              </w:rPr>
              <w:t xml:space="preserve"> </w:t>
            </w:r>
            <w:r w:rsidRPr="008B13A5">
              <w:rPr>
                <w:noProof/>
                <w:sz w:val="20"/>
              </w:rPr>
              <w:t>(</w:t>
            </w:r>
            <w:r w:rsidRPr="008B13A5">
              <w:rPr>
                <w:rStyle w:val="FootnoteReference"/>
                <w:noProof/>
                <w:sz w:val="20"/>
              </w:rPr>
              <w:footnoteReference w:id="69"/>
            </w:r>
            <w:r w:rsidRPr="008B13A5">
              <w:rPr>
                <w:noProof/>
                <w:sz w:val="20"/>
              </w:rPr>
              <w:t>)</w:t>
            </w:r>
          </w:p>
          <w:p w14:paraId="55EB2E2D" w14:textId="4F97AE60" w:rsidR="00EC49AF" w:rsidRPr="008B13A5" w:rsidRDefault="00EC49AF">
            <w:pPr>
              <w:keepLines/>
              <w:rPr>
                <w:noProof/>
                <w:sz w:val="20"/>
              </w:rPr>
            </w:pPr>
            <w:r w:rsidRPr="008B13A5">
              <w:rPr>
                <w:noProof/>
                <w:sz w:val="20"/>
              </w:rPr>
              <w:t>EU27 share of the global semiconductor IP/licensing market in 2023: 0 % (the EU27 currently has no market share in this segment; the leading player is ARM in the United Kingdom).</w:t>
            </w:r>
            <w:r w:rsidR="00F274DD" w:rsidRPr="008B13A5">
              <w:rPr>
                <w:noProof/>
                <w:sz w:val="20"/>
              </w:rPr>
              <w:t xml:space="preserve"> </w:t>
            </w:r>
            <w:r w:rsidRPr="008B13A5">
              <w:rPr>
                <w:noProof/>
                <w:sz w:val="20"/>
              </w:rPr>
              <w:t>(</w:t>
            </w:r>
            <w:r w:rsidRPr="008B13A5">
              <w:rPr>
                <w:rStyle w:val="FootnoteReference"/>
                <w:noProof/>
                <w:sz w:val="20"/>
              </w:rPr>
              <w:footnoteReference w:id="70"/>
            </w:r>
            <w:r w:rsidRPr="008B13A5">
              <w:rPr>
                <w:noProof/>
                <w:sz w:val="20"/>
              </w:rPr>
              <w:t>)</w:t>
            </w:r>
          </w:p>
        </w:tc>
        <w:tc>
          <w:tcPr>
            <w:tcW w:w="2373" w:type="dxa"/>
          </w:tcPr>
          <w:p w14:paraId="3A5769E9" w14:textId="60C26DDC" w:rsidR="00EC49AF" w:rsidRPr="008B13A5" w:rsidRDefault="00EC49AF">
            <w:pPr>
              <w:rPr>
                <w:noProof/>
                <w:sz w:val="20"/>
              </w:rPr>
            </w:pPr>
            <w:r w:rsidRPr="008B13A5">
              <w:rPr>
                <w:noProof/>
                <w:sz w:val="20"/>
              </w:rPr>
              <w:t>Pillar I: European Design Platform enables fabless SMEs and start-ups to design chips without incurring high software licensing costs. Offers collaborative prototyping environments.</w:t>
            </w:r>
          </w:p>
          <w:p w14:paraId="4686E942" w14:textId="770CB708" w:rsidR="00EC49AF" w:rsidRPr="008B13A5" w:rsidRDefault="00EC49AF">
            <w:pPr>
              <w:rPr>
                <w:noProof/>
                <w:sz w:val="20"/>
              </w:rPr>
            </w:pPr>
            <w:r w:rsidRPr="008B13A5">
              <w:rPr>
                <w:noProof/>
                <w:sz w:val="20"/>
              </w:rPr>
              <w:t>Competence Centres give fabless firms practical support, technical advice, and networking with foundries or integrators.</w:t>
            </w:r>
          </w:p>
          <w:p w14:paraId="40AF6C1B" w14:textId="27418288" w:rsidR="00EC49AF" w:rsidRPr="008B13A5" w:rsidRDefault="00EC49AF">
            <w:pPr>
              <w:rPr>
                <w:noProof/>
                <w:sz w:val="20"/>
              </w:rPr>
            </w:pPr>
            <w:r w:rsidRPr="008B13A5">
              <w:rPr>
                <w:noProof/>
                <w:sz w:val="20"/>
              </w:rPr>
              <w:t>Pilot Lines allow fabless companies to validate and prototype their designs on European technology nodes</w:t>
            </w:r>
          </w:p>
          <w:p w14:paraId="24D32D90" w14:textId="6FEA087C" w:rsidR="00EC49AF" w:rsidRPr="008B13A5" w:rsidRDefault="00EC49AF">
            <w:pPr>
              <w:rPr>
                <w:noProof/>
                <w:sz w:val="20"/>
              </w:rPr>
            </w:pPr>
            <w:r w:rsidRPr="008B13A5">
              <w:rPr>
                <w:noProof/>
                <w:sz w:val="20"/>
              </w:rPr>
              <w:t>Chips Fund (EIB/EIF instrument) provides access to capital for fabless start-ups, which often face large funding gaps in the design-to-tape-out stage.</w:t>
            </w:r>
          </w:p>
          <w:p w14:paraId="5487BA6A" w14:textId="234AF477" w:rsidR="00EC49AF" w:rsidRPr="008B13A5" w:rsidRDefault="00EC49AF">
            <w:pPr>
              <w:keepLines/>
              <w:rPr>
                <w:noProof/>
                <w:sz w:val="20"/>
              </w:rPr>
            </w:pPr>
            <w:r w:rsidRPr="008B13A5">
              <w:rPr>
                <w:noProof/>
                <w:sz w:val="20"/>
              </w:rPr>
              <w:t xml:space="preserve">Also indirectly related to Pillar II and Pillar III. </w:t>
            </w:r>
          </w:p>
        </w:tc>
      </w:tr>
      <w:tr w:rsidR="00EC49AF" w:rsidRPr="008B13A5" w14:paraId="5419D041" w14:textId="77777777" w:rsidTr="00B52FD3">
        <w:tc>
          <w:tcPr>
            <w:tcW w:w="2401" w:type="dxa"/>
          </w:tcPr>
          <w:p w14:paraId="10CE6416" w14:textId="3067B5FB" w:rsidR="00EC49AF" w:rsidRPr="008B13A5" w:rsidRDefault="00EC49AF">
            <w:pPr>
              <w:keepLines/>
              <w:rPr>
                <w:b/>
                <w:noProof/>
                <w:szCs w:val="22"/>
              </w:rPr>
            </w:pPr>
            <w:r w:rsidRPr="008B13A5">
              <w:rPr>
                <w:b/>
                <w:noProof/>
                <w:szCs w:val="22"/>
              </w:rPr>
              <w:t>Chemicals and raw materials</w:t>
            </w:r>
          </w:p>
        </w:tc>
        <w:tc>
          <w:tcPr>
            <w:tcW w:w="2395" w:type="dxa"/>
          </w:tcPr>
          <w:p w14:paraId="58E254F7" w14:textId="0666A36A" w:rsidR="00EC49AF" w:rsidRPr="008B13A5" w:rsidRDefault="00EC49AF">
            <w:pPr>
              <w:keepLines/>
              <w:rPr>
                <w:noProof/>
                <w:sz w:val="20"/>
              </w:rPr>
            </w:pPr>
            <w:r w:rsidRPr="008B13A5">
              <w:rPr>
                <w:noProof/>
                <w:sz w:val="20"/>
              </w:rPr>
              <w:t>High technological barriers, stringent purity standards.</w:t>
            </w:r>
          </w:p>
          <w:p w14:paraId="7DE271AD" w14:textId="6B649AE7" w:rsidR="00EC49AF" w:rsidRPr="008B13A5" w:rsidRDefault="00EC49AF">
            <w:pPr>
              <w:keepLines/>
              <w:rPr>
                <w:noProof/>
                <w:sz w:val="20"/>
              </w:rPr>
            </w:pPr>
            <w:r w:rsidRPr="008B13A5">
              <w:rPr>
                <w:noProof/>
                <w:sz w:val="20"/>
              </w:rPr>
              <w:t xml:space="preserve">Relatively </w:t>
            </w:r>
            <w:r w:rsidRPr="008B13A5">
              <w:rPr>
                <w:rStyle w:val="Strong"/>
                <w:rFonts w:eastAsia="MS Gothic"/>
                <w:noProof/>
                <w:sz w:val="20"/>
              </w:rPr>
              <w:t>moderate profit margins (10–15%)</w:t>
            </w:r>
            <w:r w:rsidRPr="008B13A5">
              <w:rPr>
                <w:b/>
                <w:noProof/>
                <w:sz w:val="20"/>
              </w:rPr>
              <w:t>,</w:t>
            </w:r>
            <w:r w:rsidRPr="008B13A5">
              <w:rPr>
                <w:noProof/>
                <w:sz w:val="20"/>
              </w:rPr>
              <w:t xml:space="preserve"> but materials quality (e.g. purity) critically determines chip yield and performance.</w:t>
            </w:r>
          </w:p>
          <w:p w14:paraId="732FF3E7" w14:textId="3B35F68D" w:rsidR="00EC49AF" w:rsidRPr="008B13A5" w:rsidRDefault="00EC49AF">
            <w:pPr>
              <w:keepLines/>
              <w:rPr>
                <w:noProof/>
                <w:sz w:val="20"/>
              </w:rPr>
            </w:pPr>
            <w:r w:rsidRPr="008B13A5">
              <w:rPr>
                <w:noProof/>
                <w:sz w:val="20"/>
              </w:rPr>
              <w:t xml:space="preserve">Strategic sensitivity: supply chains concentrated in East Asia and the US; Europe is vulnerable in </w:t>
            </w:r>
            <w:r w:rsidRPr="008B13A5">
              <w:rPr>
                <w:rStyle w:val="Strong"/>
                <w:rFonts w:eastAsia="MS Gothic"/>
                <w:noProof/>
                <w:sz w:val="20"/>
              </w:rPr>
              <w:t>raw material extraction and refining,</w:t>
            </w:r>
            <w:r w:rsidRPr="008B13A5">
              <w:rPr>
                <w:b/>
                <w:noProof/>
                <w:sz w:val="20"/>
              </w:rPr>
              <w:t xml:space="preserve"> </w:t>
            </w:r>
            <w:r w:rsidRPr="008B13A5">
              <w:rPr>
                <w:noProof/>
                <w:sz w:val="20"/>
              </w:rPr>
              <w:t>yet it holds strong and often market-leading positions in high-purity chemicals and specialty gases, which are indispensable for global semiconductor production.</w:t>
            </w:r>
          </w:p>
        </w:tc>
        <w:tc>
          <w:tcPr>
            <w:tcW w:w="2978" w:type="dxa"/>
          </w:tcPr>
          <w:p w14:paraId="11ACE114" w14:textId="377240C9" w:rsidR="00EC49AF" w:rsidRPr="008B13A5" w:rsidRDefault="00EC49AF">
            <w:pPr>
              <w:keepLines/>
              <w:rPr>
                <w:noProof/>
                <w:sz w:val="20"/>
              </w:rPr>
            </w:pPr>
            <w:r w:rsidRPr="008B13A5">
              <w:rPr>
                <w:noProof/>
                <w:sz w:val="20"/>
              </w:rPr>
              <w:t>The EU holds a competitive edge in the supply of gases and chemicals necessary for advanced semiconductor manufacturing processes including etching and cleaning chemicals, fluorinated process gases, and CMP slurries. European suppliers are global leaders in several of these segments, underscoring chemicals as a core and indispensable strength of the EU ecosystem.</w:t>
            </w:r>
            <w:r w:rsidR="00F274DD" w:rsidRPr="008B13A5">
              <w:rPr>
                <w:noProof/>
                <w:sz w:val="20"/>
              </w:rPr>
              <w:t xml:space="preserve"> </w:t>
            </w:r>
            <w:r w:rsidRPr="008B13A5">
              <w:rPr>
                <w:noProof/>
                <w:sz w:val="20"/>
              </w:rPr>
              <w:t>(</w:t>
            </w:r>
            <w:r w:rsidRPr="008B13A5">
              <w:rPr>
                <w:rStyle w:val="FootnoteReference"/>
                <w:noProof/>
                <w:sz w:val="20"/>
              </w:rPr>
              <w:footnoteReference w:id="71"/>
            </w:r>
            <w:r w:rsidRPr="008B13A5">
              <w:rPr>
                <w:noProof/>
                <w:sz w:val="20"/>
              </w:rPr>
              <w:t>)</w:t>
            </w:r>
          </w:p>
          <w:p w14:paraId="30436EFE" w14:textId="55009059" w:rsidR="00EC49AF" w:rsidRPr="008B13A5" w:rsidRDefault="00EC49AF">
            <w:pPr>
              <w:keepLines/>
              <w:rPr>
                <w:noProof/>
                <w:sz w:val="20"/>
                <w:highlight w:val="yellow"/>
              </w:rPr>
            </w:pPr>
            <w:r w:rsidRPr="008B13A5">
              <w:rPr>
                <w:noProof/>
                <w:sz w:val="20"/>
              </w:rPr>
              <w:t>The EU has significant domestic capacity for ultra-purified silicon, which is the most widely used material for producing silicon wafers, and is a net exporter of this material</w:t>
            </w:r>
            <w:r w:rsidR="00F274DD" w:rsidRPr="008B13A5">
              <w:rPr>
                <w:noProof/>
                <w:sz w:val="20"/>
              </w:rPr>
              <w:t xml:space="preserve"> </w:t>
            </w:r>
            <w:r w:rsidRPr="008B13A5">
              <w:rPr>
                <w:noProof/>
                <w:sz w:val="20"/>
              </w:rPr>
              <w:t>(</w:t>
            </w:r>
            <w:r w:rsidRPr="008B13A5">
              <w:rPr>
                <w:rStyle w:val="FootnoteReference"/>
                <w:noProof/>
                <w:sz w:val="20"/>
              </w:rPr>
              <w:footnoteReference w:id="72"/>
            </w:r>
            <w:r w:rsidRPr="008B13A5">
              <w:rPr>
                <w:noProof/>
                <w:sz w:val="20"/>
              </w:rPr>
              <w:t>)</w:t>
            </w:r>
          </w:p>
        </w:tc>
        <w:tc>
          <w:tcPr>
            <w:tcW w:w="2380" w:type="dxa"/>
          </w:tcPr>
          <w:p w14:paraId="2605DEFE" w14:textId="27D65CF6" w:rsidR="00EC49AF" w:rsidRPr="008B13A5" w:rsidRDefault="00EC49AF">
            <w:pPr>
              <w:keepLines/>
              <w:rPr>
                <w:noProof/>
                <w:sz w:val="20"/>
              </w:rPr>
            </w:pPr>
            <w:r w:rsidRPr="008B13A5">
              <w:rPr>
                <w:noProof/>
                <w:sz w:val="20"/>
              </w:rPr>
              <w:t>Raw materials essential for semiconductor production are scarce and not necessarily extracted or produced within the EU, leading to heavy reliance on foreign imports</w:t>
            </w:r>
            <w:r w:rsidR="00F274DD" w:rsidRPr="008B13A5">
              <w:rPr>
                <w:noProof/>
                <w:sz w:val="20"/>
              </w:rPr>
              <w:t xml:space="preserve"> </w:t>
            </w:r>
            <w:r w:rsidRPr="008B13A5">
              <w:rPr>
                <w:noProof/>
                <w:sz w:val="20"/>
              </w:rPr>
              <w:t>(</w:t>
            </w:r>
            <w:r w:rsidRPr="008B13A5">
              <w:rPr>
                <w:rStyle w:val="FootnoteReference"/>
                <w:noProof/>
                <w:sz w:val="20"/>
              </w:rPr>
              <w:footnoteReference w:id="73"/>
            </w:r>
            <w:r w:rsidRPr="008B13A5">
              <w:rPr>
                <w:noProof/>
                <w:sz w:val="20"/>
              </w:rPr>
              <w:t>)</w:t>
            </w:r>
          </w:p>
          <w:p w14:paraId="4A486C26" w14:textId="1C22B4BC" w:rsidR="00EC49AF" w:rsidRPr="008B13A5" w:rsidRDefault="00EC49AF">
            <w:pPr>
              <w:keepLines/>
              <w:rPr>
                <w:noProof/>
                <w:sz w:val="20"/>
              </w:rPr>
            </w:pPr>
            <w:r w:rsidRPr="008B13A5">
              <w:rPr>
                <w:noProof/>
                <w:sz w:val="20"/>
              </w:rPr>
              <w:t>The EU is reliant on critical materials like gallium, with 35% of the gallium used in the EU being refined in Germany from raw gallium originating in China, which holds 98% of the world</w:t>
            </w:r>
            <w:r w:rsidR="00497125" w:rsidRPr="008B13A5">
              <w:rPr>
                <w:noProof/>
                <w:sz w:val="20"/>
              </w:rPr>
              <w:t>’</w:t>
            </w:r>
            <w:r w:rsidRPr="008B13A5">
              <w:rPr>
                <w:noProof/>
                <w:sz w:val="20"/>
              </w:rPr>
              <w:t>s production</w:t>
            </w:r>
            <w:r w:rsidR="00F274DD" w:rsidRPr="008B13A5">
              <w:rPr>
                <w:noProof/>
                <w:sz w:val="20"/>
              </w:rPr>
              <w:t xml:space="preserve"> </w:t>
            </w:r>
            <w:r w:rsidRPr="008B13A5">
              <w:rPr>
                <w:noProof/>
                <w:sz w:val="20"/>
              </w:rPr>
              <w:t>(</w:t>
            </w:r>
            <w:r w:rsidRPr="008B13A5">
              <w:rPr>
                <w:rStyle w:val="FootnoteReference"/>
                <w:noProof/>
                <w:sz w:val="20"/>
              </w:rPr>
              <w:footnoteReference w:id="74"/>
            </w:r>
            <w:r w:rsidRPr="008B13A5">
              <w:rPr>
                <w:noProof/>
                <w:sz w:val="20"/>
              </w:rPr>
              <w:t>)</w:t>
            </w:r>
          </w:p>
          <w:p w14:paraId="5769B848" w14:textId="7F9BE77A" w:rsidR="00EC49AF" w:rsidRPr="008B13A5" w:rsidRDefault="00EC49AF">
            <w:pPr>
              <w:keepLines/>
              <w:rPr>
                <w:noProof/>
                <w:sz w:val="20"/>
                <w:highlight w:val="yellow"/>
              </w:rPr>
            </w:pPr>
            <w:r w:rsidRPr="008B13A5">
              <w:rPr>
                <w:noProof/>
                <w:sz w:val="20"/>
              </w:rPr>
              <w:t>The EU faces potential foreign dependencies and risks of import disruption for other input products related to front-end manufacturing processes, including Bromine (with imports concentrated from Israel at 51%), Phosphorus (from Kazakhstan at 88%), Halides (from the US at 57%), Artificial Corundum (from China at 67%), and Chlorides (from Argentina at 60%)</w:t>
            </w:r>
            <w:r w:rsidR="00F274DD" w:rsidRPr="008B13A5">
              <w:rPr>
                <w:noProof/>
                <w:sz w:val="20"/>
              </w:rPr>
              <w:t xml:space="preserve"> </w:t>
            </w:r>
            <w:r w:rsidRPr="008B13A5">
              <w:rPr>
                <w:noProof/>
                <w:sz w:val="20"/>
              </w:rPr>
              <w:t>(</w:t>
            </w:r>
            <w:r w:rsidRPr="008B13A5">
              <w:rPr>
                <w:rStyle w:val="FootnoteReference"/>
                <w:noProof/>
                <w:sz w:val="20"/>
              </w:rPr>
              <w:footnoteReference w:id="75"/>
            </w:r>
            <w:r w:rsidRPr="008B13A5">
              <w:rPr>
                <w:noProof/>
                <w:sz w:val="20"/>
              </w:rPr>
              <w:t>)</w:t>
            </w:r>
          </w:p>
        </w:tc>
        <w:tc>
          <w:tcPr>
            <w:tcW w:w="2377" w:type="dxa"/>
          </w:tcPr>
          <w:p w14:paraId="0DCF9121" w14:textId="352C2BF9" w:rsidR="00EC49AF" w:rsidRPr="008B13A5" w:rsidRDefault="00EC49AF">
            <w:pPr>
              <w:keepLines/>
              <w:rPr>
                <w:noProof/>
                <w:sz w:val="20"/>
              </w:rPr>
            </w:pPr>
            <w:r w:rsidRPr="008B13A5">
              <w:rPr>
                <w:noProof/>
                <w:sz w:val="20"/>
              </w:rPr>
              <w:t xml:space="preserve">The EU benefits from a strong industrial ecosystem, with leading players such as Merck, Air Liquide, BASF, Umicore, Atlas Copco (including Edwards Vacuum), and Linde. These EU players accounted for </w:t>
            </w:r>
            <w:r w:rsidR="00A1369C">
              <w:rPr>
                <w:noProof/>
                <w:sz w:val="20"/>
              </w:rPr>
              <w:t xml:space="preserve">EUR </w:t>
            </w:r>
            <w:r w:rsidRPr="008B13A5">
              <w:rPr>
                <w:noProof/>
                <w:sz w:val="20"/>
              </w:rPr>
              <w:t>12 billion in sales on the global semiconductor materials market in 2021, representing a 24% market share</w:t>
            </w:r>
            <w:r w:rsidR="00F274DD" w:rsidRPr="008B13A5">
              <w:rPr>
                <w:noProof/>
                <w:sz w:val="20"/>
              </w:rPr>
              <w:t xml:space="preserve"> </w:t>
            </w:r>
            <w:r w:rsidRPr="008B13A5">
              <w:rPr>
                <w:noProof/>
                <w:sz w:val="20"/>
              </w:rPr>
              <w:t>(</w:t>
            </w:r>
            <w:r w:rsidRPr="008B13A5">
              <w:rPr>
                <w:rStyle w:val="FootnoteReference"/>
                <w:noProof/>
                <w:sz w:val="20"/>
              </w:rPr>
              <w:footnoteReference w:id="76"/>
            </w:r>
            <w:r w:rsidRPr="008B13A5">
              <w:rPr>
                <w:noProof/>
                <w:sz w:val="20"/>
              </w:rPr>
              <w:t>)</w:t>
            </w:r>
          </w:p>
        </w:tc>
        <w:tc>
          <w:tcPr>
            <w:tcW w:w="2373" w:type="dxa"/>
          </w:tcPr>
          <w:p w14:paraId="6EFF52D6" w14:textId="3BC2A71E" w:rsidR="00EC49AF" w:rsidRPr="008B13A5" w:rsidRDefault="00EC49AF">
            <w:pPr>
              <w:keepLines/>
              <w:rPr>
                <w:noProof/>
                <w:sz w:val="20"/>
              </w:rPr>
            </w:pPr>
            <w:r w:rsidRPr="008B13A5">
              <w:rPr>
                <w:noProof/>
                <w:sz w:val="20"/>
              </w:rPr>
              <w:t>Linked to Pillar III</w:t>
            </w:r>
            <w:r w:rsidRPr="008B13A5">
              <w:rPr>
                <w:i/>
                <w:noProof/>
                <w:sz w:val="20"/>
              </w:rPr>
              <w:t xml:space="preserve">: </w:t>
            </w:r>
            <w:r w:rsidRPr="008B13A5">
              <w:rPr>
                <w:noProof/>
                <w:sz w:val="20"/>
              </w:rPr>
              <w:t>Tracking of raw material dependencies and activation of emergency mechanisms</w:t>
            </w:r>
            <w:r w:rsidR="00B14592">
              <w:rPr>
                <w:noProof/>
                <w:sz w:val="20"/>
              </w:rPr>
              <w:t>.</w:t>
            </w:r>
          </w:p>
        </w:tc>
      </w:tr>
      <w:tr w:rsidR="00EC49AF" w:rsidRPr="008B13A5" w14:paraId="53662088" w14:textId="77777777" w:rsidTr="00B52FD3">
        <w:tc>
          <w:tcPr>
            <w:tcW w:w="2401" w:type="dxa"/>
          </w:tcPr>
          <w:p w14:paraId="7D5738D5" w14:textId="6842456D" w:rsidR="00EC49AF" w:rsidRPr="008B13A5" w:rsidRDefault="00EC49AF">
            <w:pPr>
              <w:keepLines/>
              <w:rPr>
                <w:b/>
                <w:noProof/>
                <w:szCs w:val="22"/>
              </w:rPr>
            </w:pPr>
            <w:r w:rsidRPr="008B13A5">
              <w:rPr>
                <w:b/>
                <w:noProof/>
                <w:szCs w:val="22"/>
              </w:rPr>
              <w:t>Wafers and substrates</w:t>
            </w:r>
          </w:p>
        </w:tc>
        <w:tc>
          <w:tcPr>
            <w:tcW w:w="2395" w:type="dxa"/>
          </w:tcPr>
          <w:p w14:paraId="162C40D0" w14:textId="1934B004" w:rsidR="00EC49AF" w:rsidRPr="008B13A5" w:rsidRDefault="00EC49AF">
            <w:pPr>
              <w:keepLines/>
              <w:rPr>
                <w:noProof/>
                <w:sz w:val="20"/>
              </w:rPr>
            </w:pPr>
            <w:r w:rsidRPr="008B13A5">
              <w:rPr>
                <w:noProof/>
                <w:sz w:val="20"/>
              </w:rPr>
              <w:t xml:space="preserve">Moderate capital intensity but high precision; margins typically </w:t>
            </w:r>
            <w:r w:rsidRPr="008B13A5">
              <w:rPr>
                <w:rStyle w:val="Strong"/>
                <w:rFonts w:eastAsia="MS Gothic"/>
                <w:noProof/>
                <w:sz w:val="20"/>
              </w:rPr>
              <w:t>15–25%</w:t>
            </w:r>
            <w:r w:rsidRPr="008B13A5">
              <w:rPr>
                <w:noProof/>
                <w:sz w:val="20"/>
              </w:rPr>
              <w:t>.</w:t>
            </w:r>
          </w:p>
          <w:p w14:paraId="3ABF21BC" w14:textId="583B183E" w:rsidR="00EC49AF" w:rsidRPr="008B13A5" w:rsidRDefault="00EC49AF">
            <w:pPr>
              <w:keepLines/>
              <w:rPr>
                <w:noProof/>
                <w:sz w:val="20"/>
              </w:rPr>
            </w:pPr>
            <w:r w:rsidRPr="008B13A5">
              <w:rPr>
                <w:noProof/>
                <w:sz w:val="20"/>
              </w:rPr>
              <w:t>Key differentiator for advanced nodes and power semiconductors.</w:t>
            </w:r>
          </w:p>
          <w:p w14:paraId="517E0FA6" w14:textId="6F181C8B" w:rsidR="00EC49AF" w:rsidRPr="008B13A5" w:rsidRDefault="00EC49AF">
            <w:pPr>
              <w:keepLines/>
              <w:rPr>
                <w:noProof/>
                <w:sz w:val="20"/>
              </w:rPr>
            </w:pPr>
            <w:r w:rsidRPr="008B13A5">
              <w:rPr>
                <w:noProof/>
                <w:sz w:val="20"/>
              </w:rPr>
              <w:t>Bottlenecks can constrain the entire manufacturing chain; wafer supply has long lead times (12–24 months).</w:t>
            </w:r>
          </w:p>
        </w:tc>
        <w:tc>
          <w:tcPr>
            <w:tcW w:w="2978" w:type="dxa"/>
          </w:tcPr>
          <w:p w14:paraId="6C2B31C9" w14:textId="3EA60389" w:rsidR="00EC49AF" w:rsidRPr="008B13A5" w:rsidRDefault="00EC49AF">
            <w:pPr>
              <w:keepLines/>
              <w:rPr>
                <w:b/>
                <w:noProof/>
                <w:sz w:val="20"/>
                <w:highlight w:val="yellow"/>
              </w:rPr>
            </w:pPr>
            <w:r w:rsidRPr="008B13A5">
              <w:rPr>
                <w:rStyle w:val="Strong"/>
                <w:rFonts w:eastAsia="MS Gothic"/>
                <w:noProof/>
                <w:sz w:val="20"/>
              </w:rPr>
              <w:t>The EU has a relatively strong global position in SOI wafers, with Soitec and Siltronic being notable players</w:t>
            </w:r>
          </w:p>
        </w:tc>
        <w:tc>
          <w:tcPr>
            <w:tcW w:w="2380" w:type="dxa"/>
          </w:tcPr>
          <w:p w14:paraId="5021EE18" w14:textId="443C854B" w:rsidR="00EC49AF" w:rsidRPr="008B13A5" w:rsidRDefault="00EC49AF">
            <w:pPr>
              <w:keepLines/>
              <w:rPr>
                <w:noProof/>
                <w:sz w:val="20"/>
              </w:rPr>
            </w:pPr>
            <w:r w:rsidRPr="008B13A5">
              <w:rPr>
                <w:noProof/>
                <w:sz w:val="20"/>
              </w:rPr>
              <w:t>Limited production scale compared to Asian competitors. Japan leads the market with 56%</w:t>
            </w:r>
            <w:r w:rsidR="00F274DD" w:rsidRPr="008B13A5">
              <w:rPr>
                <w:noProof/>
                <w:sz w:val="20"/>
              </w:rPr>
              <w:t xml:space="preserve"> </w:t>
            </w:r>
            <w:r w:rsidRPr="008B13A5">
              <w:rPr>
                <w:noProof/>
                <w:sz w:val="20"/>
              </w:rPr>
              <w:t>(</w:t>
            </w:r>
            <w:r w:rsidRPr="008B13A5">
              <w:rPr>
                <w:rStyle w:val="FootnoteReference"/>
                <w:noProof/>
                <w:sz w:val="20"/>
              </w:rPr>
              <w:footnoteReference w:id="77"/>
            </w:r>
            <w:r w:rsidRPr="008B13A5">
              <w:rPr>
                <w:noProof/>
                <w:sz w:val="20"/>
              </w:rPr>
              <w:t>)</w:t>
            </w:r>
          </w:p>
          <w:p w14:paraId="40B7F525" w14:textId="16FB348C" w:rsidR="00EC49AF" w:rsidRPr="008B13A5" w:rsidRDefault="00EC49AF">
            <w:pPr>
              <w:keepLines/>
              <w:rPr>
                <w:noProof/>
                <w:sz w:val="20"/>
              </w:rPr>
            </w:pPr>
            <w:r w:rsidRPr="008B13A5">
              <w:rPr>
                <w:noProof/>
                <w:sz w:val="20"/>
              </w:rPr>
              <w:t>China holds large shares in key materials for wafers, such as silicon, accounting for 64% of the global supply</w:t>
            </w:r>
            <w:r w:rsidR="00F274DD" w:rsidRPr="008B13A5">
              <w:rPr>
                <w:noProof/>
                <w:sz w:val="20"/>
              </w:rPr>
              <w:t xml:space="preserve"> </w:t>
            </w:r>
            <w:r w:rsidRPr="008B13A5">
              <w:rPr>
                <w:noProof/>
                <w:sz w:val="20"/>
              </w:rPr>
              <w:t>(</w:t>
            </w:r>
            <w:r w:rsidRPr="008B13A5">
              <w:rPr>
                <w:rStyle w:val="FootnoteReference"/>
                <w:noProof/>
                <w:sz w:val="20"/>
              </w:rPr>
              <w:footnoteReference w:id="78"/>
            </w:r>
            <w:r w:rsidRPr="008B13A5">
              <w:rPr>
                <w:noProof/>
                <w:sz w:val="20"/>
              </w:rPr>
              <w:t>) and is also the dominant source of primary gallium, which is critical for GaN wafer and substrate manufacturing.</w:t>
            </w:r>
          </w:p>
        </w:tc>
        <w:tc>
          <w:tcPr>
            <w:tcW w:w="2377" w:type="dxa"/>
          </w:tcPr>
          <w:p w14:paraId="6C4471E4" w14:textId="613B8CCE" w:rsidR="00EC49AF" w:rsidRPr="008B13A5" w:rsidRDefault="00EC49AF">
            <w:pPr>
              <w:keepLines/>
              <w:rPr>
                <w:noProof/>
                <w:sz w:val="20"/>
              </w:rPr>
            </w:pPr>
            <w:r w:rsidRPr="008B13A5">
              <w:rPr>
                <w:noProof/>
                <w:sz w:val="20"/>
              </w:rPr>
              <w:t>Europe</w:t>
            </w:r>
            <w:r w:rsidR="00497125" w:rsidRPr="008B13A5">
              <w:rPr>
                <w:noProof/>
                <w:sz w:val="20"/>
              </w:rPr>
              <w:t>’</w:t>
            </w:r>
            <w:r w:rsidRPr="008B13A5">
              <w:rPr>
                <w:noProof/>
                <w:sz w:val="20"/>
              </w:rPr>
              <w:t>s</w:t>
            </w:r>
            <w:r w:rsidR="00F274DD" w:rsidRPr="008B13A5">
              <w:rPr>
                <w:noProof/>
                <w:sz w:val="20"/>
              </w:rPr>
              <w:t xml:space="preserve"> </w:t>
            </w:r>
            <w:r w:rsidRPr="008B13A5">
              <w:rPr>
                <w:noProof/>
                <w:sz w:val="20"/>
              </w:rPr>
              <w:t>overall Europe’s share in wafer production is 14%</w:t>
            </w:r>
            <w:r w:rsidR="00F274DD" w:rsidRPr="008B13A5">
              <w:rPr>
                <w:noProof/>
                <w:sz w:val="20"/>
              </w:rPr>
              <w:t xml:space="preserve"> </w:t>
            </w:r>
            <w:r w:rsidRPr="008B13A5">
              <w:rPr>
                <w:noProof/>
                <w:sz w:val="20"/>
              </w:rPr>
              <w:t>(</w:t>
            </w:r>
            <w:r w:rsidRPr="008B13A5">
              <w:rPr>
                <w:rStyle w:val="FootnoteReference"/>
                <w:noProof/>
                <w:sz w:val="20"/>
              </w:rPr>
              <w:footnoteReference w:id="79"/>
            </w:r>
            <w:r w:rsidRPr="008B13A5">
              <w:rPr>
                <w:noProof/>
                <w:sz w:val="20"/>
              </w:rPr>
              <w:t>)</w:t>
            </w:r>
          </w:p>
        </w:tc>
        <w:tc>
          <w:tcPr>
            <w:tcW w:w="2373" w:type="dxa"/>
          </w:tcPr>
          <w:p w14:paraId="18D235C9" w14:textId="695F1ABA" w:rsidR="00EC49AF" w:rsidRPr="008B13A5" w:rsidRDefault="00EC49AF">
            <w:pPr>
              <w:keepLines/>
              <w:rPr>
                <w:noProof/>
                <w:sz w:val="20"/>
                <w:highlight w:val="yellow"/>
              </w:rPr>
            </w:pPr>
            <w:r w:rsidRPr="008B13A5">
              <w:rPr>
                <w:noProof/>
                <w:sz w:val="20"/>
              </w:rPr>
              <w:t>Linked to Pillar II (Funds new wafer fabs (Si, SiC, GaN) and advanced substrate production) and Pillar III, but with important limitations in direct intervention on substrate materials production.</w:t>
            </w:r>
          </w:p>
        </w:tc>
      </w:tr>
      <w:tr w:rsidR="00EC49AF" w:rsidRPr="008B13A5" w14:paraId="15F36B4F" w14:textId="77777777" w:rsidTr="00B52FD3">
        <w:tc>
          <w:tcPr>
            <w:tcW w:w="2401" w:type="dxa"/>
          </w:tcPr>
          <w:p w14:paraId="0FFAEA4F" w14:textId="1F4E8FBA" w:rsidR="00EC49AF" w:rsidRPr="008B13A5" w:rsidRDefault="00EC49AF">
            <w:pPr>
              <w:keepLines/>
              <w:rPr>
                <w:b/>
                <w:noProof/>
                <w:szCs w:val="22"/>
              </w:rPr>
            </w:pPr>
            <w:r w:rsidRPr="008B13A5">
              <w:rPr>
                <w:b/>
                <w:noProof/>
                <w:szCs w:val="22"/>
              </w:rPr>
              <w:t>Semiconductor manufacturing equipment</w:t>
            </w:r>
          </w:p>
        </w:tc>
        <w:tc>
          <w:tcPr>
            <w:tcW w:w="2395" w:type="dxa"/>
          </w:tcPr>
          <w:p w14:paraId="27FB9791" w14:textId="343F0B9B" w:rsidR="00EC49AF" w:rsidRPr="008B13A5" w:rsidRDefault="00EC49AF">
            <w:pPr>
              <w:keepLines/>
              <w:rPr>
                <w:noProof/>
                <w:sz w:val="20"/>
              </w:rPr>
            </w:pPr>
            <w:r w:rsidRPr="008B13A5">
              <w:rPr>
                <w:noProof/>
                <w:sz w:val="20"/>
              </w:rPr>
              <w:t>Extremely high technological and IP barriers; cumulative R&amp;D intensity &gt;10 % of revenue.</w:t>
            </w:r>
          </w:p>
          <w:p w14:paraId="79F2585C" w14:textId="6B609053" w:rsidR="00EC49AF" w:rsidRPr="008B13A5" w:rsidRDefault="00EC49AF">
            <w:pPr>
              <w:keepLines/>
              <w:rPr>
                <w:noProof/>
                <w:sz w:val="20"/>
              </w:rPr>
            </w:pPr>
            <w:r w:rsidRPr="008B13A5">
              <w:rPr>
                <w:noProof/>
                <w:sz w:val="20"/>
              </w:rPr>
              <w:t>Profit margins relatively high (20–30 %), driven by after-sales service and installed base.</w:t>
            </w:r>
          </w:p>
          <w:p w14:paraId="6134B496" w14:textId="686DF537" w:rsidR="00EC49AF" w:rsidRPr="008B13A5" w:rsidRDefault="00EC49AF">
            <w:pPr>
              <w:keepLines/>
              <w:rPr>
                <w:noProof/>
                <w:sz w:val="20"/>
              </w:rPr>
            </w:pPr>
            <w:r w:rsidRPr="008B13A5">
              <w:rPr>
                <w:noProof/>
                <w:sz w:val="20"/>
              </w:rPr>
              <w:t>Equipment defines achievable process nodes and is a main determinant of competitive advantage.</w:t>
            </w:r>
          </w:p>
        </w:tc>
        <w:tc>
          <w:tcPr>
            <w:tcW w:w="2978" w:type="dxa"/>
          </w:tcPr>
          <w:p w14:paraId="3E00BF60" w14:textId="2512BBDC" w:rsidR="00EC49AF" w:rsidRPr="008B13A5" w:rsidRDefault="00EC49AF">
            <w:pPr>
              <w:keepLines/>
              <w:rPr>
                <w:noProof/>
                <w:sz w:val="20"/>
              </w:rPr>
            </w:pPr>
            <w:r w:rsidRPr="008B13A5">
              <w:rPr>
                <w:noProof/>
                <w:sz w:val="20"/>
              </w:rPr>
              <w:t>The EU holds a strong global position in front-end equipment, particularly in photolithography</w:t>
            </w:r>
            <w:r w:rsidR="00F274DD" w:rsidRPr="008B13A5">
              <w:rPr>
                <w:noProof/>
                <w:sz w:val="20"/>
              </w:rPr>
              <w:t xml:space="preserve"> </w:t>
            </w:r>
            <w:r w:rsidRPr="008B13A5">
              <w:rPr>
                <w:noProof/>
                <w:sz w:val="20"/>
              </w:rPr>
              <w:t>(</w:t>
            </w:r>
            <w:r w:rsidRPr="008B13A5">
              <w:rPr>
                <w:rStyle w:val="FootnoteReference"/>
                <w:noProof/>
                <w:sz w:val="20"/>
              </w:rPr>
              <w:footnoteReference w:id="80"/>
            </w:r>
            <w:r w:rsidRPr="008B13A5">
              <w:rPr>
                <w:noProof/>
                <w:sz w:val="20"/>
              </w:rPr>
              <w:t>)</w:t>
            </w:r>
          </w:p>
          <w:p w14:paraId="3DBA9A65" w14:textId="7A9FC639" w:rsidR="00EC49AF" w:rsidRPr="008B13A5" w:rsidRDefault="00EC49AF">
            <w:pPr>
              <w:pStyle w:val="Text2"/>
              <w:ind w:left="0"/>
              <w:rPr>
                <w:noProof/>
                <w:sz w:val="20"/>
              </w:rPr>
            </w:pPr>
            <w:r w:rsidRPr="008B13A5">
              <w:rPr>
                <w:noProof/>
                <w:sz w:val="20"/>
              </w:rPr>
              <w:t>ASML, an EU-based company, has a monopolistic position in EUV lithography and a strong position in lithography equipment holding an 88% market share in 2022. ASML is also a significant supplier of metrology &amp; inspection equipment, with a 12% global market share (</w:t>
            </w:r>
            <w:r w:rsidRPr="008B13A5">
              <w:rPr>
                <w:noProof/>
                <w:sz w:val="20"/>
                <w:vertAlign w:val="superscript"/>
              </w:rPr>
              <w:t>50</w:t>
            </w:r>
            <w:r w:rsidRPr="008B13A5">
              <w:rPr>
                <w:noProof/>
                <w:sz w:val="20"/>
              </w:rPr>
              <w:t>)</w:t>
            </w:r>
          </w:p>
          <w:p w14:paraId="3AC1EA56" w14:textId="5E845F95" w:rsidR="00EC49AF" w:rsidRPr="008B13A5" w:rsidRDefault="00EC49AF">
            <w:pPr>
              <w:keepLines/>
              <w:rPr>
                <w:noProof/>
                <w:sz w:val="20"/>
                <w:highlight w:val="yellow"/>
              </w:rPr>
            </w:pPr>
            <w:r w:rsidRPr="008B13A5">
              <w:rPr>
                <w:noProof/>
                <w:sz w:val="20"/>
              </w:rPr>
              <w:t>Overall, the EU is well-positioned in the equipment segment, acting as a net exporter with significant domestic production capacity in speciali</w:t>
            </w:r>
            <w:r w:rsidR="00C52815">
              <w:rPr>
                <w:noProof/>
                <w:sz w:val="20"/>
              </w:rPr>
              <w:t>s</w:t>
            </w:r>
            <w:r w:rsidRPr="008B13A5">
              <w:rPr>
                <w:noProof/>
                <w:sz w:val="20"/>
              </w:rPr>
              <w:t>ed machines for wafers and semiconductors</w:t>
            </w:r>
          </w:p>
        </w:tc>
        <w:tc>
          <w:tcPr>
            <w:tcW w:w="2380" w:type="dxa"/>
          </w:tcPr>
          <w:p w14:paraId="3C47B052" w14:textId="183411B8" w:rsidR="00EC49AF" w:rsidRPr="008B13A5" w:rsidRDefault="00EC49AF">
            <w:pPr>
              <w:keepLines/>
              <w:rPr>
                <w:noProof/>
                <w:sz w:val="20"/>
              </w:rPr>
            </w:pPr>
            <w:r w:rsidRPr="008B13A5">
              <w:rPr>
                <w:noProof/>
                <w:sz w:val="20"/>
              </w:rPr>
              <w:t>The EU is reliant on foreign suppliers, mostly from the US and partly from Japan, for etching and cleaning (e.g., LAM Research), metrology &amp; quality control (e.g., KLA Tencor), and other front-end segments (e.g. Applied Materials)</w:t>
            </w:r>
            <w:r w:rsidR="00F274DD" w:rsidRPr="008B13A5">
              <w:rPr>
                <w:noProof/>
                <w:sz w:val="20"/>
              </w:rPr>
              <w:t xml:space="preserve"> </w:t>
            </w:r>
            <w:r w:rsidRPr="008B13A5">
              <w:rPr>
                <w:noProof/>
                <w:sz w:val="20"/>
              </w:rPr>
              <w:t>(</w:t>
            </w:r>
            <w:r w:rsidRPr="008B13A5">
              <w:rPr>
                <w:rStyle w:val="FootnoteReference"/>
                <w:noProof/>
                <w:sz w:val="20"/>
              </w:rPr>
              <w:footnoteReference w:id="81"/>
            </w:r>
            <w:r w:rsidRPr="008B13A5">
              <w:rPr>
                <w:noProof/>
                <w:sz w:val="20"/>
              </w:rPr>
              <w:t>)</w:t>
            </w:r>
          </w:p>
          <w:p w14:paraId="254413C8" w14:textId="4D3A698A" w:rsidR="00EC49AF" w:rsidRPr="008B13A5" w:rsidRDefault="00EC49AF">
            <w:pPr>
              <w:keepLines/>
              <w:rPr>
                <w:noProof/>
                <w:sz w:val="20"/>
              </w:rPr>
            </w:pPr>
            <w:r w:rsidRPr="008B13A5">
              <w:rPr>
                <w:noProof/>
                <w:sz w:val="20"/>
              </w:rPr>
              <w:t>Due to the absence of advanced manufacturing in Europe, sales of advanced equipment such as EUV machines in the EU is close to null.</w:t>
            </w:r>
          </w:p>
        </w:tc>
        <w:tc>
          <w:tcPr>
            <w:tcW w:w="2377" w:type="dxa"/>
          </w:tcPr>
          <w:p w14:paraId="3FB798E7" w14:textId="475DE0F9" w:rsidR="00EC49AF" w:rsidRPr="008B13A5" w:rsidRDefault="00EC49AF">
            <w:pPr>
              <w:keepLines/>
              <w:rPr>
                <w:noProof/>
                <w:sz w:val="20"/>
              </w:rPr>
            </w:pPr>
            <w:r w:rsidRPr="008B13A5">
              <w:rPr>
                <w:noProof/>
                <w:sz w:val="20"/>
              </w:rPr>
              <w:t>For front-end equipment in 2022, EU companies held a 24.4% market share</w:t>
            </w:r>
            <w:r w:rsidR="00F274DD" w:rsidRPr="008B13A5">
              <w:rPr>
                <w:noProof/>
                <w:sz w:val="20"/>
              </w:rPr>
              <w:t xml:space="preserve"> </w:t>
            </w:r>
            <w:r w:rsidRPr="008B13A5">
              <w:rPr>
                <w:noProof/>
                <w:sz w:val="20"/>
              </w:rPr>
              <w:t>(</w:t>
            </w:r>
            <w:r w:rsidRPr="008B13A5">
              <w:rPr>
                <w:rStyle w:val="FootnoteReference"/>
                <w:noProof/>
                <w:sz w:val="20"/>
              </w:rPr>
              <w:footnoteReference w:id="82"/>
            </w:r>
            <w:r w:rsidRPr="008B13A5">
              <w:rPr>
                <w:noProof/>
                <w:sz w:val="20"/>
              </w:rPr>
              <w:t>)</w:t>
            </w:r>
          </w:p>
          <w:p w14:paraId="0171A712" w14:textId="3E1B8CFB" w:rsidR="00EC49AF" w:rsidRPr="008B13A5" w:rsidRDefault="00EC49AF">
            <w:pPr>
              <w:keepLines/>
              <w:rPr>
                <w:noProof/>
                <w:sz w:val="20"/>
              </w:rPr>
            </w:pPr>
            <w:r w:rsidRPr="008B13A5">
              <w:rPr>
                <w:noProof/>
                <w:sz w:val="20"/>
              </w:rPr>
              <w:t>The EU</w:t>
            </w:r>
            <w:r w:rsidR="00497125" w:rsidRPr="008B13A5">
              <w:rPr>
                <w:noProof/>
                <w:sz w:val="20"/>
              </w:rPr>
              <w:t>’</w:t>
            </w:r>
            <w:r w:rsidRPr="008B13A5">
              <w:rPr>
                <w:noProof/>
                <w:sz w:val="20"/>
              </w:rPr>
              <w:t>s market share in the total equipment market was 26.4% in 2023</w:t>
            </w:r>
            <w:r w:rsidR="00F274DD" w:rsidRPr="008B13A5">
              <w:rPr>
                <w:noProof/>
                <w:sz w:val="20"/>
              </w:rPr>
              <w:t xml:space="preserve"> </w:t>
            </w:r>
            <w:r w:rsidRPr="008B13A5">
              <w:rPr>
                <w:noProof/>
                <w:sz w:val="20"/>
              </w:rPr>
              <w:t>(</w:t>
            </w:r>
            <w:r w:rsidRPr="008B13A5">
              <w:rPr>
                <w:rStyle w:val="FootnoteReference"/>
                <w:noProof/>
                <w:sz w:val="20"/>
              </w:rPr>
              <w:footnoteReference w:id="83"/>
            </w:r>
            <w:r w:rsidRPr="008B13A5">
              <w:rPr>
                <w:noProof/>
                <w:sz w:val="20"/>
              </w:rPr>
              <w:t>)</w:t>
            </w:r>
          </w:p>
        </w:tc>
        <w:tc>
          <w:tcPr>
            <w:tcW w:w="2373" w:type="dxa"/>
          </w:tcPr>
          <w:p w14:paraId="00230628" w14:textId="5B592995" w:rsidR="00EC49AF" w:rsidRPr="008B13A5" w:rsidRDefault="00EC49AF">
            <w:pPr>
              <w:keepLines/>
              <w:rPr>
                <w:noProof/>
                <w:sz w:val="20"/>
              </w:rPr>
            </w:pPr>
            <w:r w:rsidRPr="008B13A5">
              <w:rPr>
                <w:noProof/>
                <w:sz w:val="20"/>
              </w:rPr>
              <w:t>Linked with Pillar I: Providing public-funded pilot lines, prototyping and testing facilities.</w:t>
            </w:r>
          </w:p>
          <w:p w14:paraId="5AAFCAE1" w14:textId="232113D1" w:rsidR="00EC49AF" w:rsidRPr="008B13A5" w:rsidRDefault="00EC49AF">
            <w:pPr>
              <w:keepLines/>
              <w:rPr>
                <w:noProof/>
                <w:sz w:val="20"/>
              </w:rPr>
            </w:pPr>
            <w:r w:rsidRPr="008B13A5">
              <w:rPr>
                <w:noProof/>
                <w:sz w:val="20"/>
              </w:rPr>
              <w:t>Linked with Pillar II: Equipment is essential for scaling domestic fabs.</w:t>
            </w:r>
          </w:p>
          <w:p w14:paraId="2506EE5F" w14:textId="5D1E6BDC" w:rsidR="00EC49AF" w:rsidRPr="008B13A5" w:rsidRDefault="00EC49AF">
            <w:pPr>
              <w:keepLines/>
              <w:rPr>
                <w:i/>
                <w:noProof/>
                <w:sz w:val="20"/>
                <w:highlight w:val="yellow"/>
              </w:rPr>
            </w:pPr>
            <w:r w:rsidRPr="008B13A5">
              <w:rPr>
                <w:i/>
                <w:noProof/>
                <w:sz w:val="20"/>
              </w:rPr>
              <w:t>Indirectly supporting the demand for the equipment</w:t>
            </w:r>
          </w:p>
        </w:tc>
      </w:tr>
    </w:tbl>
    <w:p w14:paraId="36688367" w14:textId="77777777" w:rsidR="00EC49AF" w:rsidRPr="008B13A5" w:rsidRDefault="00EC49AF" w:rsidP="00EC49AF">
      <w:pPr>
        <w:keepLines/>
        <w:rPr>
          <w:noProof/>
          <w:szCs w:val="22"/>
        </w:rPr>
        <w:sectPr w:rsidR="00EC49AF" w:rsidRPr="008B13A5" w:rsidSect="00EC49AF">
          <w:headerReference w:type="default" r:id="rId47"/>
          <w:footerReference w:type="default" r:id="rId48"/>
          <w:headerReference w:type="first" r:id="rId49"/>
          <w:footerReference w:type="first" r:id="rId50"/>
          <w:pgSz w:w="16838" w:h="11906" w:orient="landscape"/>
          <w:pgMar w:top="1587" w:right="1020" w:bottom="707" w:left="1020" w:header="601" w:footer="1077" w:gutter="0"/>
          <w:cols w:space="720"/>
          <w:titlePg/>
          <w:docGrid w:linePitch="326"/>
        </w:sectPr>
      </w:pPr>
    </w:p>
    <w:p w14:paraId="7DAACFD3" w14:textId="20014DEE" w:rsidR="00EC49AF" w:rsidRPr="008B13A5" w:rsidRDefault="00EC49AF" w:rsidP="00814185">
      <w:pPr>
        <w:pStyle w:val="Heading3"/>
        <w:rPr>
          <w:noProof/>
        </w:rPr>
      </w:pPr>
      <w:bookmarkStart w:id="198" w:name="_Toc217395617"/>
      <w:bookmarkStart w:id="199" w:name="_Toc217396466"/>
      <w:bookmarkStart w:id="200" w:name="_Toc104855798"/>
      <w:bookmarkStart w:id="201" w:name="_Toc223620627"/>
      <w:bookmarkStart w:id="202" w:name="_Toc230010447"/>
      <w:r w:rsidRPr="008B13A5">
        <w:rPr>
          <w:noProof/>
        </w:rPr>
        <w:t>Semiconductor design, production and packaging</w:t>
      </w:r>
      <w:bookmarkEnd w:id="198"/>
      <w:bookmarkEnd w:id="199"/>
      <w:bookmarkEnd w:id="200"/>
      <w:bookmarkEnd w:id="201"/>
      <w:bookmarkEnd w:id="202"/>
    </w:p>
    <w:tbl>
      <w:tblPr>
        <w:tblStyle w:val="TableGrid"/>
        <w:tblpPr w:leftFromText="141" w:rightFromText="141" w:vertAnchor="text" w:tblpX="-116" w:tblpY="1"/>
        <w:tblOverlap w:val="never"/>
        <w:tblW w:w="14286" w:type="dxa"/>
        <w:tblLook w:val="04A0" w:firstRow="1" w:lastRow="0" w:firstColumn="1" w:lastColumn="0" w:noHBand="0" w:noVBand="1"/>
      </w:tblPr>
      <w:tblGrid>
        <w:gridCol w:w="2381"/>
        <w:gridCol w:w="2381"/>
        <w:gridCol w:w="2381"/>
        <w:gridCol w:w="2381"/>
        <w:gridCol w:w="2381"/>
        <w:gridCol w:w="2381"/>
      </w:tblGrid>
      <w:tr w:rsidR="00EC49AF" w:rsidRPr="008B13A5" w14:paraId="0274A63F" w14:textId="77777777" w:rsidTr="00BD008E">
        <w:trPr>
          <w:tblHeader/>
        </w:trPr>
        <w:tc>
          <w:tcPr>
            <w:tcW w:w="2381" w:type="dxa"/>
            <w:shd w:val="clear" w:color="auto" w:fill="BFBFBF" w:themeFill="background1" w:themeFillShade="BF"/>
          </w:tcPr>
          <w:p w14:paraId="1CF3D5D4" w14:textId="77777777" w:rsidR="00EC49AF" w:rsidRPr="008B13A5" w:rsidRDefault="00EC49AF">
            <w:pPr>
              <w:rPr>
                <w:b/>
                <w:noProof/>
                <w:szCs w:val="22"/>
              </w:rPr>
            </w:pPr>
          </w:p>
          <w:p w14:paraId="515EE960" w14:textId="6FFEC683" w:rsidR="00EC49AF" w:rsidRPr="008B13A5" w:rsidRDefault="00EC49AF">
            <w:pPr>
              <w:rPr>
                <w:b/>
                <w:noProof/>
                <w:szCs w:val="22"/>
              </w:rPr>
            </w:pPr>
            <w:r w:rsidRPr="008B13A5">
              <w:rPr>
                <w:b/>
                <w:noProof/>
                <w:szCs w:val="22"/>
              </w:rPr>
              <w:t>GVC segment</w:t>
            </w:r>
          </w:p>
        </w:tc>
        <w:tc>
          <w:tcPr>
            <w:tcW w:w="2381" w:type="dxa"/>
            <w:shd w:val="clear" w:color="auto" w:fill="BFBFBF" w:themeFill="background1" w:themeFillShade="BF"/>
          </w:tcPr>
          <w:p w14:paraId="412BED07" w14:textId="28CAC9FD" w:rsidR="00EC49AF" w:rsidRPr="008B13A5" w:rsidRDefault="00EC49AF">
            <w:pPr>
              <w:rPr>
                <w:b/>
                <w:noProof/>
                <w:szCs w:val="22"/>
              </w:rPr>
            </w:pPr>
            <w:r w:rsidRPr="008B13A5">
              <w:rPr>
                <w:b/>
                <w:noProof/>
                <w:szCs w:val="22"/>
              </w:rPr>
              <w:t>Value added characteristics</w:t>
            </w:r>
          </w:p>
        </w:tc>
        <w:tc>
          <w:tcPr>
            <w:tcW w:w="2381" w:type="dxa"/>
            <w:shd w:val="clear" w:color="auto" w:fill="BFBFBF" w:themeFill="background1" w:themeFillShade="BF"/>
          </w:tcPr>
          <w:p w14:paraId="4D3107A0" w14:textId="35D69137" w:rsidR="00EC49AF" w:rsidRPr="008B13A5" w:rsidRDefault="00EC49AF">
            <w:pPr>
              <w:rPr>
                <w:b/>
                <w:noProof/>
                <w:szCs w:val="22"/>
              </w:rPr>
            </w:pPr>
            <w:r w:rsidRPr="008B13A5">
              <w:rPr>
                <w:b/>
                <w:noProof/>
                <w:szCs w:val="22"/>
              </w:rPr>
              <w:t>EU strengths</w:t>
            </w:r>
          </w:p>
        </w:tc>
        <w:tc>
          <w:tcPr>
            <w:tcW w:w="2381" w:type="dxa"/>
            <w:shd w:val="clear" w:color="auto" w:fill="BFBFBF" w:themeFill="background1" w:themeFillShade="BF"/>
          </w:tcPr>
          <w:p w14:paraId="6CFE560C" w14:textId="6D018948" w:rsidR="00EC49AF" w:rsidRPr="008B13A5" w:rsidRDefault="00EC49AF">
            <w:pPr>
              <w:rPr>
                <w:b/>
                <w:noProof/>
                <w:szCs w:val="22"/>
              </w:rPr>
            </w:pPr>
            <w:r w:rsidRPr="008B13A5">
              <w:rPr>
                <w:b/>
                <w:noProof/>
                <w:szCs w:val="22"/>
              </w:rPr>
              <w:t>EU gaps</w:t>
            </w:r>
          </w:p>
        </w:tc>
        <w:tc>
          <w:tcPr>
            <w:tcW w:w="2381" w:type="dxa"/>
            <w:shd w:val="clear" w:color="auto" w:fill="BFBFBF" w:themeFill="background1" w:themeFillShade="BF"/>
          </w:tcPr>
          <w:p w14:paraId="7437EACA" w14:textId="2EC3E24E" w:rsidR="00EC49AF" w:rsidRPr="008B13A5" w:rsidRDefault="00EC49AF">
            <w:pPr>
              <w:rPr>
                <w:b/>
                <w:noProof/>
                <w:szCs w:val="22"/>
              </w:rPr>
            </w:pPr>
            <w:r w:rsidRPr="008B13A5">
              <w:rPr>
                <w:b/>
                <w:noProof/>
                <w:szCs w:val="22"/>
              </w:rPr>
              <w:t>EU share in the global market</w:t>
            </w:r>
          </w:p>
        </w:tc>
        <w:tc>
          <w:tcPr>
            <w:tcW w:w="2381" w:type="dxa"/>
            <w:shd w:val="clear" w:color="auto" w:fill="BFBFBF" w:themeFill="background1" w:themeFillShade="BF"/>
          </w:tcPr>
          <w:p w14:paraId="20373EE5" w14:textId="75583339" w:rsidR="00EC49AF" w:rsidRPr="008B13A5" w:rsidRDefault="00EC49AF">
            <w:pPr>
              <w:rPr>
                <w:b/>
                <w:noProof/>
                <w:szCs w:val="22"/>
              </w:rPr>
            </w:pPr>
            <w:r w:rsidRPr="008B13A5">
              <w:rPr>
                <w:b/>
                <w:noProof/>
                <w:szCs w:val="22"/>
              </w:rPr>
              <w:t>Chips Act importance</w:t>
            </w:r>
          </w:p>
        </w:tc>
      </w:tr>
      <w:tr w:rsidR="00EC49AF" w:rsidRPr="008B13A5" w14:paraId="5883C891" w14:textId="77777777" w:rsidTr="00BD008E">
        <w:tc>
          <w:tcPr>
            <w:tcW w:w="2381" w:type="dxa"/>
          </w:tcPr>
          <w:p w14:paraId="6F94EAAB" w14:textId="77777777" w:rsidR="00EC49AF" w:rsidRPr="008B13A5" w:rsidRDefault="00EC49AF">
            <w:pPr>
              <w:rPr>
                <w:b/>
                <w:noProof/>
                <w:szCs w:val="22"/>
              </w:rPr>
            </w:pPr>
            <w:r w:rsidRPr="008B13A5">
              <w:rPr>
                <w:b/>
                <w:noProof/>
                <w:szCs w:val="22"/>
              </w:rPr>
              <w:t>Fabless</w:t>
            </w:r>
          </w:p>
          <w:p w14:paraId="3EFB9390" w14:textId="25ADBFBF" w:rsidR="00EC49AF" w:rsidRPr="008B13A5" w:rsidRDefault="00CD6FF2">
            <w:pPr>
              <w:rPr>
                <w:b/>
                <w:noProof/>
                <w:szCs w:val="22"/>
              </w:rPr>
            </w:pPr>
            <w:r w:rsidRPr="008B13A5">
              <w:rPr>
                <w:b/>
                <w:noProof/>
                <w:szCs w:val="22"/>
              </w:rPr>
              <w:t>Fab-lite</w:t>
            </w:r>
            <w:r w:rsidRPr="008B13A5" w:rsidDel="00CD6FF2">
              <w:rPr>
                <w:b/>
                <w:noProof/>
                <w:szCs w:val="22"/>
              </w:rPr>
              <w:t xml:space="preserve"> </w:t>
            </w:r>
            <w:r>
              <w:rPr>
                <w:b/>
                <w:noProof/>
                <w:szCs w:val="22"/>
              </w:rPr>
              <w:t>design</w:t>
            </w:r>
          </w:p>
        </w:tc>
        <w:tc>
          <w:tcPr>
            <w:tcW w:w="2381" w:type="dxa"/>
          </w:tcPr>
          <w:p w14:paraId="5458D573" w14:textId="26401E10" w:rsidR="00EC49AF" w:rsidRPr="008B13A5" w:rsidRDefault="00EC49AF">
            <w:pPr>
              <w:rPr>
                <w:noProof/>
                <w:szCs w:val="22"/>
              </w:rPr>
            </w:pPr>
            <w:r w:rsidRPr="008B13A5">
              <w:rPr>
                <w:noProof/>
                <w:szCs w:val="22"/>
              </w:rPr>
              <w:t>Very high R&amp;D intensity with strong dependence on advanced EDA and IP.</w:t>
            </w:r>
          </w:p>
          <w:p w14:paraId="6F018A52" w14:textId="4FD55F89" w:rsidR="00EC49AF" w:rsidRPr="008B13A5" w:rsidRDefault="00EC49AF">
            <w:pPr>
              <w:rPr>
                <w:noProof/>
                <w:szCs w:val="22"/>
              </w:rPr>
            </w:pPr>
            <w:r w:rsidRPr="008B13A5">
              <w:rPr>
                <w:noProof/>
                <w:szCs w:val="22"/>
              </w:rPr>
              <w:t>Value created through innovation, system integration, and differentiated architectures.</w:t>
            </w:r>
          </w:p>
          <w:p w14:paraId="29245B0F" w14:textId="2604EF32" w:rsidR="00EC49AF" w:rsidRPr="008B13A5" w:rsidRDefault="00EC49AF">
            <w:pPr>
              <w:rPr>
                <w:noProof/>
                <w:szCs w:val="22"/>
              </w:rPr>
            </w:pPr>
            <w:r w:rsidRPr="008B13A5">
              <w:rPr>
                <w:noProof/>
                <w:szCs w:val="22"/>
              </w:rPr>
              <w:t>Profit margins typically 20–40 %, supported by design differentiation and IP ownership.</w:t>
            </w:r>
          </w:p>
          <w:p w14:paraId="72C61E3F" w14:textId="7C4EF7B4" w:rsidR="00EC49AF" w:rsidRPr="008B13A5" w:rsidRDefault="00EC49AF">
            <w:pPr>
              <w:rPr>
                <w:noProof/>
                <w:szCs w:val="22"/>
              </w:rPr>
            </w:pPr>
            <w:r w:rsidRPr="008B13A5">
              <w:rPr>
                <w:noProof/>
                <w:szCs w:val="22"/>
              </w:rPr>
              <w:t>High productivity, skilled employment, spillovers to research and digital industries.</w:t>
            </w:r>
          </w:p>
        </w:tc>
        <w:tc>
          <w:tcPr>
            <w:tcW w:w="2381" w:type="dxa"/>
          </w:tcPr>
          <w:p w14:paraId="358341E3" w14:textId="15A1C4B3" w:rsidR="00EC49AF" w:rsidRPr="008B13A5" w:rsidRDefault="00B66D38">
            <w:pPr>
              <w:rPr>
                <w:noProof/>
                <w:szCs w:val="22"/>
              </w:rPr>
            </w:pPr>
            <w:r>
              <w:rPr>
                <w:noProof/>
                <w:szCs w:val="22"/>
              </w:rPr>
              <w:t>The EU has important</w:t>
            </w:r>
            <w:r w:rsidR="00EC49AF" w:rsidRPr="008B13A5">
              <w:rPr>
                <w:noProof/>
                <w:szCs w:val="22"/>
              </w:rPr>
              <w:t xml:space="preserve"> expertise in designing analog</w:t>
            </w:r>
            <w:r>
              <w:rPr>
                <w:noProof/>
                <w:szCs w:val="22"/>
              </w:rPr>
              <w:t>ue</w:t>
            </w:r>
            <w:r w:rsidR="00EC49AF" w:rsidRPr="008B13A5">
              <w:rPr>
                <w:noProof/>
                <w:szCs w:val="22"/>
              </w:rPr>
              <w:t xml:space="preserve"> chips, radio frequency (RF) components, sensors &amp; MEMS, power semiconductors, microcontrollers, and silicon photonics</w:t>
            </w:r>
            <w:r w:rsidR="00F274DD" w:rsidRPr="008B13A5">
              <w:rPr>
                <w:noProof/>
                <w:szCs w:val="22"/>
              </w:rPr>
              <w:t xml:space="preserve"> </w:t>
            </w:r>
            <w:r w:rsidR="00EC49AF" w:rsidRPr="008B13A5">
              <w:rPr>
                <w:noProof/>
                <w:szCs w:val="22"/>
              </w:rPr>
              <w:t>(</w:t>
            </w:r>
            <w:r w:rsidR="00EC49AF" w:rsidRPr="008B13A5">
              <w:rPr>
                <w:rStyle w:val="FootnoteReference"/>
                <w:noProof/>
                <w:szCs w:val="22"/>
              </w:rPr>
              <w:footnoteReference w:id="84"/>
            </w:r>
            <w:r w:rsidR="00EC49AF" w:rsidRPr="008B13A5">
              <w:rPr>
                <w:noProof/>
                <w:szCs w:val="22"/>
              </w:rPr>
              <w:t>)</w:t>
            </w:r>
          </w:p>
          <w:p w14:paraId="078363A1" w14:textId="7A03D759" w:rsidR="00EC49AF" w:rsidRPr="008B13A5" w:rsidRDefault="00EC49AF">
            <w:pPr>
              <w:rPr>
                <w:noProof/>
                <w:szCs w:val="22"/>
              </w:rPr>
            </w:pPr>
            <w:r w:rsidRPr="008B13A5">
              <w:rPr>
                <w:noProof/>
                <w:szCs w:val="22"/>
              </w:rPr>
              <w:t xml:space="preserve">Major fabless companies </w:t>
            </w:r>
            <w:r w:rsidR="00B66D38">
              <w:rPr>
                <w:noProof/>
                <w:szCs w:val="22"/>
              </w:rPr>
              <w:t>such as</w:t>
            </w:r>
            <w:r w:rsidR="00B66D38" w:rsidRPr="008B13A5">
              <w:rPr>
                <w:noProof/>
                <w:szCs w:val="22"/>
              </w:rPr>
              <w:t xml:space="preserve"> </w:t>
            </w:r>
            <w:r w:rsidRPr="008B13A5">
              <w:rPr>
                <w:noProof/>
                <w:szCs w:val="22"/>
              </w:rPr>
              <w:t>Qualcomm, Apple and Nvidia have well-established design centres with a considerable number of employees located in the EU.</w:t>
            </w:r>
          </w:p>
        </w:tc>
        <w:tc>
          <w:tcPr>
            <w:tcW w:w="2381" w:type="dxa"/>
          </w:tcPr>
          <w:p w14:paraId="5691D9E0" w14:textId="006966C0" w:rsidR="00EC49AF" w:rsidRPr="008B13A5" w:rsidRDefault="00EC49AF">
            <w:pPr>
              <w:rPr>
                <w:noProof/>
                <w:szCs w:val="22"/>
              </w:rPr>
            </w:pPr>
            <w:r w:rsidRPr="008B13A5">
              <w:rPr>
                <w:noProof/>
                <w:szCs w:val="22"/>
              </w:rPr>
              <w:t xml:space="preserve">The EU is not as strong in designing digital logic components, which are increasingly critical due to the rise of </w:t>
            </w:r>
            <w:r w:rsidR="00B66D38">
              <w:rPr>
                <w:noProof/>
                <w:szCs w:val="22"/>
              </w:rPr>
              <w:t>AI</w:t>
            </w:r>
            <w:r w:rsidR="00F274DD" w:rsidRPr="008B13A5">
              <w:rPr>
                <w:noProof/>
                <w:szCs w:val="22"/>
              </w:rPr>
              <w:t xml:space="preserve"> </w:t>
            </w:r>
            <w:r w:rsidRPr="008B13A5">
              <w:rPr>
                <w:noProof/>
                <w:szCs w:val="22"/>
              </w:rPr>
              <w:t>(</w:t>
            </w:r>
            <w:r w:rsidRPr="008B13A5">
              <w:rPr>
                <w:rStyle w:val="FootnoteReference"/>
                <w:noProof/>
                <w:szCs w:val="22"/>
              </w:rPr>
              <w:footnoteReference w:id="85"/>
            </w:r>
            <w:r w:rsidRPr="008B13A5">
              <w:rPr>
                <w:noProof/>
                <w:szCs w:val="22"/>
              </w:rPr>
              <w:t>),</w:t>
            </w:r>
            <w:r w:rsidR="00F274DD" w:rsidRPr="008B13A5">
              <w:rPr>
                <w:noProof/>
                <w:szCs w:val="22"/>
              </w:rPr>
              <w:t xml:space="preserve"> </w:t>
            </w:r>
            <w:r w:rsidRPr="008B13A5">
              <w:rPr>
                <w:noProof/>
                <w:szCs w:val="22"/>
              </w:rPr>
              <w:t>(</w:t>
            </w:r>
            <w:r w:rsidRPr="008B13A5">
              <w:rPr>
                <w:rStyle w:val="FootnoteReference"/>
                <w:noProof/>
                <w:szCs w:val="22"/>
              </w:rPr>
              <w:footnoteReference w:id="86"/>
            </w:r>
            <w:r w:rsidRPr="008B13A5">
              <w:rPr>
                <w:noProof/>
                <w:szCs w:val="22"/>
              </w:rPr>
              <w:t>).</w:t>
            </w:r>
          </w:p>
          <w:p w14:paraId="34603DAB" w14:textId="66977923" w:rsidR="00EC49AF" w:rsidRPr="008B13A5" w:rsidRDefault="00EC49AF">
            <w:pPr>
              <w:rPr>
                <w:noProof/>
                <w:szCs w:val="22"/>
              </w:rPr>
            </w:pPr>
            <w:r w:rsidRPr="008B13A5">
              <w:rPr>
                <w:noProof/>
                <w:szCs w:val="22"/>
              </w:rPr>
              <w:t xml:space="preserve">The EU has no leading pure-play </w:t>
            </w:r>
            <w:r w:rsidR="00B66D38">
              <w:rPr>
                <w:noProof/>
                <w:szCs w:val="22"/>
              </w:rPr>
              <w:t>f</w:t>
            </w:r>
            <w:r w:rsidRPr="008B13A5">
              <w:rPr>
                <w:noProof/>
                <w:szCs w:val="22"/>
              </w:rPr>
              <w:t>abless players</w:t>
            </w:r>
            <w:r w:rsidR="00F274DD" w:rsidRPr="008B13A5">
              <w:rPr>
                <w:noProof/>
                <w:szCs w:val="22"/>
              </w:rPr>
              <w:t xml:space="preserve"> </w:t>
            </w:r>
            <w:r w:rsidRPr="008B13A5">
              <w:rPr>
                <w:noProof/>
                <w:szCs w:val="22"/>
              </w:rPr>
              <w:t>(</w:t>
            </w:r>
            <w:r w:rsidRPr="008B13A5">
              <w:rPr>
                <w:rStyle w:val="FootnoteReference"/>
                <w:noProof/>
                <w:szCs w:val="22"/>
              </w:rPr>
              <w:footnoteReference w:id="87"/>
            </w:r>
            <w:r w:rsidRPr="008B13A5">
              <w:rPr>
                <w:noProof/>
                <w:szCs w:val="22"/>
              </w:rPr>
              <w:t>).</w:t>
            </w:r>
          </w:p>
          <w:p w14:paraId="6B2A940C" w14:textId="77777777" w:rsidR="00EC49AF" w:rsidRPr="008B13A5" w:rsidRDefault="00EC49AF">
            <w:pPr>
              <w:rPr>
                <w:noProof/>
                <w:szCs w:val="22"/>
              </w:rPr>
            </w:pPr>
          </w:p>
        </w:tc>
        <w:tc>
          <w:tcPr>
            <w:tcW w:w="2381" w:type="dxa"/>
          </w:tcPr>
          <w:p w14:paraId="5B7E82C6" w14:textId="44FBD86E" w:rsidR="00EC49AF" w:rsidRPr="008B13A5" w:rsidRDefault="00EC49AF" w:rsidP="00BD008E">
            <w:pPr>
              <w:jc w:val="left"/>
              <w:rPr>
                <w:noProof/>
                <w:szCs w:val="22"/>
              </w:rPr>
            </w:pPr>
            <w:r w:rsidRPr="008B13A5">
              <w:rPr>
                <w:noProof/>
                <w:szCs w:val="22"/>
              </w:rPr>
              <w:t>Total EU27 semiconductor device companies’ world market share in 2023: 10.1 %. Within EU27 semiconductor company revenue, 97 % comes from companies with fabs and 3 % from fabless companies.</w:t>
            </w:r>
            <w:r w:rsidR="00F274DD" w:rsidRPr="008B13A5">
              <w:rPr>
                <w:noProof/>
                <w:szCs w:val="22"/>
              </w:rPr>
              <w:t xml:space="preserve"> </w:t>
            </w:r>
            <w:r w:rsidRPr="008B13A5">
              <w:rPr>
                <w:noProof/>
                <w:szCs w:val="22"/>
              </w:rPr>
              <w:t>(</w:t>
            </w:r>
            <w:r w:rsidRPr="008B13A5">
              <w:rPr>
                <w:rStyle w:val="FootnoteReference"/>
                <w:noProof/>
                <w:szCs w:val="22"/>
              </w:rPr>
              <w:footnoteReference w:id="88"/>
            </w:r>
            <w:r w:rsidRPr="008B13A5">
              <w:rPr>
                <w:noProof/>
                <w:szCs w:val="22"/>
              </w:rPr>
              <w:t>)</w:t>
            </w:r>
          </w:p>
        </w:tc>
        <w:tc>
          <w:tcPr>
            <w:tcW w:w="2381" w:type="dxa"/>
          </w:tcPr>
          <w:p w14:paraId="1F6BCDDC" w14:textId="1F251769" w:rsidR="00EC49AF" w:rsidRPr="008B13A5" w:rsidRDefault="00EC49AF">
            <w:pPr>
              <w:rPr>
                <w:noProof/>
                <w:szCs w:val="22"/>
              </w:rPr>
            </w:pPr>
            <w:r w:rsidRPr="008B13A5">
              <w:rPr>
                <w:noProof/>
                <w:szCs w:val="22"/>
              </w:rPr>
              <w:t>Pillar I support mechanisms (European Design Platform, Competence Centres, Pilot Lines) reduce design costs and provide access to prototyping and integration support for fabless firms.</w:t>
            </w:r>
          </w:p>
          <w:p w14:paraId="05C521EE" w14:textId="509A5369" w:rsidR="00EC49AF" w:rsidRPr="008B13A5" w:rsidRDefault="00EC49AF">
            <w:pPr>
              <w:rPr>
                <w:noProof/>
                <w:szCs w:val="22"/>
              </w:rPr>
            </w:pPr>
            <w:r w:rsidRPr="008B13A5">
              <w:rPr>
                <w:noProof/>
                <w:szCs w:val="22"/>
              </w:rPr>
              <w:t>Chips Fund provides capital to fabless start-ups, which face large funding gaps in the design-to-tape-out stage.</w:t>
            </w:r>
          </w:p>
          <w:p w14:paraId="76B352FE" w14:textId="022B0C3F" w:rsidR="00EC49AF" w:rsidRPr="008B13A5" w:rsidRDefault="00EC49AF">
            <w:pPr>
              <w:rPr>
                <w:noProof/>
                <w:szCs w:val="22"/>
              </w:rPr>
            </w:pPr>
            <w:r w:rsidRPr="008B13A5">
              <w:rPr>
                <w:noProof/>
                <w:szCs w:val="22"/>
              </w:rPr>
              <w:t>Also indirectly connected to Pillar II and Pillar III.</w:t>
            </w:r>
          </w:p>
        </w:tc>
      </w:tr>
      <w:tr w:rsidR="00EC49AF" w:rsidRPr="008B13A5" w14:paraId="5462B6A1" w14:textId="77777777" w:rsidTr="00BD008E">
        <w:tc>
          <w:tcPr>
            <w:tcW w:w="2381" w:type="dxa"/>
          </w:tcPr>
          <w:p w14:paraId="52B24AE6" w14:textId="302D0F22" w:rsidR="00EC49AF" w:rsidRPr="008B13A5" w:rsidRDefault="00EC49AF">
            <w:pPr>
              <w:rPr>
                <w:b/>
                <w:noProof/>
                <w:szCs w:val="22"/>
              </w:rPr>
            </w:pPr>
            <w:r w:rsidRPr="008B13A5">
              <w:rPr>
                <w:b/>
                <w:noProof/>
                <w:szCs w:val="22"/>
              </w:rPr>
              <w:t>Manufacturing and Production</w:t>
            </w:r>
          </w:p>
          <w:p w14:paraId="49BEEF86" w14:textId="1081C24C" w:rsidR="00EC49AF" w:rsidRPr="008B13A5" w:rsidRDefault="00CD6FF2" w:rsidP="00CD6FF2">
            <w:pPr>
              <w:rPr>
                <w:b/>
                <w:noProof/>
                <w:szCs w:val="22"/>
              </w:rPr>
            </w:pPr>
            <w:r w:rsidRPr="008B13A5">
              <w:rPr>
                <w:b/>
                <w:noProof/>
                <w:szCs w:val="22"/>
              </w:rPr>
              <w:t xml:space="preserve">Integrated </w:t>
            </w:r>
            <w:r>
              <w:rPr>
                <w:b/>
                <w:noProof/>
                <w:szCs w:val="22"/>
              </w:rPr>
              <w:t>D</w:t>
            </w:r>
            <w:r w:rsidRPr="008B13A5">
              <w:rPr>
                <w:b/>
                <w:noProof/>
                <w:szCs w:val="22"/>
              </w:rPr>
              <w:t>esign</w:t>
            </w:r>
            <w:r>
              <w:rPr>
                <w:b/>
                <w:noProof/>
                <w:szCs w:val="22"/>
              </w:rPr>
              <w:t xml:space="preserve"> Manufacturers</w:t>
            </w:r>
            <w:r w:rsidRPr="008B13A5">
              <w:rPr>
                <w:b/>
                <w:noProof/>
                <w:szCs w:val="22"/>
              </w:rPr>
              <w:t>/Fab-lite</w:t>
            </w:r>
            <w:r w:rsidRPr="008B13A5" w:rsidDel="00CD6FF2">
              <w:rPr>
                <w:b/>
                <w:noProof/>
                <w:szCs w:val="22"/>
              </w:rPr>
              <w:t xml:space="preserve"> </w:t>
            </w:r>
          </w:p>
        </w:tc>
        <w:tc>
          <w:tcPr>
            <w:tcW w:w="2381" w:type="dxa"/>
          </w:tcPr>
          <w:p w14:paraId="3CF7B11C" w14:textId="60A7461A" w:rsidR="00EC49AF" w:rsidRPr="008B13A5" w:rsidRDefault="00EC49AF">
            <w:pPr>
              <w:rPr>
                <w:noProof/>
                <w:szCs w:val="22"/>
              </w:rPr>
            </w:pPr>
            <w:r w:rsidRPr="008B13A5">
              <w:rPr>
                <w:noProof/>
                <w:szCs w:val="22"/>
              </w:rPr>
              <w:t>Very high capital intensity (fabs, equipment, cleanrooms).</w:t>
            </w:r>
          </w:p>
          <w:p w14:paraId="05525951" w14:textId="38969CB3" w:rsidR="00EC49AF" w:rsidRPr="008B13A5" w:rsidRDefault="00EC49AF">
            <w:pPr>
              <w:rPr>
                <w:noProof/>
                <w:szCs w:val="22"/>
              </w:rPr>
            </w:pPr>
            <w:r w:rsidRPr="008B13A5">
              <w:rPr>
                <w:noProof/>
                <w:szCs w:val="22"/>
              </w:rPr>
              <w:t>Value created through process know-how, yield optimisation, and scale.</w:t>
            </w:r>
          </w:p>
          <w:p w14:paraId="4339193F" w14:textId="0E035BD5" w:rsidR="00EC49AF" w:rsidRPr="008B13A5" w:rsidRDefault="00EC49AF">
            <w:pPr>
              <w:rPr>
                <w:noProof/>
                <w:szCs w:val="22"/>
              </w:rPr>
            </w:pPr>
            <w:r w:rsidRPr="008B13A5">
              <w:rPr>
                <w:noProof/>
                <w:szCs w:val="22"/>
              </w:rPr>
              <w:t>Margins typically 15–30 %, depending on node and utilisation rates.</w:t>
            </w:r>
          </w:p>
          <w:p w14:paraId="008A4ECC" w14:textId="769DAEFC" w:rsidR="00EC49AF" w:rsidRPr="008B13A5" w:rsidRDefault="00EC49AF" w:rsidP="00BD008E">
            <w:pPr>
              <w:jc w:val="left"/>
              <w:rPr>
                <w:noProof/>
                <w:szCs w:val="22"/>
              </w:rPr>
            </w:pPr>
            <w:r w:rsidRPr="008B13A5">
              <w:rPr>
                <w:noProof/>
                <w:szCs w:val="22"/>
              </w:rPr>
              <w:t>Economic contribution through large-scale investment, supply chain anchoring, and regional employment multipliers.</w:t>
            </w:r>
          </w:p>
        </w:tc>
        <w:tc>
          <w:tcPr>
            <w:tcW w:w="2381" w:type="dxa"/>
          </w:tcPr>
          <w:p w14:paraId="54FD9178" w14:textId="46E0FFC5" w:rsidR="00EC49AF" w:rsidRPr="008B13A5" w:rsidRDefault="00EC49AF">
            <w:pPr>
              <w:rPr>
                <w:noProof/>
                <w:szCs w:val="22"/>
              </w:rPr>
            </w:pPr>
            <w:r w:rsidRPr="008B13A5">
              <w:rPr>
                <w:noProof/>
                <w:szCs w:val="22"/>
              </w:rPr>
              <w:t>The EU has expertise in designing and manufacturing analog chips, radio frequency (RF) components, sensors &amp; MEMS, power semiconductors, microcontrollers, and silicon photonics</w:t>
            </w:r>
            <w:r w:rsidR="00F274DD" w:rsidRPr="008B13A5">
              <w:rPr>
                <w:noProof/>
                <w:szCs w:val="22"/>
              </w:rPr>
              <w:t xml:space="preserve"> </w:t>
            </w:r>
            <w:r w:rsidRPr="008B13A5">
              <w:rPr>
                <w:noProof/>
                <w:szCs w:val="22"/>
              </w:rPr>
              <w:t>(</w:t>
            </w:r>
            <w:r w:rsidRPr="008B13A5">
              <w:rPr>
                <w:rStyle w:val="FootnoteReference"/>
                <w:noProof/>
                <w:szCs w:val="22"/>
              </w:rPr>
              <w:footnoteReference w:id="89"/>
            </w:r>
            <w:r w:rsidRPr="008B13A5">
              <w:rPr>
                <w:noProof/>
                <w:szCs w:val="22"/>
              </w:rPr>
              <w:t>).</w:t>
            </w:r>
          </w:p>
        </w:tc>
        <w:tc>
          <w:tcPr>
            <w:tcW w:w="2381" w:type="dxa"/>
          </w:tcPr>
          <w:p w14:paraId="1EC28CA0" w14:textId="544202BB" w:rsidR="00EC49AF" w:rsidRPr="008B13A5" w:rsidRDefault="00EC49AF">
            <w:pPr>
              <w:rPr>
                <w:noProof/>
                <w:szCs w:val="22"/>
              </w:rPr>
            </w:pPr>
            <w:r w:rsidRPr="008B13A5">
              <w:rPr>
                <w:noProof/>
                <w:szCs w:val="22"/>
              </w:rPr>
              <w:t>The EU has capacity in ASICs (Application-Specific Integrated Circuits) and has limited manufacturing capacity for mature nodes (22 nm) and none for cutting-edge microchips (7 nm and below)</w:t>
            </w:r>
            <w:r w:rsidR="00F274DD" w:rsidRPr="008B13A5">
              <w:rPr>
                <w:noProof/>
                <w:szCs w:val="22"/>
              </w:rPr>
              <w:t xml:space="preserve"> </w:t>
            </w:r>
            <w:r w:rsidRPr="008B13A5">
              <w:rPr>
                <w:noProof/>
                <w:szCs w:val="22"/>
              </w:rPr>
              <w:t>(</w:t>
            </w:r>
            <w:r w:rsidRPr="008B13A5">
              <w:rPr>
                <w:rStyle w:val="FootnoteReference"/>
                <w:noProof/>
                <w:szCs w:val="22"/>
              </w:rPr>
              <w:footnoteReference w:id="90"/>
            </w:r>
            <w:r w:rsidRPr="008B13A5">
              <w:rPr>
                <w:noProof/>
                <w:szCs w:val="22"/>
              </w:rPr>
              <w:t>)</w:t>
            </w:r>
          </w:p>
          <w:p w14:paraId="2899A7E0" w14:textId="098EC58D" w:rsidR="00EC49AF" w:rsidRPr="008B13A5" w:rsidRDefault="00EC49AF">
            <w:pPr>
              <w:rPr>
                <w:noProof/>
                <w:szCs w:val="22"/>
              </w:rPr>
            </w:pPr>
            <w:r w:rsidRPr="008B13A5">
              <w:rPr>
                <w:noProof/>
                <w:szCs w:val="22"/>
              </w:rPr>
              <w:t>The EU does not have any prominent pure-play foundry that focuses on manufacturing of advanced chip</w:t>
            </w:r>
            <w:r w:rsidR="00446A7A">
              <w:rPr>
                <w:noProof/>
                <w:szCs w:val="22"/>
              </w:rPr>
              <w:t>a</w:t>
            </w:r>
            <w:r w:rsidRPr="008B13A5">
              <w:rPr>
                <w:noProof/>
                <w:szCs w:val="22"/>
              </w:rPr>
              <w:t>(</w:t>
            </w:r>
            <w:r w:rsidRPr="008B13A5">
              <w:rPr>
                <w:rStyle w:val="FootnoteReference"/>
                <w:noProof/>
                <w:szCs w:val="22"/>
              </w:rPr>
              <w:footnoteReference w:id="91"/>
            </w:r>
            <w:r w:rsidRPr="008B13A5">
              <w:rPr>
                <w:noProof/>
                <w:szCs w:val="22"/>
              </w:rPr>
              <w:t>).</w:t>
            </w:r>
          </w:p>
          <w:p w14:paraId="29C9F65F" w14:textId="605C2B39" w:rsidR="00EC49AF" w:rsidRPr="008B13A5" w:rsidRDefault="00EC49AF">
            <w:pPr>
              <w:rPr>
                <w:noProof/>
                <w:szCs w:val="22"/>
              </w:rPr>
            </w:pPr>
            <w:r w:rsidRPr="008B13A5">
              <w:rPr>
                <w:noProof/>
                <w:szCs w:val="22"/>
              </w:rPr>
              <w:t xml:space="preserve">The only companies manufacturing advanced process nodes of 16nm and below in the EU are foreign companies </w:t>
            </w:r>
            <w:r w:rsidR="00F8481C">
              <w:rPr>
                <w:noProof/>
                <w:szCs w:val="22"/>
              </w:rPr>
              <w:t>such as</w:t>
            </w:r>
            <w:r w:rsidR="00F8481C" w:rsidRPr="008B13A5">
              <w:rPr>
                <w:noProof/>
                <w:szCs w:val="22"/>
              </w:rPr>
              <w:t xml:space="preserve"> </w:t>
            </w:r>
            <w:r w:rsidRPr="008B13A5">
              <w:rPr>
                <w:noProof/>
                <w:szCs w:val="22"/>
              </w:rPr>
              <w:t>Intel, GlobalFoundries, and TSMC</w:t>
            </w:r>
            <w:r w:rsidR="00F274DD" w:rsidRPr="008B13A5">
              <w:rPr>
                <w:noProof/>
                <w:szCs w:val="22"/>
              </w:rPr>
              <w:t xml:space="preserve"> </w:t>
            </w:r>
            <w:r w:rsidRPr="008B13A5">
              <w:rPr>
                <w:noProof/>
                <w:szCs w:val="22"/>
              </w:rPr>
              <w:t>(</w:t>
            </w:r>
            <w:r w:rsidRPr="008B13A5">
              <w:rPr>
                <w:rStyle w:val="FootnoteReference"/>
                <w:noProof/>
                <w:szCs w:val="22"/>
              </w:rPr>
              <w:footnoteReference w:id="92"/>
            </w:r>
            <w:r w:rsidRPr="008B13A5">
              <w:rPr>
                <w:noProof/>
                <w:szCs w:val="22"/>
              </w:rPr>
              <w:t>).</w:t>
            </w:r>
          </w:p>
        </w:tc>
        <w:tc>
          <w:tcPr>
            <w:tcW w:w="2381" w:type="dxa"/>
          </w:tcPr>
          <w:p w14:paraId="43FD649E" w14:textId="4AF30E8F" w:rsidR="00EC49AF" w:rsidRPr="008B13A5" w:rsidRDefault="00EC49AF">
            <w:pPr>
              <w:rPr>
                <w:noProof/>
                <w:szCs w:val="22"/>
              </w:rPr>
            </w:pPr>
            <w:r w:rsidRPr="008B13A5">
              <w:rPr>
                <w:noProof/>
                <w:szCs w:val="22"/>
              </w:rPr>
              <w:t xml:space="preserve">EU27 semiconductor manufacturing revenue in 2023: </w:t>
            </w:r>
            <w:r w:rsidR="00F8481C">
              <w:rPr>
                <w:noProof/>
                <w:szCs w:val="22"/>
              </w:rPr>
              <w:t xml:space="preserve">EUR </w:t>
            </w:r>
            <w:r w:rsidRPr="008B13A5">
              <w:rPr>
                <w:noProof/>
                <w:szCs w:val="22"/>
              </w:rPr>
              <w:t>51 billion; EU27 global market share in semiconductor device manufacturing (IDM + fabless + memory) in 2023: 10.1 %; 97 % of all EU27 semiconductor device revenue comes from IDMs</w:t>
            </w:r>
            <w:r w:rsidR="00F274DD" w:rsidRPr="008B13A5">
              <w:rPr>
                <w:noProof/>
                <w:szCs w:val="22"/>
              </w:rPr>
              <w:t xml:space="preserve"> </w:t>
            </w:r>
            <w:r w:rsidRPr="008B13A5">
              <w:rPr>
                <w:noProof/>
                <w:szCs w:val="22"/>
              </w:rPr>
              <w:t>(</w:t>
            </w:r>
            <w:r w:rsidRPr="008B13A5">
              <w:rPr>
                <w:rStyle w:val="FootnoteReference"/>
                <w:noProof/>
                <w:szCs w:val="22"/>
              </w:rPr>
              <w:footnoteReference w:id="93"/>
            </w:r>
            <w:r w:rsidRPr="008B13A5">
              <w:rPr>
                <w:noProof/>
                <w:szCs w:val="22"/>
              </w:rPr>
              <w:t>)</w:t>
            </w:r>
          </w:p>
          <w:p w14:paraId="6B09CD86" w14:textId="4C237FB9" w:rsidR="00EC49AF" w:rsidRPr="008B13A5" w:rsidRDefault="00EC49AF">
            <w:pPr>
              <w:rPr>
                <w:noProof/>
                <w:szCs w:val="22"/>
              </w:rPr>
            </w:pPr>
            <w:r w:rsidRPr="008B13A5">
              <w:rPr>
                <w:noProof/>
                <w:szCs w:val="22"/>
              </w:rPr>
              <w:t xml:space="preserve">EU27 global foundry market share in 2023: 0.9 %, equal to </w:t>
            </w:r>
            <w:r w:rsidR="004B23F5">
              <w:rPr>
                <w:noProof/>
                <w:szCs w:val="22"/>
              </w:rPr>
              <w:t xml:space="preserve">EUR </w:t>
            </w:r>
            <w:r w:rsidRPr="008B13A5">
              <w:rPr>
                <w:noProof/>
                <w:szCs w:val="22"/>
              </w:rPr>
              <w:t xml:space="preserve">0.8 billion out of a </w:t>
            </w:r>
            <w:r w:rsidR="004B23F5">
              <w:rPr>
                <w:noProof/>
                <w:szCs w:val="22"/>
              </w:rPr>
              <w:t xml:space="preserve">EUR </w:t>
            </w:r>
            <w:r w:rsidRPr="008B13A5">
              <w:rPr>
                <w:noProof/>
                <w:szCs w:val="22"/>
              </w:rPr>
              <w:t>96 billion global foundry market</w:t>
            </w:r>
            <w:r w:rsidR="00F274DD" w:rsidRPr="008B13A5">
              <w:rPr>
                <w:noProof/>
                <w:szCs w:val="22"/>
              </w:rPr>
              <w:t xml:space="preserve"> </w:t>
            </w:r>
            <w:r w:rsidRPr="008B13A5">
              <w:rPr>
                <w:noProof/>
                <w:szCs w:val="22"/>
              </w:rPr>
              <w:t>(</w:t>
            </w:r>
            <w:r w:rsidRPr="008B13A5">
              <w:rPr>
                <w:rStyle w:val="FootnoteReference"/>
                <w:noProof/>
                <w:szCs w:val="22"/>
              </w:rPr>
              <w:footnoteReference w:id="94"/>
            </w:r>
            <w:r w:rsidRPr="008B13A5">
              <w:rPr>
                <w:noProof/>
                <w:szCs w:val="22"/>
              </w:rPr>
              <w:t>)</w:t>
            </w:r>
          </w:p>
        </w:tc>
        <w:tc>
          <w:tcPr>
            <w:tcW w:w="2381" w:type="dxa"/>
          </w:tcPr>
          <w:p w14:paraId="721E7C7F" w14:textId="2C421B25" w:rsidR="00EC49AF" w:rsidRPr="008B13A5" w:rsidRDefault="00EC49AF">
            <w:pPr>
              <w:rPr>
                <w:noProof/>
                <w:szCs w:val="22"/>
              </w:rPr>
            </w:pPr>
            <w:r w:rsidRPr="008B13A5">
              <w:rPr>
                <w:noProof/>
                <w:szCs w:val="22"/>
              </w:rPr>
              <w:t>Pillar II: first-of-a-kind facilities and state aid, which enable large-scale investments in front-end manufacturing.</w:t>
            </w:r>
          </w:p>
          <w:p w14:paraId="169B06DB" w14:textId="3D5A258C" w:rsidR="00EC49AF" w:rsidRPr="008B13A5" w:rsidRDefault="00EC49AF">
            <w:pPr>
              <w:rPr>
                <w:noProof/>
                <w:szCs w:val="22"/>
                <w:highlight w:val="yellow"/>
              </w:rPr>
            </w:pPr>
            <w:r w:rsidRPr="008B13A5">
              <w:rPr>
                <w:noProof/>
                <w:szCs w:val="22"/>
              </w:rPr>
              <w:t>Complementary actions under Pillar I (pilot lines and competence centres) strengthen R&amp;D–manufacturing linkages, while Pillar III ensures supply chain coordination and crisis response.</w:t>
            </w:r>
          </w:p>
        </w:tc>
      </w:tr>
      <w:tr w:rsidR="00EC49AF" w:rsidRPr="008B13A5" w14:paraId="1DE2E6E6" w14:textId="77777777" w:rsidTr="00BD008E">
        <w:tc>
          <w:tcPr>
            <w:tcW w:w="2381" w:type="dxa"/>
          </w:tcPr>
          <w:p w14:paraId="6A052BBB" w14:textId="6101579F" w:rsidR="00EC49AF" w:rsidRPr="008B13A5" w:rsidRDefault="00EC49AF">
            <w:pPr>
              <w:rPr>
                <w:b/>
                <w:noProof/>
                <w:szCs w:val="22"/>
              </w:rPr>
            </w:pPr>
            <w:r w:rsidRPr="008B13A5">
              <w:rPr>
                <w:b/>
                <w:noProof/>
                <w:szCs w:val="22"/>
              </w:rPr>
              <w:t>Assembly, Test, and Packaging (ATP)</w:t>
            </w:r>
          </w:p>
        </w:tc>
        <w:tc>
          <w:tcPr>
            <w:tcW w:w="2381" w:type="dxa"/>
          </w:tcPr>
          <w:p w14:paraId="636B9EB1" w14:textId="0C5ECF2D" w:rsidR="00EC49AF" w:rsidRPr="008B13A5" w:rsidRDefault="00EC49AF">
            <w:pPr>
              <w:rPr>
                <w:noProof/>
                <w:szCs w:val="22"/>
              </w:rPr>
            </w:pPr>
            <w:r w:rsidRPr="008B13A5">
              <w:rPr>
                <w:noProof/>
                <w:szCs w:val="22"/>
              </w:rPr>
              <w:t>Moderate capital intensity; margins typically 10–20 %.</w:t>
            </w:r>
          </w:p>
          <w:p w14:paraId="32B3CC83" w14:textId="72F06328" w:rsidR="00EC49AF" w:rsidRPr="008B13A5" w:rsidRDefault="00EC49AF">
            <w:pPr>
              <w:rPr>
                <w:noProof/>
                <w:szCs w:val="22"/>
              </w:rPr>
            </w:pPr>
            <w:r w:rsidRPr="008B13A5">
              <w:rPr>
                <w:noProof/>
                <w:szCs w:val="22"/>
              </w:rPr>
              <w:t>Value created through precision, yield optimisation, and reliability assurance.</w:t>
            </w:r>
          </w:p>
          <w:p w14:paraId="36B979C2" w14:textId="2E25A403" w:rsidR="00EC49AF" w:rsidRPr="008B13A5" w:rsidRDefault="00EC49AF">
            <w:pPr>
              <w:rPr>
                <w:noProof/>
                <w:szCs w:val="22"/>
              </w:rPr>
            </w:pPr>
            <w:r w:rsidRPr="008B13A5">
              <w:rPr>
                <w:noProof/>
                <w:szCs w:val="22"/>
              </w:rPr>
              <w:t>Labour- and process-intensive, but increasingly automated and digitised.</w:t>
            </w:r>
          </w:p>
          <w:p w14:paraId="0480DBDA" w14:textId="468D0979" w:rsidR="00EC49AF" w:rsidRPr="008B13A5" w:rsidRDefault="00EC49AF">
            <w:pPr>
              <w:rPr>
                <w:noProof/>
                <w:szCs w:val="22"/>
              </w:rPr>
            </w:pPr>
            <w:r w:rsidRPr="008B13A5">
              <w:rPr>
                <w:noProof/>
                <w:szCs w:val="22"/>
              </w:rPr>
              <w:t>Final stage of value capture which determines chip performance, thermal management, and system integration quality.</w:t>
            </w:r>
          </w:p>
        </w:tc>
        <w:tc>
          <w:tcPr>
            <w:tcW w:w="2381" w:type="dxa"/>
          </w:tcPr>
          <w:p w14:paraId="5E7EDB89" w14:textId="65D102F7" w:rsidR="00EC49AF" w:rsidRPr="008B13A5" w:rsidRDefault="00EC49AF">
            <w:pPr>
              <w:rPr>
                <w:noProof/>
                <w:szCs w:val="22"/>
              </w:rPr>
            </w:pPr>
            <w:r w:rsidRPr="008B13A5">
              <w:rPr>
                <w:noProof/>
                <w:szCs w:val="22"/>
              </w:rPr>
              <w:t>Europe has developed advanced Photonic Integrated Circuit (PIC) assembly and packaging capabilities, supported by pilot lines such as PIXAPP and specialised facilities like PHIX.</w:t>
            </w:r>
          </w:p>
          <w:p w14:paraId="43B91074" w14:textId="1C949D2D" w:rsidR="00EC49AF" w:rsidRPr="008B13A5" w:rsidRDefault="00EC49AF">
            <w:pPr>
              <w:rPr>
                <w:noProof/>
                <w:szCs w:val="22"/>
              </w:rPr>
            </w:pPr>
            <w:r w:rsidRPr="008B13A5">
              <w:rPr>
                <w:noProof/>
                <w:szCs w:val="22"/>
              </w:rPr>
              <w:t>European SMEs hold strong global positions in the design and production of packaging and assembly tools for photonic ICs.</w:t>
            </w:r>
          </w:p>
          <w:p w14:paraId="2DB90B62" w14:textId="58BD1499" w:rsidR="00EC49AF" w:rsidRPr="008B13A5" w:rsidRDefault="00EC49AF">
            <w:pPr>
              <w:rPr>
                <w:noProof/>
                <w:szCs w:val="22"/>
              </w:rPr>
            </w:pPr>
            <w:r w:rsidRPr="008B13A5">
              <w:rPr>
                <w:noProof/>
                <w:szCs w:val="22"/>
              </w:rPr>
              <w:t>Extensive know-how in PIC packaging, assembly, and testing provides Europe with a solid technological and industrial base in this niche segment</w:t>
            </w:r>
            <w:r w:rsidR="00F274DD" w:rsidRPr="008B13A5">
              <w:rPr>
                <w:noProof/>
                <w:szCs w:val="22"/>
              </w:rPr>
              <w:t xml:space="preserve"> </w:t>
            </w:r>
            <w:r w:rsidRPr="008B13A5">
              <w:rPr>
                <w:noProof/>
                <w:szCs w:val="22"/>
              </w:rPr>
              <w:t>(</w:t>
            </w:r>
            <w:r w:rsidRPr="008B13A5">
              <w:rPr>
                <w:rStyle w:val="FootnoteReference"/>
                <w:noProof/>
                <w:szCs w:val="22"/>
              </w:rPr>
              <w:footnoteReference w:id="95"/>
            </w:r>
            <w:r w:rsidRPr="008B13A5">
              <w:rPr>
                <w:noProof/>
                <w:szCs w:val="22"/>
              </w:rPr>
              <w:t>).</w:t>
            </w:r>
          </w:p>
          <w:p w14:paraId="2EF66EE4" w14:textId="24A52584" w:rsidR="00EC49AF" w:rsidRPr="008B13A5" w:rsidRDefault="00EC49AF">
            <w:pPr>
              <w:rPr>
                <w:noProof/>
                <w:szCs w:val="22"/>
                <w:highlight w:val="yellow"/>
              </w:rPr>
            </w:pPr>
            <w:r w:rsidRPr="008B13A5">
              <w:rPr>
                <w:noProof/>
                <w:szCs w:val="22"/>
              </w:rPr>
              <w:t>The APECS pilot line funded through Pillar I of the Chips Act is also stimulating the development of advanced packaging competences in Europe.</w:t>
            </w:r>
          </w:p>
        </w:tc>
        <w:tc>
          <w:tcPr>
            <w:tcW w:w="2381" w:type="dxa"/>
          </w:tcPr>
          <w:p w14:paraId="3F08F4D3" w14:textId="693FA7A4" w:rsidR="00EC49AF" w:rsidRPr="008B13A5" w:rsidRDefault="00EC49AF">
            <w:pPr>
              <w:rPr>
                <w:noProof/>
                <w:szCs w:val="22"/>
              </w:rPr>
            </w:pPr>
            <w:r w:rsidRPr="008B13A5">
              <w:rPr>
                <w:noProof/>
                <w:szCs w:val="22"/>
              </w:rPr>
              <w:t>The EU has no relevant OSAT company headquartered in Europe, and back-end manufacturing is largely located in Asia due to its labour-intensive and scale-driven cost structure. As a result, even European firms active in assembly and testing typically operate their high-volume production sites outside the EU, leaving only limited domestic capacity for advanced or high-volume ATP processes.</w:t>
            </w:r>
            <w:r w:rsidR="00F274DD" w:rsidRPr="008B13A5">
              <w:rPr>
                <w:noProof/>
                <w:szCs w:val="22"/>
              </w:rPr>
              <w:t xml:space="preserve"> </w:t>
            </w:r>
            <w:r w:rsidRPr="008B13A5">
              <w:rPr>
                <w:noProof/>
                <w:szCs w:val="22"/>
              </w:rPr>
              <w:t>(</w:t>
            </w:r>
            <w:r w:rsidRPr="008B13A5">
              <w:rPr>
                <w:rStyle w:val="FootnoteReference"/>
                <w:noProof/>
                <w:szCs w:val="22"/>
              </w:rPr>
              <w:footnoteReference w:id="96"/>
            </w:r>
            <w:r w:rsidRPr="008B13A5">
              <w:rPr>
                <w:noProof/>
                <w:szCs w:val="22"/>
              </w:rPr>
              <w:t>)</w:t>
            </w:r>
          </w:p>
          <w:p w14:paraId="55A50DE1" w14:textId="3D03333D" w:rsidR="00EC49AF" w:rsidRPr="008B13A5" w:rsidRDefault="00EC49AF">
            <w:pPr>
              <w:rPr>
                <w:noProof/>
                <w:szCs w:val="22"/>
              </w:rPr>
            </w:pPr>
            <w:r w:rsidRPr="008B13A5">
              <w:rPr>
                <w:noProof/>
                <w:szCs w:val="22"/>
              </w:rPr>
              <w:t>Most packaging solutions available in Europe rely on legacy approaches</w:t>
            </w:r>
            <w:r w:rsidR="00CB3DC8">
              <w:rPr>
                <w:noProof/>
                <w:szCs w:val="22"/>
              </w:rPr>
              <w:t>.</w:t>
            </w:r>
            <w:r w:rsidRPr="008B13A5">
              <w:rPr>
                <w:noProof/>
                <w:szCs w:val="22"/>
              </w:rPr>
              <w:t>(</w:t>
            </w:r>
            <w:r w:rsidRPr="008B13A5">
              <w:rPr>
                <w:rStyle w:val="FootnoteReference"/>
                <w:noProof/>
                <w:szCs w:val="22"/>
              </w:rPr>
              <w:footnoteReference w:id="97"/>
            </w:r>
            <w:r w:rsidRPr="008B13A5">
              <w:rPr>
                <w:noProof/>
                <w:szCs w:val="22"/>
              </w:rPr>
              <w:t>)</w:t>
            </w:r>
          </w:p>
        </w:tc>
        <w:tc>
          <w:tcPr>
            <w:tcW w:w="2381" w:type="dxa"/>
          </w:tcPr>
          <w:p w14:paraId="381258AA" w14:textId="11F068C4" w:rsidR="00EC49AF" w:rsidRPr="008B13A5" w:rsidRDefault="00EC49AF">
            <w:pPr>
              <w:rPr>
                <w:noProof/>
                <w:szCs w:val="22"/>
              </w:rPr>
            </w:pPr>
            <w:r w:rsidRPr="008B13A5">
              <w:rPr>
                <w:noProof/>
                <w:szCs w:val="22"/>
              </w:rPr>
              <w:t>The EU</w:t>
            </w:r>
            <w:r w:rsidR="00497125" w:rsidRPr="008B13A5">
              <w:rPr>
                <w:noProof/>
                <w:szCs w:val="22"/>
              </w:rPr>
              <w:t>’</w:t>
            </w:r>
            <w:r w:rsidRPr="008B13A5">
              <w:rPr>
                <w:noProof/>
                <w:szCs w:val="22"/>
              </w:rPr>
              <w:t>s share in global ATP capacity was 3% in 2022 and is projected to remain 3% in 2032</w:t>
            </w:r>
            <w:r w:rsidR="00F274DD" w:rsidRPr="008B13A5">
              <w:rPr>
                <w:noProof/>
                <w:szCs w:val="22"/>
              </w:rPr>
              <w:t xml:space="preserve"> </w:t>
            </w:r>
            <w:r w:rsidRPr="008B13A5">
              <w:rPr>
                <w:noProof/>
                <w:szCs w:val="22"/>
              </w:rPr>
              <w:t>(</w:t>
            </w:r>
            <w:r w:rsidRPr="008B13A5">
              <w:rPr>
                <w:rStyle w:val="FootnoteReference"/>
                <w:noProof/>
                <w:szCs w:val="22"/>
              </w:rPr>
              <w:footnoteReference w:id="98"/>
            </w:r>
            <w:r w:rsidRPr="008B13A5">
              <w:rPr>
                <w:noProof/>
                <w:szCs w:val="22"/>
              </w:rPr>
              <w:t>)</w:t>
            </w:r>
          </w:p>
        </w:tc>
        <w:tc>
          <w:tcPr>
            <w:tcW w:w="2381" w:type="dxa"/>
          </w:tcPr>
          <w:p w14:paraId="32E04920" w14:textId="3ED178DC" w:rsidR="00EC49AF" w:rsidRPr="008B13A5" w:rsidRDefault="00EC49AF">
            <w:pPr>
              <w:rPr>
                <w:noProof/>
                <w:szCs w:val="22"/>
              </w:rPr>
            </w:pPr>
            <w:r w:rsidRPr="008B13A5">
              <w:rPr>
                <w:noProof/>
                <w:szCs w:val="22"/>
              </w:rPr>
              <w:t>Pillar I, through advanced packaging pilot lines</w:t>
            </w:r>
            <w:r w:rsidRPr="008B13A5" w:rsidDel="00733981">
              <w:rPr>
                <w:noProof/>
                <w:szCs w:val="22"/>
              </w:rPr>
              <w:t xml:space="preserve"> and </w:t>
            </w:r>
            <w:r w:rsidRPr="008B13A5">
              <w:rPr>
                <w:noProof/>
                <w:szCs w:val="22"/>
              </w:rPr>
              <w:t>under Pillar II, which enables industrial deployment of FOAK back-end facilities.</w:t>
            </w:r>
          </w:p>
          <w:p w14:paraId="61622285" w14:textId="051677A0" w:rsidR="00EC49AF" w:rsidRPr="008B13A5" w:rsidRDefault="00EC49AF">
            <w:pPr>
              <w:rPr>
                <w:noProof/>
                <w:szCs w:val="22"/>
              </w:rPr>
            </w:pPr>
            <w:r w:rsidRPr="008B13A5">
              <w:rPr>
                <w:noProof/>
                <w:szCs w:val="22"/>
              </w:rPr>
              <w:t>ATP stakeholders also benefit from R&amp;D funding under the Chips Joint Undertaking</w:t>
            </w:r>
            <w:r w:rsidR="001C6C6D">
              <w:rPr>
                <w:noProof/>
                <w:szCs w:val="22"/>
              </w:rPr>
              <w:t>.</w:t>
            </w:r>
          </w:p>
          <w:p w14:paraId="0CD3369D" w14:textId="48E213C0" w:rsidR="00EC49AF" w:rsidRPr="008B13A5" w:rsidRDefault="00EC49AF">
            <w:pPr>
              <w:rPr>
                <w:noProof/>
                <w:szCs w:val="22"/>
                <w:highlight w:val="yellow"/>
              </w:rPr>
            </w:pPr>
          </w:p>
        </w:tc>
      </w:tr>
    </w:tbl>
    <w:p w14:paraId="24C0D26F" w14:textId="77777777" w:rsidR="00EC49AF" w:rsidRPr="008B13A5" w:rsidRDefault="00EC49AF" w:rsidP="00EC49AF">
      <w:pPr>
        <w:rPr>
          <w:noProof/>
          <w:szCs w:val="22"/>
        </w:rPr>
      </w:pPr>
    </w:p>
    <w:p w14:paraId="7CCE8231" w14:textId="61272B5D" w:rsidR="00EC49AF" w:rsidRPr="008B13A5" w:rsidRDefault="003A4281" w:rsidP="00BD008E">
      <w:pPr>
        <w:spacing w:after="200" w:line="276" w:lineRule="auto"/>
        <w:jc w:val="left"/>
        <w:rPr>
          <w:noProof/>
          <w:szCs w:val="22"/>
        </w:rPr>
      </w:pPr>
      <w:r>
        <w:rPr>
          <w:noProof/>
          <w:szCs w:val="22"/>
        </w:rPr>
        <w:br w:type="page"/>
      </w:r>
    </w:p>
    <w:p w14:paraId="569E0E63" w14:textId="22EDC4ED" w:rsidR="00EC49AF" w:rsidRPr="008B13A5" w:rsidRDefault="00EC49AF" w:rsidP="0005276B">
      <w:pPr>
        <w:pStyle w:val="Heading3"/>
        <w:rPr>
          <w:noProof/>
        </w:rPr>
      </w:pPr>
      <w:bookmarkStart w:id="203" w:name="_Toc217395618"/>
      <w:bookmarkStart w:id="204" w:name="_Toc217396467"/>
      <w:bookmarkStart w:id="205" w:name="_Toc1016091501"/>
      <w:bookmarkStart w:id="206" w:name="_Toc223620628"/>
      <w:bookmarkStart w:id="207" w:name="_Toc230010448"/>
      <w:r w:rsidRPr="008B13A5">
        <w:rPr>
          <w:noProof/>
        </w:rPr>
        <w:t>Downstream integration and end-use applications</w:t>
      </w:r>
      <w:bookmarkEnd w:id="203"/>
      <w:bookmarkEnd w:id="204"/>
      <w:bookmarkEnd w:id="205"/>
      <w:bookmarkEnd w:id="206"/>
      <w:bookmarkEnd w:id="207"/>
    </w:p>
    <w:tbl>
      <w:tblPr>
        <w:tblStyle w:val="TableGrid"/>
        <w:tblW w:w="14286" w:type="dxa"/>
        <w:tblInd w:w="-116" w:type="dxa"/>
        <w:tblLook w:val="04A0" w:firstRow="1" w:lastRow="0" w:firstColumn="1" w:lastColumn="0" w:noHBand="0" w:noVBand="1"/>
      </w:tblPr>
      <w:tblGrid>
        <w:gridCol w:w="2351"/>
        <w:gridCol w:w="2362"/>
        <w:gridCol w:w="2374"/>
        <w:gridCol w:w="2360"/>
        <w:gridCol w:w="2373"/>
        <w:gridCol w:w="2354"/>
        <w:gridCol w:w="112"/>
      </w:tblGrid>
      <w:tr w:rsidR="00FD0359" w:rsidRPr="008B13A5" w14:paraId="12B3CE5F" w14:textId="77777777" w:rsidTr="00021E68">
        <w:trPr>
          <w:tblHeader/>
        </w:trPr>
        <w:tc>
          <w:tcPr>
            <w:tcW w:w="2381" w:type="dxa"/>
            <w:shd w:val="clear" w:color="auto" w:fill="BFBFBF" w:themeFill="background1" w:themeFillShade="BF"/>
          </w:tcPr>
          <w:p w14:paraId="089ACFFF" w14:textId="27F9E040" w:rsidR="00EC49AF" w:rsidRPr="008B13A5" w:rsidRDefault="00EC49AF">
            <w:pPr>
              <w:rPr>
                <w:b/>
                <w:noProof/>
                <w:szCs w:val="22"/>
              </w:rPr>
            </w:pPr>
            <w:r w:rsidRPr="008B13A5">
              <w:rPr>
                <w:b/>
                <w:noProof/>
                <w:szCs w:val="22"/>
              </w:rPr>
              <w:t>GVC segment</w:t>
            </w:r>
          </w:p>
        </w:tc>
        <w:tc>
          <w:tcPr>
            <w:tcW w:w="2381" w:type="dxa"/>
            <w:shd w:val="clear" w:color="auto" w:fill="BFBFBF" w:themeFill="background1" w:themeFillShade="BF"/>
          </w:tcPr>
          <w:p w14:paraId="362A2FEC" w14:textId="7B26C35A" w:rsidR="00EC49AF" w:rsidRPr="008B13A5" w:rsidRDefault="00EC49AF">
            <w:pPr>
              <w:rPr>
                <w:b/>
                <w:noProof/>
                <w:szCs w:val="22"/>
              </w:rPr>
            </w:pPr>
            <w:r w:rsidRPr="008B13A5">
              <w:rPr>
                <w:b/>
                <w:noProof/>
                <w:szCs w:val="22"/>
              </w:rPr>
              <w:t>Value added characteristics</w:t>
            </w:r>
          </w:p>
        </w:tc>
        <w:tc>
          <w:tcPr>
            <w:tcW w:w="2381" w:type="dxa"/>
            <w:shd w:val="clear" w:color="auto" w:fill="BFBFBF" w:themeFill="background1" w:themeFillShade="BF"/>
          </w:tcPr>
          <w:p w14:paraId="0B7D32C0" w14:textId="2B7A744F" w:rsidR="00EC49AF" w:rsidRPr="008B13A5" w:rsidRDefault="00EC49AF">
            <w:pPr>
              <w:rPr>
                <w:b/>
                <w:noProof/>
                <w:szCs w:val="22"/>
              </w:rPr>
            </w:pPr>
            <w:r w:rsidRPr="008B13A5">
              <w:rPr>
                <w:b/>
                <w:noProof/>
                <w:szCs w:val="22"/>
              </w:rPr>
              <w:t>EU strengths</w:t>
            </w:r>
          </w:p>
        </w:tc>
        <w:tc>
          <w:tcPr>
            <w:tcW w:w="2381" w:type="dxa"/>
            <w:shd w:val="clear" w:color="auto" w:fill="BFBFBF" w:themeFill="background1" w:themeFillShade="BF"/>
          </w:tcPr>
          <w:p w14:paraId="5D10A433" w14:textId="33C62686" w:rsidR="00EC49AF" w:rsidRPr="008B13A5" w:rsidRDefault="00EC49AF">
            <w:pPr>
              <w:rPr>
                <w:b/>
                <w:noProof/>
                <w:szCs w:val="22"/>
              </w:rPr>
            </w:pPr>
            <w:r w:rsidRPr="008B13A5">
              <w:rPr>
                <w:b/>
                <w:noProof/>
                <w:szCs w:val="22"/>
              </w:rPr>
              <w:t>EU gaps</w:t>
            </w:r>
          </w:p>
        </w:tc>
        <w:tc>
          <w:tcPr>
            <w:tcW w:w="2381" w:type="dxa"/>
            <w:shd w:val="clear" w:color="auto" w:fill="BFBFBF" w:themeFill="background1" w:themeFillShade="BF"/>
          </w:tcPr>
          <w:p w14:paraId="6278180F" w14:textId="30C0808B" w:rsidR="00EC49AF" w:rsidRPr="008B13A5" w:rsidRDefault="00EC49AF">
            <w:pPr>
              <w:rPr>
                <w:b/>
                <w:noProof/>
                <w:szCs w:val="22"/>
              </w:rPr>
            </w:pPr>
            <w:r w:rsidRPr="008B13A5">
              <w:rPr>
                <w:b/>
                <w:noProof/>
                <w:szCs w:val="22"/>
              </w:rPr>
              <w:t>EU share in the global market</w:t>
            </w:r>
          </w:p>
        </w:tc>
        <w:tc>
          <w:tcPr>
            <w:tcW w:w="2381" w:type="dxa"/>
            <w:gridSpan w:val="2"/>
            <w:shd w:val="clear" w:color="auto" w:fill="BFBFBF" w:themeFill="background1" w:themeFillShade="BF"/>
          </w:tcPr>
          <w:p w14:paraId="343FE7FE" w14:textId="4B90FEEE" w:rsidR="00EC49AF" w:rsidRPr="008B13A5" w:rsidRDefault="00EC49AF">
            <w:pPr>
              <w:rPr>
                <w:b/>
                <w:noProof/>
                <w:szCs w:val="22"/>
              </w:rPr>
            </w:pPr>
            <w:r w:rsidRPr="008B13A5">
              <w:rPr>
                <w:b/>
                <w:noProof/>
                <w:szCs w:val="22"/>
              </w:rPr>
              <w:t>Chips Act importance</w:t>
            </w:r>
          </w:p>
        </w:tc>
      </w:tr>
      <w:tr w:rsidR="00EC49AF" w:rsidRPr="008B13A5" w14:paraId="241FB815" w14:textId="77777777" w:rsidTr="00BD008E">
        <w:trPr>
          <w:gridAfter w:val="1"/>
          <w:wAfter w:w="116" w:type="dxa"/>
        </w:trPr>
        <w:tc>
          <w:tcPr>
            <w:tcW w:w="2381" w:type="dxa"/>
          </w:tcPr>
          <w:p w14:paraId="1700D6D9" w14:textId="10A5498C" w:rsidR="00EC49AF" w:rsidRPr="008B13A5" w:rsidRDefault="00EC49AF">
            <w:pPr>
              <w:rPr>
                <w:b/>
                <w:noProof/>
                <w:szCs w:val="22"/>
              </w:rPr>
            </w:pPr>
            <w:r w:rsidRPr="008B13A5">
              <w:rPr>
                <w:b/>
                <w:noProof/>
                <w:szCs w:val="22"/>
              </w:rPr>
              <w:t>Downstream integration</w:t>
            </w:r>
          </w:p>
        </w:tc>
        <w:tc>
          <w:tcPr>
            <w:tcW w:w="2381" w:type="dxa"/>
          </w:tcPr>
          <w:p w14:paraId="163F0F7D" w14:textId="3DD0BE52" w:rsidR="00EC49AF" w:rsidRPr="008B13A5" w:rsidRDefault="00EC49AF">
            <w:pPr>
              <w:rPr>
                <w:noProof/>
                <w:szCs w:val="22"/>
              </w:rPr>
            </w:pPr>
            <w:r w:rsidRPr="008B13A5">
              <w:rPr>
                <w:noProof/>
                <w:szCs w:val="22"/>
              </w:rPr>
              <w:t>Integration requires high engineering and software competence and often represents 15–25% of the final system value.</w:t>
            </w:r>
          </w:p>
          <w:p w14:paraId="0C41DAEC" w14:textId="5D8730A5" w:rsidR="00EC49AF" w:rsidRPr="008B13A5" w:rsidRDefault="00EC49AF">
            <w:pPr>
              <w:rPr>
                <w:noProof/>
                <w:szCs w:val="22"/>
              </w:rPr>
            </w:pPr>
            <w:r w:rsidRPr="008B13A5">
              <w:rPr>
                <w:noProof/>
                <w:szCs w:val="22"/>
              </w:rPr>
              <w:t>Value capture depends on the sophistication of system design, intellectual property, and brand reputation.</w:t>
            </w:r>
          </w:p>
          <w:p w14:paraId="55783F2A" w14:textId="1CDDD93C" w:rsidR="00EC49AF" w:rsidRPr="008B13A5" w:rsidRDefault="00EC49AF">
            <w:pPr>
              <w:rPr>
                <w:noProof/>
                <w:szCs w:val="22"/>
              </w:rPr>
            </w:pPr>
            <w:r w:rsidRPr="008B13A5">
              <w:rPr>
                <w:noProof/>
                <w:szCs w:val="22"/>
              </w:rPr>
              <w:t>Economies of scope matter more than economies of scale: integrators that control software–hardware co-design (e.g. Tesla, Apple) capture disproportionate margins.</w:t>
            </w:r>
          </w:p>
          <w:p w14:paraId="011C0747" w14:textId="75816EAD" w:rsidR="00EC49AF" w:rsidRPr="008B13A5" w:rsidRDefault="00EC49AF">
            <w:pPr>
              <w:rPr>
                <w:noProof/>
                <w:szCs w:val="22"/>
              </w:rPr>
            </w:pPr>
            <w:r w:rsidRPr="008B13A5">
              <w:rPr>
                <w:noProof/>
                <w:szCs w:val="22"/>
              </w:rPr>
              <w:t>Increasingly, integration involves vertical collaboration with chipmakers to co-optimise designs (e.g. automotive OEMs specifying chip architectures for autonomous driving).</w:t>
            </w:r>
          </w:p>
        </w:tc>
        <w:tc>
          <w:tcPr>
            <w:tcW w:w="2381" w:type="dxa"/>
          </w:tcPr>
          <w:p w14:paraId="2B4FDA2E" w14:textId="6BBFE1DE" w:rsidR="00EC49AF" w:rsidRPr="008B13A5" w:rsidRDefault="00EC49AF">
            <w:pPr>
              <w:rPr>
                <w:noProof/>
                <w:szCs w:val="22"/>
              </w:rPr>
            </w:pPr>
            <w:r w:rsidRPr="008B13A5">
              <w:rPr>
                <w:noProof/>
                <w:szCs w:val="22"/>
              </w:rPr>
              <w:t xml:space="preserve">The EU benefits from strong vertical integration and close collaboration between European automakers and domestic chipmakers, such as NXP, Infineon, and STMicroelectronics, which has enabled European firms to become global leaders in semiconductors for key end-markets such as automotive </w:t>
            </w:r>
            <w:r w:rsidR="001D36E8">
              <w:rPr>
                <w:noProof/>
                <w:szCs w:val="22"/>
              </w:rPr>
              <w:t>and industrial automation</w:t>
            </w:r>
            <w:r w:rsidRPr="008B13A5">
              <w:rPr>
                <w:noProof/>
                <w:szCs w:val="22"/>
              </w:rPr>
              <w:t>. This collaboration fosters a robust domestic ecosystem for application-specific semiconductors, particularly in the automotive and wider embedded-systems industries.</w:t>
            </w:r>
            <w:r w:rsidR="00F274DD" w:rsidRPr="008B13A5">
              <w:rPr>
                <w:noProof/>
                <w:szCs w:val="22"/>
              </w:rPr>
              <w:t xml:space="preserve"> </w:t>
            </w:r>
            <w:r w:rsidRPr="008B13A5">
              <w:rPr>
                <w:noProof/>
                <w:szCs w:val="22"/>
              </w:rPr>
              <w:t>(</w:t>
            </w:r>
            <w:r w:rsidRPr="008B13A5">
              <w:rPr>
                <w:rStyle w:val="FootnoteReference"/>
                <w:noProof/>
                <w:szCs w:val="22"/>
              </w:rPr>
              <w:footnoteReference w:id="99"/>
            </w:r>
            <w:r w:rsidRPr="008B13A5">
              <w:rPr>
                <w:noProof/>
                <w:szCs w:val="22"/>
              </w:rPr>
              <w:t>).</w:t>
            </w:r>
          </w:p>
          <w:p w14:paraId="3171D0B5" w14:textId="3B48EA53" w:rsidR="00EC49AF" w:rsidRPr="008B13A5" w:rsidRDefault="00EC49AF">
            <w:pPr>
              <w:rPr>
                <w:noProof/>
                <w:szCs w:val="22"/>
              </w:rPr>
            </w:pPr>
            <w:r w:rsidRPr="008B13A5">
              <w:rPr>
                <w:noProof/>
                <w:szCs w:val="22"/>
              </w:rPr>
              <w:t>European public-private partnerships (PPPs), chipmakers, and Original Equipment Manufacturers (OEMs) have effectively utili</w:t>
            </w:r>
            <w:r w:rsidR="001773DA">
              <w:rPr>
                <w:noProof/>
                <w:szCs w:val="22"/>
              </w:rPr>
              <w:t>s</w:t>
            </w:r>
            <w:r w:rsidRPr="008B13A5">
              <w:rPr>
                <w:noProof/>
                <w:szCs w:val="22"/>
              </w:rPr>
              <w:t>ed a vertically integrated cost-and-risk-sharing ecosystem in the automotive sector</w:t>
            </w:r>
            <w:r w:rsidR="00F274DD" w:rsidRPr="008B13A5">
              <w:rPr>
                <w:noProof/>
                <w:szCs w:val="22"/>
              </w:rPr>
              <w:t xml:space="preserve"> </w:t>
            </w:r>
            <w:r w:rsidRPr="008B13A5">
              <w:rPr>
                <w:noProof/>
                <w:szCs w:val="22"/>
              </w:rPr>
              <w:t>(</w:t>
            </w:r>
            <w:r w:rsidRPr="008B13A5">
              <w:rPr>
                <w:rStyle w:val="FootnoteReference"/>
                <w:noProof/>
                <w:szCs w:val="22"/>
              </w:rPr>
              <w:footnoteReference w:id="100"/>
            </w:r>
            <w:r w:rsidRPr="008B13A5">
              <w:rPr>
                <w:noProof/>
                <w:szCs w:val="22"/>
              </w:rPr>
              <w:t>).</w:t>
            </w:r>
          </w:p>
          <w:p w14:paraId="7660855B" w14:textId="4AF7BEFE" w:rsidR="00EC49AF" w:rsidRPr="008B13A5" w:rsidRDefault="00EC49AF">
            <w:pPr>
              <w:rPr>
                <w:noProof/>
                <w:szCs w:val="22"/>
                <w:highlight w:val="yellow"/>
              </w:rPr>
            </w:pPr>
            <w:r w:rsidRPr="008B13A5">
              <w:rPr>
                <w:noProof/>
                <w:szCs w:val="22"/>
              </w:rPr>
              <w:t xml:space="preserve">European suppliers are leaders in </w:t>
            </w:r>
            <w:r w:rsidR="006C5509" w:rsidRPr="008B13A5">
              <w:rPr>
                <w:noProof/>
                <w:szCs w:val="22"/>
              </w:rPr>
              <w:t>“</w:t>
            </w:r>
            <w:r w:rsidRPr="008B13A5">
              <w:rPr>
                <w:noProof/>
                <w:szCs w:val="22"/>
              </w:rPr>
              <w:t>embedded systems</w:t>
            </w:r>
            <w:r w:rsidR="006C5509" w:rsidRPr="008B13A5">
              <w:rPr>
                <w:noProof/>
                <w:szCs w:val="22"/>
              </w:rPr>
              <w:t>”</w:t>
            </w:r>
            <w:r w:rsidRPr="008B13A5">
              <w:rPr>
                <w:noProof/>
                <w:szCs w:val="22"/>
              </w:rPr>
              <w:t xml:space="preserve"> for key downstream applications including Automotive, Industrial &amp; robotics, Energy, Health &amp; Care, Aerospace / Defence / Security, and telecommunications infrastructures</w:t>
            </w:r>
            <w:r w:rsidR="00F274DD" w:rsidRPr="008B13A5">
              <w:rPr>
                <w:noProof/>
                <w:szCs w:val="22"/>
              </w:rPr>
              <w:t xml:space="preserve"> </w:t>
            </w:r>
            <w:r w:rsidRPr="008B13A5">
              <w:rPr>
                <w:noProof/>
                <w:szCs w:val="22"/>
              </w:rPr>
              <w:t>(</w:t>
            </w:r>
            <w:r w:rsidRPr="008B13A5">
              <w:rPr>
                <w:rStyle w:val="FootnoteReference"/>
                <w:noProof/>
                <w:szCs w:val="22"/>
              </w:rPr>
              <w:footnoteReference w:id="101"/>
            </w:r>
            <w:r w:rsidRPr="008B13A5">
              <w:rPr>
                <w:noProof/>
                <w:szCs w:val="22"/>
              </w:rPr>
              <w:t>).</w:t>
            </w:r>
          </w:p>
        </w:tc>
        <w:tc>
          <w:tcPr>
            <w:tcW w:w="2381" w:type="dxa"/>
            <w:vMerge w:val="restart"/>
          </w:tcPr>
          <w:p w14:paraId="6FE8F532" w14:textId="06935E14" w:rsidR="00EC49AF" w:rsidRPr="008B13A5" w:rsidRDefault="00EC49AF">
            <w:pPr>
              <w:rPr>
                <w:noProof/>
                <w:szCs w:val="22"/>
              </w:rPr>
            </w:pPr>
            <w:r w:rsidRPr="008B13A5">
              <w:rPr>
                <w:noProof/>
                <w:szCs w:val="22"/>
              </w:rPr>
              <w:t>Collaboration between semiconductor producers and Tier-1 system suppliers remains fragmented, meaning that outside the automotive sector there are few structured co-development mechanisms, shared technology roadmaps, or early-stage joint design cycles. This limits the ability to translate semiconductor innovations into competitive system-level products in several EU end-markets.</w:t>
            </w:r>
            <w:r w:rsidRPr="008B13A5" w:rsidDel="00F45EBA">
              <w:rPr>
                <w:noProof/>
                <w:szCs w:val="22"/>
              </w:rPr>
              <w:t xml:space="preserve"> </w:t>
            </w:r>
            <w:r w:rsidR="00F274DD" w:rsidRPr="008B13A5">
              <w:rPr>
                <w:noProof/>
                <w:szCs w:val="22"/>
              </w:rPr>
              <w:t xml:space="preserve"> </w:t>
            </w:r>
            <w:r w:rsidRPr="008B13A5">
              <w:rPr>
                <w:noProof/>
                <w:szCs w:val="22"/>
              </w:rPr>
              <w:t>(</w:t>
            </w:r>
            <w:r w:rsidRPr="008B13A5">
              <w:rPr>
                <w:rStyle w:val="FootnoteReference"/>
                <w:noProof/>
                <w:szCs w:val="22"/>
              </w:rPr>
              <w:footnoteReference w:id="102"/>
            </w:r>
            <w:r w:rsidRPr="008B13A5">
              <w:rPr>
                <w:noProof/>
                <w:szCs w:val="22"/>
              </w:rPr>
              <w:t>).</w:t>
            </w:r>
          </w:p>
          <w:p w14:paraId="1F806820" w14:textId="249136D2" w:rsidR="00EC49AF" w:rsidRPr="008B13A5" w:rsidRDefault="00EC49AF">
            <w:pPr>
              <w:rPr>
                <w:noProof/>
                <w:szCs w:val="22"/>
              </w:rPr>
            </w:pPr>
            <w:r w:rsidRPr="008B13A5">
              <w:rPr>
                <w:noProof/>
                <w:szCs w:val="22"/>
              </w:rPr>
              <w:t>Europe lags in co-design capabilities for AI accelerators, cloud, and edge-computing hardware, constraining its competitiveness in next-generation data-driven applications</w:t>
            </w:r>
            <w:r w:rsidR="00F274DD" w:rsidRPr="008B13A5">
              <w:rPr>
                <w:noProof/>
                <w:szCs w:val="22"/>
              </w:rPr>
              <w:t xml:space="preserve"> </w:t>
            </w:r>
            <w:r w:rsidRPr="008B13A5">
              <w:rPr>
                <w:noProof/>
                <w:szCs w:val="22"/>
              </w:rPr>
              <w:t>(</w:t>
            </w:r>
            <w:r w:rsidRPr="008B13A5">
              <w:rPr>
                <w:rStyle w:val="FootnoteReference"/>
                <w:noProof/>
                <w:szCs w:val="22"/>
              </w:rPr>
              <w:footnoteReference w:id="103"/>
            </w:r>
            <w:r w:rsidRPr="008B13A5">
              <w:rPr>
                <w:noProof/>
                <w:szCs w:val="22"/>
              </w:rPr>
              <w:t>),</w:t>
            </w:r>
            <w:r w:rsidR="00F274DD" w:rsidRPr="008B13A5">
              <w:rPr>
                <w:noProof/>
                <w:szCs w:val="22"/>
              </w:rPr>
              <w:t xml:space="preserve"> </w:t>
            </w:r>
            <w:r w:rsidRPr="008B13A5">
              <w:rPr>
                <w:noProof/>
                <w:szCs w:val="22"/>
              </w:rPr>
              <w:t>(</w:t>
            </w:r>
            <w:r w:rsidRPr="008B13A5">
              <w:rPr>
                <w:rStyle w:val="FootnoteReference"/>
                <w:noProof/>
                <w:szCs w:val="22"/>
              </w:rPr>
              <w:footnoteReference w:id="104"/>
            </w:r>
            <w:r w:rsidRPr="008B13A5">
              <w:rPr>
                <w:noProof/>
                <w:szCs w:val="22"/>
              </w:rPr>
              <w:t>).</w:t>
            </w:r>
          </w:p>
          <w:p w14:paraId="1C275843" w14:textId="65779A04" w:rsidR="00EC49AF" w:rsidRPr="008B13A5" w:rsidRDefault="00EC49AF">
            <w:pPr>
              <w:rPr>
                <w:noProof/>
                <w:szCs w:val="22"/>
                <w:highlight w:val="yellow"/>
              </w:rPr>
            </w:pPr>
            <w:r w:rsidRPr="008B13A5">
              <w:rPr>
                <w:noProof/>
                <w:szCs w:val="22"/>
              </w:rPr>
              <w:t>Most European integration capacity focuses on mature embedded systems (automotive, industrial). There is little domestic infrastructure for advanced packaging-to-system integration or prototyping of heterogeneous modules</w:t>
            </w:r>
            <w:r w:rsidR="00F274DD" w:rsidRPr="008B13A5">
              <w:rPr>
                <w:noProof/>
                <w:szCs w:val="22"/>
              </w:rPr>
              <w:t xml:space="preserve"> </w:t>
            </w:r>
            <w:r w:rsidRPr="008B13A5">
              <w:rPr>
                <w:noProof/>
                <w:szCs w:val="22"/>
              </w:rPr>
              <w:t>(</w:t>
            </w:r>
            <w:r w:rsidRPr="008B13A5">
              <w:rPr>
                <w:rStyle w:val="FootnoteReference"/>
                <w:noProof/>
                <w:szCs w:val="22"/>
              </w:rPr>
              <w:footnoteReference w:id="105"/>
            </w:r>
            <w:r w:rsidRPr="008B13A5">
              <w:rPr>
                <w:noProof/>
                <w:szCs w:val="22"/>
              </w:rPr>
              <w:t>).</w:t>
            </w:r>
          </w:p>
        </w:tc>
        <w:tc>
          <w:tcPr>
            <w:tcW w:w="2381" w:type="dxa"/>
          </w:tcPr>
          <w:p w14:paraId="2C71C481" w14:textId="5E5E2040" w:rsidR="00EC49AF" w:rsidRPr="008B13A5" w:rsidRDefault="00EC49AF">
            <w:pPr>
              <w:rPr>
                <w:noProof/>
                <w:szCs w:val="22"/>
              </w:rPr>
            </w:pPr>
            <w:r w:rsidRPr="008B13A5">
              <w:rPr>
                <w:noProof/>
                <w:szCs w:val="22"/>
              </w:rPr>
              <w:t>No single figure available</w:t>
            </w:r>
          </w:p>
          <w:p w14:paraId="238C4B40" w14:textId="1A51A811" w:rsidR="00EC49AF" w:rsidRPr="008B13A5" w:rsidRDefault="00EC49AF">
            <w:pPr>
              <w:rPr>
                <w:noProof/>
                <w:szCs w:val="22"/>
              </w:rPr>
            </w:pPr>
            <w:r w:rsidRPr="008B13A5">
              <w:rPr>
                <w:noProof/>
                <w:szCs w:val="22"/>
              </w:rPr>
              <w:t>EU companies owned 34% of the global semiconductor market for automotive in 2021.</w:t>
            </w:r>
          </w:p>
          <w:p w14:paraId="582FAD8A" w14:textId="1174BBDB" w:rsidR="00EC49AF" w:rsidRPr="008B13A5" w:rsidRDefault="00EC49AF">
            <w:pPr>
              <w:rPr>
                <w:noProof/>
                <w:szCs w:val="22"/>
              </w:rPr>
            </w:pPr>
            <w:r w:rsidRPr="008B13A5">
              <w:rPr>
                <w:noProof/>
                <w:szCs w:val="22"/>
              </w:rPr>
              <w:t xml:space="preserve">European suppliers are leading in </w:t>
            </w:r>
            <w:r w:rsidR="006C5509" w:rsidRPr="008B13A5">
              <w:rPr>
                <w:noProof/>
                <w:szCs w:val="22"/>
              </w:rPr>
              <w:t>“</w:t>
            </w:r>
            <w:r w:rsidRPr="008B13A5">
              <w:rPr>
                <w:noProof/>
                <w:szCs w:val="22"/>
              </w:rPr>
              <w:t>embedded systems</w:t>
            </w:r>
            <w:r w:rsidR="006C5509" w:rsidRPr="008B13A5">
              <w:rPr>
                <w:noProof/>
                <w:szCs w:val="22"/>
              </w:rPr>
              <w:t>”</w:t>
            </w:r>
            <w:r w:rsidRPr="008B13A5">
              <w:rPr>
                <w:noProof/>
                <w:szCs w:val="22"/>
              </w:rPr>
              <w:t xml:space="preserve"> for applications such as Automotive, Industrial &amp; robotics, Energies, Health &amp; Care, Aerospace / Defence / Security, and telecommunications infrastructures.</w:t>
            </w:r>
          </w:p>
          <w:p w14:paraId="3821786D" w14:textId="557EE922" w:rsidR="00EC49AF" w:rsidRPr="008B13A5" w:rsidRDefault="00EC49AF">
            <w:pPr>
              <w:rPr>
                <w:noProof/>
                <w:szCs w:val="22"/>
              </w:rPr>
            </w:pPr>
            <w:r w:rsidRPr="008B13A5">
              <w:rPr>
                <w:noProof/>
                <w:szCs w:val="22"/>
              </w:rPr>
              <w:t>Infineon, NXP, and STMicroelectronics collectively own approximately 60% of the global market shares for SIM cards and identity documents</w:t>
            </w:r>
            <w:r w:rsidR="00F274DD" w:rsidRPr="008B13A5">
              <w:rPr>
                <w:noProof/>
                <w:szCs w:val="22"/>
              </w:rPr>
              <w:t xml:space="preserve"> </w:t>
            </w:r>
            <w:r w:rsidRPr="008B13A5">
              <w:rPr>
                <w:noProof/>
                <w:szCs w:val="22"/>
              </w:rPr>
              <w:t>(</w:t>
            </w:r>
            <w:r w:rsidRPr="008B13A5">
              <w:rPr>
                <w:rStyle w:val="FootnoteReference"/>
                <w:noProof/>
                <w:szCs w:val="22"/>
              </w:rPr>
              <w:footnoteReference w:id="106"/>
            </w:r>
            <w:r w:rsidRPr="008B13A5">
              <w:rPr>
                <w:noProof/>
                <w:szCs w:val="22"/>
              </w:rPr>
              <w:t>).</w:t>
            </w:r>
          </w:p>
        </w:tc>
        <w:tc>
          <w:tcPr>
            <w:tcW w:w="2381" w:type="dxa"/>
          </w:tcPr>
          <w:p w14:paraId="7715B9A6" w14:textId="4A573DF0" w:rsidR="00EC49AF" w:rsidRPr="008B13A5" w:rsidRDefault="00EC49AF">
            <w:pPr>
              <w:rPr>
                <w:noProof/>
                <w:szCs w:val="22"/>
              </w:rPr>
            </w:pPr>
            <w:r w:rsidRPr="008B13A5">
              <w:rPr>
                <w:noProof/>
                <w:szCs w:val="22"/>
              </w:rPr>
              <w:t>Pillar I (R&amp;D and pilot lines for heterogeneous integration), Competence Centres that connect chipmakers with system integrators and OEMs</w:t>
            </w:r>
          </w:p>
          <w:p w14:paraId="177FFD28" w14:textId="76D13663" w:rsidR="00EC49AF" w:rsidRPr="008B13A5" w:rsidRDefault="00EC49AF">
            <w:pPr>
              <w:rPr>
                <w:noProof/>
                <w:szCs w:val="22"/>
              </w:rPr>
            </w:pPr>
            <w:r w:rsidRPr="008B13A5">
              <w:rPr>
                <w:noProof/>
                <w:szCs w:val="22"/>
              </w:rPr>
              <w:t>Pillar II measures that promote regional coordination and supply chain completeness.</w:t>
            </w:r>
          </w:p>
        </w:tc>
      </w:tr>
      <w:tr w:rsidR="00EC49AF" w:rsidRPr="008B13A5" w14:paraId="3B82F8BF" w14:textId="77777777" w:rsidTr="00BD008E">
        <w:trPr>
          <w:gridAfter w:val="1"/>
          <w:wAfter w:w="116" w:type="dxa"/>
        </w:trPr>
        <w:tc>
          <w:tcPr>
            <w:tcW w:w="2381" w:type="dxa"/>
          </w:tcPr>
          <w:p w14:paraId="6FE5BB38" w14:textId="1F43654D" w:rsidR="00EC49AF" w:rsidRPr="008B13A5" w:rsidRDefault="00EC49AF">
            <w:pPr>
              <w:rPr>
                <w:b/>
                <w:noProof/>
                <w:szCs w:val="22"/>
              </w:rPr>
            </w:pPr>
            <w:r w:rsidRPr="008B13A5">
              <w:rPr>
                <w:b/>
                <w:noProof/>
                <w:szCs w:val="22"/>
              </w:rPr>
              <w:t>End-use applications</w:t>
            </w:r>
          </w:p>
        </w:tc>
        <w:tc>
          <w:tcPr>
            <w:tcW w:w="2381" w:type="dxa"/>
          </w:tcPr>
          <w:p w14:paraId="5B4C3905" w14:textId="62CB3BDE" w:rsidR="00EC49AF" w:rsidRPr="008B13A5" w:rsidRDefault="00EC49AF">
            <w:pPr>
              <w:rPr>
                <w:noProof/>
                <w:szCs w:val="22"/>
              </w:rPr>
            </w:pPr>
            <w:r w:rsidRPr="008B13A5">
              <w:rPr>
                <w:noProof/>
                <w:szCs w:val="22"/>
              </w:rPr>
              <w:t>Represents the largest aggregate economic value in the semiconductor chain, although distributed across many industries. Chips are also increasingly the key enabler of innovation in a digital and AI-driven economy, since they determine the performance, efficiency, and functionality of products ranging from vehicles and industrial machinery to consumer electronics and AI systems.</w:t>
            </w:r>
          </w:p>
          <w:p w14:paraId="16346164" w14:textId="050199E3" w:rsidR="00EC49AF" w:rsidRPr="008B13A5" w:rsidRDefault="00EC49AF">
            <w:pPr>
              <w:rPr>
                <w:noProof/>
                <w:szCs w:val="22"/>
              </w:rPr>
            </w:pPr>
            <w:r w:rsidRPr="008B13A5">
              <w:rPr>
                <w:noProof/>
                <w:szCs w:val="22"/>
              </w:rPr>
              <w:t>Chips account for 10–40% of the total cost of complex products (e.g. 35% in electric vehicles, ~25% in smartphones, ~15% in industrial machinery).</w:t>
            </w:r>
          </w:p>
          <w:p w14:paraId="7288F45E" w14:textId="113458A4" w:rsidR="00EC49AF" w:rsidRPr="008B13A5" w:rsidRDefault="00EC49AF">
            <w:pPr>
              <w:rPr>
                <w:noProof/>
                <w:szCs w:val="22"/>
              </w:rPr>
            </w:pPr>
            <w:r w:rsidRPr="008B13A5">
              <w:rPr>
                <w:noProof/>
                <w:szCs w:val="22"/>
              </w:rPr>
              <w:t>Value capture at this stage depends on product differentiation, brand equity, and software-enabled services (e.g. mobility platforms, IoT ecosystems).</w:t>
            </w:r>
          </w:p>
          <w:p w14:paraId="0B13BF73" w14:textId="49E16ADC" w:rsidR="00EC49AF" w:rsidRPr="008B13A5" w:rsidRDefault="00EC49AF">
            <w:pPr>
              <w:rPr>
                <w:noProof/>
                <w:szCs w:val="22"/>
              </w:rPr>
            </w:pPr>
            <w:r w:rsidRPr="008B13A5">
              <w:rPr>
                <w:noProof/>
                <w:szCs w:val="22"/>
              </w:rPr>
              <w:t>Strong spill-over effects to employment, R&amp;D intensity, and regional competitiveness.</w:t>
            </w:r>
          </w:p>
        </w:tc>
        <w:tc>
          <w:tcPr>
            <w:tcW w:w="2381" w:type="dxa"/>
          </w:tcPr>
          <w:p w14:paraId="0FA457A7" w14:textId="5E81E6CB" w:rsidR="00EC49AF" w:rsidRPr="008B13A5" w:rsidRDefault="00EC49AF">
            <w:pPr>
              <w:rPr>
                <w:noProof/>
                <w:szCs w:val="22"/>
              </w:rPr>
            </w:pPr>
            <w:r w:rsidRPr="008B13A5">
              <w:rPr>
                <w:noProof/>
                <w:szCs w:val="22"/>
              </w:rPr>
              <w:t>EU companies held 34% of the global semiconductor market for automotive in 2021.</w:t>
            </w:r>
          </w:p>
          <w:p w14:paraId="2EC34FFA" w14:textId="2D9D9506" w:rsidR="00EC49AF" w:rsidRPr="008B13A5" w:rsidRDefault="00EC49AF">
            <w:pPr>
              <w:rPr>
                <w:b/>
                <w:noProof/>
                <w:szCs w:val="22"/>
                <w:highlight w:val="yellow"/>
              </w:rPr>
            </w:pPr>
            <w:r w:rsidRPr="008B13A5">
              <w:rPr>
                <w:noProof/>
                <w:szCs w:val="22"/>
              </w:rPr>
              <w:t>The EU</w:t>
            </w:r>
            <w:r w:rsidR="00497125" w:rsidRPr="008B13A5">
              <w:rPr>
                <w:noProof/>
                <w:szCs w:val="22"/>
              </w:rPr>
              <w:t>’</w:t>
            </w:r>
            <w:r w:rsidRPr="008B13A5">
              <w:rPr>
                <w:noProof/>
                <w:szCs w:val="22"/>
              </w:rPr>
              <w:t xml:space="preserve">s semiconductor demand is aligned with its embedded electronic production, with power &amp; </w:t>
            </w:r>
            <w:r w:rsidR="00863C71" w:rsidRPr="008B13A5">
              <w:rPr>
                <w:noProof/>
                <w:szCs w:val="22"/>
              </w:rPr>
              <w:t>analogue</w:t>
            </w:r>
            <w:r w:rsidRPr="008B13A5">
              <w:rPr>
                <w:noProof/>
                <w:szCs w:val="22"/>
              </w:rPr>
              <w:t>, optoelectronics and sensors, and microcontrollers accounting for 63% of EU semiconductor consumption in 2022, compared to 39% globally</w:t>
            </w:r>
            <w:r w:rsidR="00F274DD" w:rsidRPr="008B13A5">
              <w:rPr>
                <w:noProof/>
                <w:szCs w:val="22"/>
              </w:rPr>
              <w:t xml:space="preserve"> </w:t>
            </w:r>
            <w:r w:rsidRPr="008B13A5">
              <w:rPr>
                <w:noProof/>
                <w:szCs w:val="22"/>
              </w:rPr>
              <w:t>(</w:t>
            </w:r>
            <w:r w:rsidRPr="008B13A5">
              <w:rPr>
                <w:rStyle w:val="FootnoteReference"/>
                <w:noProof/>
                <w:szCs w:val="22"/>
              </w:rPr>
              <w:footnoteReference w:id="107"/>
            </w:r>
            <w:r w:rsidRPr="008B13A5">
              <w:rPr>
                <w:noProof/>
                <w:szCs w:val="22"/>
              </w:rPr>
              <w:t>).</w:t>
            </w:r>
          </w:p>
        </w:tc>
        <w:tc>
          <w:tcPr>
            <w:tcW w:w="2381" w:type="dxa"/>
            <w:vMerge/>
          </w:tcPr>
          <w:p w14:paraId="15DFE70A" w14:textId="77777777" w:rsidR="00EC49AF" w:rsidRPr="008B13A5" w:rsidRDefault="00EC49AF">
            <w:pPr>
              <w:rPr>
                <w:noProof/>
                <w:szCs w:val="22"/>
              </w:rPr>
            </w:pPr>
          </w:p>
        </w:tc>
        <w:tc>
          <w:tcPr>
            <w:tcW w:w="2381" w:type="dxa"/>
          </w:tcPr>
          <w:p w14:paraId="49AF2D78" w14:textId="38C47124" w:rsidR="00EC49AF" w:rsidRPr="008B13A5" w:rsidRDefault="00EC49AF">
            <w:pPr>
              <w:rPr>
                <w:noProof/>
                <w:szCs w:val="22"/>
              </w:rPr>
            </w:pPr>
            <w:r w:rsidRPr="008B13A5">
              <w:rPr>
                <w:noProof/>
                <w:szCs w:val="22"/>
              </w:rPr>
              <w:t xml:space="preserve">The EU has a strong market position in </w:t>
            </w:r>
            <w:r w:rsidR="006C5509" w:rsidRPr="008B13A5">
              <w:rPr>
                <w:noProof/>
                <w:szCs w:val="22"/>
              </w:rPr>
              <w:t>“</w:t>
            </w:r>
            <w:r w:rsidRPr="008B13A5">
              <w:rPr>
                <w:noProof/>
                <w:szCs w:val="22"/>
              </w:rPr>
              <w:t>embedded electronics industries,</w:t>
            </w:r>
            <w:r w:rsidR="006C5509" w:rsidRPr="008B13A5">
              <w:rPr>
                <w:noProof/>
                <w:szCs w:val="22"/>
              </w:rPr>
              <w:t>”</w:t>
            </w:r>
            <w:r w:rsidRPr="008B13A5">
              <w:rPr>
                <w:noProof/>
                <w:szCs w:val="22"/>
              </w:rPr>
              <w:t xml:space="preserve"> which accounted for 64% of its semiconductor consumption in 2022, compared to 22% globally</w:t>
            </w:r>
            <w:r w:rsidR="00F274DD" w:rsidRPr="008B13A5">
              <w:rPr>
                <w:noProof/>
                <w:szCs w:val="22"/>
              </w:rPr>
              <w:t xml:space="preserve"> </w:t>
            </w:r>
            <w:r w:rsidRPr="008B13A5">
              <w:rPr>
                <w:noProof/>
                <w:szCs w:val="22"/>
              </w:rPr>
              <w:t>(</w:t>
            </w:r>
            <w:r w:rsidRPr="008B13A5">
              <w:rPr>
                <w:rStyle w:val="FootnoteReference"/>
                <w:noProof/>
                <w:szCs w:val="22"/>
              </w:rPr>
              <w:footnoteReference w:id="108"/>
            </w:r>
            <w:r w:rsidRPr="008B13A5">
              <w:rPr>
                <w:noProof/>
                <w:szCs w:val="22"/>
              </w:rPr>
              <w:t>).</w:t>
            </w:r>
          </w:p>
          <w:p w14:paraId="60702F55" w14:textId="77777777" w:rsidR="00EC49AF" w:rsidRPr="008B13A5" w:rsidRDefault="00EC49AF">
            <w:pPr>
              <w:rPr>
                <w:noProof/>
                <w:szCs w:val="22"/>
              </w:rPr>
            </w:pPr>
          </w:p>
        </w:tc>
        <w:tc>
          <w:tcPr>
            <w:tcW w:w="2381" w:type="dxa"/>
          </w:tcPr>
          <w:p w14:paraId="4AD4A872" w14:textId="0828B49B" w:rsidR="00EC49AF" w:rsidRPr="008B13A5" w:rsidRDefault="00EC49AF">
            <w:pPr>
              <w:rPr>
                <w:noProof/>
                <w:szCs w:val="22"/>
              </w:rPr>
            </w:pPr>
            <w:r w:rsidRPr="008B13A5">
              <w:rPr>
                <w:noProof/>
                <w:szCs w:val="22"/>
              </w:rPr>
              <w:t xml:space="preserve">Pillar I supports application-oriented R&amp;D and competence centres. </w:t>
            </w:r>
          </w:p>
          <w:p w14:paraId="5B4EEBB6" w14:textId="5147AB30" w:rsidR="00EC49AF" w:rsidRPr="008B13A5" w:rsidRDefault="00EC49AF">
            <w:pPr>
              <w:rPr>
                <w:noProof/>
                <w:szCs w:val="22"/>
              </w:rPr>
            </w:pPr>
            <w:r w:rsidRPr="008B13A5">
              <w:rPr>
                <w:noProof/>
                <w:szCs w:val="22"/>
              </w:rPr>
              <w:t>Pillar II secures manufacturing capacity for critical sectors such as automotive, energy, and defence.</w:t>
            </w:r>
          </w:p>
          <w:p w14:paraId="7DB59E33" w14:textId="6E3DA65C" w:rsidR="00EC49AF" w:rsidRPr="008B13A5" w:rsidRDefault="00EC49AF">
            <w:pPr>
              <w:rPr>
                <w:noProof/>
                <w:szCs w:val="22"/>
                <w:highlight w:val="yellow"/>
              </w:rPr>
            </w:pPr>
            <w:r w:rsidRPr="008B13A5">
              <w:rPr>
                <w:noProof/>
                <w:szCs w:val="22"/>
              </w:rPr>
              <w:t>Pillar III includes end-user industries in supply chain monitoring and crisis response.</w:t>
            </w:r>
          </w:p>
        </w:tc>
      </w:tr>
    </w:tbl>
    <w:p w14:paraId="1528A2D0" w14:textId="54FF5CAC" w:rsidR="00EC49AF" w:rsidRPr="008B13A5" w:rsidRDefault="00EC49AF" w:rsidP="00EC49AF">
      <w:pPr>
        <w:rPr>
          <w:b/>
          <w:noProof/>
          <w:u w:val="single"/>
          <w:lang w:eastAsia="en-GB"/>
        </w:rPr>
      </w:pPr>
      <w:r w:rsidRPr="008B13A5">
        <w:rPr>
          <w:b/>
          <w:noProof/>
          <w:u w:val="single"/>
          <w:lang w:eastAsia="en-GB"/>
        </w:rPr>
        <w:t>Overall view</w:t>
      </w:r>
    </w:p>
    <w:p w14:paraId="52FAC27A" w14:textId="559BA153" w:rsidR="00EC49AF" w:rsidRPr="008B13A5" w:rsidRDefault="00EC49AF" w:rsidP="00EC49AF">
      <w:pPr>
        <w:rPr>
          <w:noProof/>
          <w:szCs w:val="22"/>
        </w:rPr>
      </w:pPr>
      <w:r w:rsidRPr="008B13A5">
        <w:rPr>
          <w:noProof/>
          <w:szCs w:val="22"/>
        </w:rPr>
        <w:t xml:space="preserve">Table </w:t>
      </w:r>
      <w:r w:rsidR="006022A4">
        <w:rPr>
          <w:noProof/>
          <w:szCs w:val="22"/>
        </w:rPr>
        <w:t>7</w:t>
      </w:r>
      <w:r w:rsidRPr="008B13A5">
        <w:rPr>
          <w:noProof/>
          <w:szCs w:val="22"/>
        </w:rPr>
        <w:t xml:space="preserve"> below summarises the European Union’s position along the global semiconductor value chain, combining quantitative indicators of market share and import dependency with a qualitative assessment of resilience and strategic importance. The figures illustrate that dependencies vary significantly by stage: while the EU holds strong positions in manufacturing equipment it remains heavily reliant on non-EU suppliers for wafer substrates, chip manufacturing, and especially assembly, test, and packaging (ATP). The resilience profile column highlights the nature of vulnerabilities that range from geopolitical and supply chain concentration risks; whereas the final column identifies each segment’s strategic relevance for achieving the objectives of the EU Chips Act.</w:t>
      </w:r>
    </w:p>
    <w:p w14:paraId="7903B602" w14:textId="61950A8E" w:rsidR="00EC49AF" w:rsidRPr="008B13A5" w:rsidRDefault="00EC49AF" w:rsidP="00EC49AF">
      <w:pPr>
        <w:rPr>
          <w:noProof/>
          <w:szCs w:val="22"/>
        </w:rPr>
      </w:pPr>
      <w:r w:rsidRPr="008B13A5">
        <w:rPr>
          <w:noProof/>
          <w:szCs w:val="22"/>
        </w:rPr>
        <w:t>IDC 2023 revenue data confirm this asymmetric positioning. EU27-headquartered firms account for roughly 28 % of global capital-equipment revenues, around 21 % of the EDA market (largely reflecting the role of Siemens following its acquisition of Mentor Graphics), and about 17 % of semiconductor materials sales. By contrast, Europe’s share of global foundry revenues is below 1 %, and OSAT and IP/licensing activities are negligible. The semiconductor device segment itself represents about 10 % of worldwide device revenues, driven mainly by IDMs such as Infineon, NXP and STMicroelectronics. This pattern underscores that the EU’s comparative advantages lie upstream in equipment, design tools and materials, whereas it remains structurally weak in pure-play foundry, back-end services and leading-edge logic production, with important implications for resilience and policy design.</w:t>
      </w:r>
    </w:p>
    <w:p w14:paraId="7D962AE5" w14:textId="77777777" w:rsidR="005A6CAD" w:rsidRDefault="005A6CAD">
      <w:pPr>
        <w:spacing w:after="200" w:line="276" w:lineRule="auto"/>
        <w:jc w:val="left"/>
        <w:rPr>
          <w:noProof/>
          <w:szCs w:val="22"/>
        </w:rPr>
      </w:pPr>
      <w:r>
        <w:rPr>
          <w:noProof/>
          <w:szCs w:val="22"/>
        </w:rPr>
        <w:br w:type="page"/>
      </w:r>
    </w:p>
    <w:p w14:paraId="1E6A55F4" w14:textId="0ABA2535" w:rsidR="00EC49AF" w:rsidRPr="008B13A5" w:rsidRDefault="00EC49AF" w:rsidP="00EC49AF">
      <w:pPr>
        <w:pStyle w:val="NormalWeb"/>
        <w:spacing w:before="0" w:beforeAutospacing="0" w:after="120" w:afterAutospacing="0"/>
        <w:rPr>
          <w:b/>
          <w:bCs/>
          <w:noProof/>
          <w:sz w:val="22"/>
          <w:szCs w:val="22"/>
        </w:rPr>
      </w:pPr>
      <w:r w:rsidRPr="008B13A5">
        <w:rPr>
          <w:b/>
          <w:bCs/>
          <w:noProof/>
          <w:sz w:val="22"/>
          <w:szCs w:val="22"/>
        </w:rPr>
        <w:t xml:space="preserve">Table </w:t>
      </w:r>
      <w:r w:rsidR="006022A4">
        <w:rPr>
          <w:b/>
          <w:bCs/>
          <w:noProof/>
          <w:sz w:val="22"/>
          <w:szCs w:val="22"/>
        </w:rPr>
        <w:t>7</w:t>
      </w:r>
      <w:r w:rsidRPr="008B13A5">
        <w:rPr>
          <w:b/>
          <w:bCs/>
          <w:noProof/>
          <w:sz w:val="22"/>
          <w:szCs w:val="22"/>
        </w:rPr>
        <w:t xml:space="preserve">. The overview table of the EU semiconductors value chain. </w:t>
      </w:r>
      <w:r w:rsidRPr="008B13A5">
        <w:rPr>
          <w:i/>
          <w:iCs/>
          <w:noProof/>
          <w:sz w:val="22"/>
          <w:szCs w:val="22"/>
        </w:rPr>
        <w:t>Source: compiled by the authors.</w:t>
      </w:r>
      <w:r w:rsidRPr="008B13A5">
        <w:rPr>
          <w:b/>
          <w:bCs/>
          <w:noProof/>
          <w:sz w:val="22"/>
          <w:szCs w:val="22"/>
        </w:rPr>
        <w:t xml:space="preserve"> </w:t>
      </w:r>
    </w:p>
    <w:tbl>
      <w:tblPr>
        <w:tblStyle w:val="TableGrid"/>
        <w:tblW w:w="14302" w:type="dxa"/>
        <w:tblInd w:w="-116" w:type="dxa"/>
        <w:tblLook w:val="04A0" w:firstRow="1" w:lastRow="0" w:firstColumn="1" w:lastColumn="0" w:noHBand="0" w:noVBand="1"/>
      </w:tblPr>
      <w:tblGrid>
        <w:gridCol w:w="1993"/>
        <w:gridCol w:w="2619"/>
        <w:gridCol w:w="2143"/>
        <w:gridCol w:w="4318"/>
        <w:gridCol w:w="3229"/>
      </w:tblGrid>
      <w:tr w:rsidR="001F2B27" w:rsidRPr="008B13A5" w14:paraId="010B918E" w14:textId="77777777" w:rsidTr="003D3D90">
        <w:trPr>
          <w:trHeight w:val="788"/>
        </w:trPr>
        <w:tc>
          <w:tcPr>
            <w:tcW w:w="0" w:type="auto"/>
          </w:tcPr>
          <w:p w14:paraId="7070226B" w14:textId="6A4CACB0" w:rsidR="00EC49AF" w:rsidRPr="008B13A5" w:rsidRDefault="00EC49AF">
            <w:pPr>
              <w:jc w:val="center"/>
              <w:rPr>
                <w:b/>
                <w:noProof/>
                <w:szCs w:val="22"/>
              </w:rPr>
            </w:pPr>
            <w:r w:rsidRPr="008B13A5">
              <w:rPr>
                <w:b/>
                <w:noProof/>
                <w:szCs w:val="22"/>
              </w:rPr>
              <w:t>GVC Segment</w:t>
            </w:r>
          </w:p>
        </w:tc>
        <w:tc>
          <w:tcPr>
            <w:tcW w:w="0" w:type="auto"/>
          </w:tcPr>
          <w:p w14:paraId="18E5463B" w14:textId="05A695AC" w:rsidR="00EC49AF" w:rsidRPr="008B13A5" w:rsidRDefault="00EC49AF">
            <w:pPr>
              <w:jc w:val="center"/>
              <w:rPr>
                <w:b/>
                <w:noProof/>
                <w:szCs w:val="22"/>
              </w:rPr>
            </w:pPr>
            <w:r w:rsidRPr="008B13A5">
              <w:rPr>
                <w:b/>
                <w:noProof/>
                <w:szCs w:val="22"/>
              </w:rPr>
              <w:t>EU Market Share</w:t>
            </w:r>
          </w:p>
        </w:tc>
        <w:tc>
          <w:tcPr>
            <w:tcW w:w="0" w:type="auto"/>
          </w:tcPr>
          <w:p w14:paraId="2EC3F384" w14:textId="43EDCC8D" w:rsidR="00EC49AF" w:rsidRPr="008B13A5" w:rsidRDefault="00EC49AF">
            <w:pPr>
              <w:jc w:val="center"/>
              <w:rPr>
                <w:b/>
                <w:noProof/>
                <w:szCs w:val="22"/>
              </w:rPr>
            </w:pPr>
            <w:r w:rsidRPr="008B13A5">
              <w:rPr>
                <w:b/>
                <w:noProof/>
                <w:szCs w:val="22"/>
              </w:rPr>
              <w:t>Dependency (imports)</w:t>
            </w:r>
          </w:p>
        </w:tc>
        <w:tc>
          <w:tcPr>
            <w:tcW w:w="0" w:type="auto"/>
          </w:tcPr>
          <w:p w14:paraId="2E61DDA1" w14:textId="076068DB" w:rsidR="00EC49AF" w:rsidRPr="008B13A5" w:rsidRDefault="00EC49AF">
            <w:pPr>
              <w:jc w:val="center"/>
              <w:rPr>
                <w:b/>
                <w:noProof/>
                <w:szCs w:val="22"/>
              </w:rPr>
            </w:pPr>
            <w:r w:rsidRPr="008B13A5">
              <w:rPr>
                <w:b/>
                <w:noProof/>
                <w:szCs w:val="22"/>
              </w:rPr>
              <w:t xml:space="preserve">Resilience profile </w:t>
            </w:r>
          </w:p>
        </w:tc>
        <w:tc>
          <w:tcPr>
            <w:tcW w:w="0" w:type="auto"/>
          </w:tcPr>
          <w:p w14:paraId="7B8038AF" w14:textId="55DFC54D" w:rsidR="00EC49AF" w:rsidRPr="008B13A5" w:rsidRDefault="00EC49AF">
            <w:pPr>
              <w:jc w:val="center"/>
              <w:rPr>
                <w:b/>
                <w:noProof/>
                <w:szCs w:val="22"/>
              </w:rPr>
            </w:pPr>
            <w:r w:rsidRPr="008B13A5">
              <w:rPr>
                <w:b/>
                <w:noProof/>
                <w:szCs w:val="22"/>
              </w:rPr>
              <w:t>EU strategic importance</w:t>
            </w:r>
          </w:p>
        </w:tc>
      </w:tr>
      <w:tr w:rsidR="001F2B27" w:rsidRPr="008B13A5" w14:paraId="3D02FDAF" w14:textId="77777777" w:rsidTr="003D3D90">
        <w:trPr>
          <w:trHeight w:val="3193"/>
        </w:trPr>
        <w:tc>
          <w:tcPr>
            <w:tcW w:w="0" w:type="auto"/>
          </w:tcPr>
          <w:p w14:paraId="33DBB15B" w14:textId="77777777" w:rsidR="00EC49AF" w:rsidRPr="008B13A5" w:rsidRDefault="00EC49AF">
            <w:pPr>
              <w:rPr>
                <w:noProof/>
                <w:szCs w:val="22"/>
              </w:rPr>
            </w:pPr>
            <w:r w:rsidRPr="008B13A5">
              <w:rPr>
                <w:b/>
                <w:noProof/>
                <w:szCs w:val="22"/>
              </w:rPr>
              <w:t>Materials</w:t>
            </w:r>
          </w:p>
        </w:tc>
        <w:tc>
          <w:tcPr>
            <w:tcW w:w="0" w:type="auto"/>
          </w:tcPr>
          <w:p w14:paraId="0E2FAF74" w14:textId="4F0148EC" w:rsidR="00EC49AF" w:rsidRPr="008B13A5" w:rsidRDefault="00EC49AF">
            <w:pPr>
              <w:rPr>
                <w:noProof/>
                <w:szCs w:val="22"/>
              </w:rPr>
            </w:pPr>
            <w:r w:rsidRPr="008B13A5">
              <w:rPr>
                <w:noProof/>
                <w:szCs w:val="22"/>
              </w:rPr>
              <w:t>16.8 % in Materials as reported by IDC</w:t>
            </w:r>
          </w:p>
        </w:tc>
        <w:tc>
          <w:tcPr>
            <w:tcW w:w="0" w:type="auto"/>
          </w:tcPr>
          <w:p w14:paraId="566AA761" w14:textId="2AB1602F" w:rsidR="00EC49AF" w:rsidRPr="008B13A5" w:rsidRDefault="00EC49AF">
            <w:pPr>
              <w:rPr>
                <w:noProof/>
                <w:szCs w:val="22"/>
              </w:rPr>
            </w:pPr>
            <w:r w:rsidRPr="008B13A5">
              <w:rPr>
                <w:noProof/>
                <w:szCs w:val="22"/>
              </w:rPr>
              <w:t>39.5 %</w:t>
            </w:r>
            <w:r w:rsidR="00F274DD" w:rsidRPr="008B13A5">
              <w:rPr>
                <w:noProof/>
                <w:szCs w:val="22"/>
              </w:rPr>
              <w:t xml:space="preserve"> </w:t>
            </w:r>
            <w:r w:rsidRPr="008B13A5">
              <w:rPr>
                <w:noProof/>
                <w:szCs w:val="22"/>
              </w:rPr>
              <w:t>(</w:t>
            </w:r>
            <w:r w:rsidRPr="008B13A5">
              <w:rPr>
                <w:rStyle w:val="FootnoteReference"/>
                <w:noProof/>
                <w:szCs w:val="22"/>
              </w:rPr>
              <w:footnoteReference w:id="109"/>
            </w:r>
            <w:r w:rsidRPr="008B13A5">
              <w:rPr>
                <w:noProof/>
                <w:szCs w:val="22"/>
              </w:rPr>
              <w:t>)</w:t>
            </w:r>
          </w:p>
        </w:tc>
        <w:tc>
          <w:tcPr>
            <w:tcW w:w="0" w:type="auto"/>
          </w:tcPr>
          <w:p w14:paraId="54A41934" w14:textId="2851CC00" w:rsidR="00EC49AF" w:rsidRPr="008B13A5" w:rsidRDefault="00EC49AF">
            <w:pPr>
              <w:rPr>
                <w:noProof/>
                <w:szCs w:val="22"/>
              </w:rPr>
            </w:pPr>
            <w:r w:rsidRPr="008B13A5">
              <w:rPr>
                <w:noProof/>
                <w:szCs w:val="22"/>
              </w:rPr>
              <w:t>High exposure to geopolitical risks and export restrictions</w:t>
            </w:r>
            <w:r w:rsidR="009A2ECE" w:rsidRPr="008B13A5">
              <w:rPr>
                <w:noProof/>
                <w:szCs w:val="22"/>
              </w:rPr>
              <w:t>.</w:t>
            </w:r>
          </w:p>
          <w:p w14:paraId="3667C3B2" w14:textId="2E409816" w:rsidR="00EC49AF" w:rsidRPr="008B13A5" w:rsidRDefault="00EC49AF">
            <w:pPr>
              <w:rPr>
                <w:noProof/>
                <w:szCs w:val="22"/>
              </w:rPr>
            </w:pPr>
            <w:r w:rsidRPr="008B13A5">
              <w:rPr>
                <w:noProof/>
                <w:szCs w:val="22"/>
              </w:rPr>
              <w:t>Fundamental input for the entire semiconductor chain; disruption affects all downstream segments.</w:t>
            </w:r>
          </w:p>
          <w:p w14:paraId="45CB5B68" w14:textId="7BD514F0" w:rsidR="00EC49AF" w:rsidRPr="008B13A5" w:rsidRDefault="00EC49AF">
            <w:pPr>
              <w:rPr>
                <w:noProof/>
                <w:szCs w:val="22"/>
              </w:rPr>
            </w:pPr>
            <w:r w:rsidRPr="008B13A5">
              <w:rPr>
                <w:noProof/>
                <w:szCs w:val="22"/>
              </w:rPr>
              <w:t xml:space="preserve">Core enabler for front-end manufacturing and new wafers (SiC, GaN). </w:t>
            </w:r>
          </w:p>
          <w:p w14:paraId="257E7328" w14:textId="5C380585" w:rsidR="00EC49AF" w:rsidRPr="008B13A5" w:rsidRDefault="00EC49AF">
            <w:pPr>
              <w:rPr>
                <w:noProof/>
                <w:szCs w:val="22"/>
              </w:rPr>
            </w:pPr>
            <w:r w:rsidRPr="008B13A5">
              <w:rPr>
                <w:noProof/>
                <w:szCs w:val="22"/>
              </w:rPr>
              <w:t>Vulnerable to external shocks and capacity bottlenecks.</w:t>
            </w:r>
          </w:p>
        </w:tc>
        <w:tc>
          <w:tcPr>
            <w:tcW w:w="0" w:type="auto"/>
          </w:tcPr>
          <w:p w14:paraId="7F149F38" w14:textId="6213B0DC" w:rsidR="00EC49AF" w:rsidRPr="0044339C" w:rsidRDefault="00EC49AF">
            <w:pPr>
              <w:rPr>
                <w:noProof/>
                <w:szCs w:val="22"/>
              </w:rPr>
            </w:pPr>
            <w:r w:rsidRPr="0044339C">
              <w:rPr>
                <w:noProof/>
                <w:szCs w:val="22"/>
              </w:rPr>
              <w:t xml:space="preserve">Ensuring access to high-purity materials and gases is </w:t>
            </w:r>
            <w:r w:rsidRPr="0044339C">
              <w:rPr>
                <w:b/>
                <w:noProof/>
                <w:szCs w:val="22"/>
              </w:rPr>
              <w:t>essential for resilience and security of supply</w:t>
            </w:r>
            <w:r w:rsidRPr="0044339C">
              <w:rPr>
                <w:noProof/>
                <w:szCs w:val="22"/>
              </w:rPr>
              <w:t>.</w:t>
            </w:r>
          </w:p>
          <w:p w14:paraId="552D1171" w14:textId="59E2B8C0" w:rsidR="00EC49AF" w:rsidRPr="0044339C" w:rsidRDefault="00EC49AF">
            <w:pPr>
              <w:rPr>
                <w:noProof/>
                <w:szCs w:val="22"/>
              </w:rPr>
            </w:pPr>
            <w:r w:rsidRPr="0044339C">
              <w:rPr>
                <w:noProof/>
                <w:szCs w:val="22"/>
              </w:rPr>
              <w:t>Identified as a priority for strategic reserves and mandatory monitoring.</w:t>
            </w:r>
          </w:p>
        </w:tc>
      </w:tr>
      <w:tr w:rsidR="001F2B27" w:rsidRPr="008B13A5" w14:paraId="78C85B92" w14:textId="77777777" w:rsidTr="003D3D90">
        <w:trPr>
          <w:trHeight w:val="144"/>
        </w:trPr>
        <w:tc>
          <w:tcPr>
            <w:tcW w:w="0" w:type="auto"/>
          </w:tcPr>
          <w:p w14:paraId="36CAF00D" w14:textId="77777777" w:rsidR="00EC49AF" w:rsidRPr="008B13A5" w:rsidRDefault="00EC49AF">
            <w:pPr>
              <w:rPr>
                <w:b/>
                <w:noProof/>
                <w:szCs w:val="22"/>
              </w:rPr>
            </w:pPr>
            <w:r w:rsidRPr="008B13A5">
              <w:rPr>
                <w:b/>
                <w:noProof/>
                <w:szCs w:val="22"/>
              </w:rPr>
              <w:t>IP</w:t>
            </w:r>
          </w:p>
        </w:tc>
        <w:tc>
          <w:tcPr>
            <w:tcW w:w="0" w:type="auto"/>
          </w:tcPr>
          <w:p w14:paraId="2267F585" w14:textId="6E200718" w:rsidR="00EC49AF" w:rsidRPr="008B13A5" w:rsidRDefault="00EC49AF">
            <w:pPr>
              <w:rPr>
                <w:noProof/>
                <w:szCs w:val="22"/>
              </w:rPr>
            </w:pPr>
            <w:r w:rsidRPr="008B13A5">
              <w:rPr>
                <w:noProof/>
                <w:szCs w:val="22"/>
              </w:rPr>
              <w:t>~0% global share</w:t>
            </w:r>
          </w:p>
        </w:tc>
        <w:tc>
          <w:tcPr>
            <w:tcW w:w="0" w:type="auto"/>
          </w:tcPr>
          <w:p w14:paraId="0942BE25" w14:textId="3C03C750" w:rsidR="00EC49AF" w:rsidRPr="008B13A5" w:rsidRDefault="00EC49AF">
            <w:pPr>
              <w:rPr>
                <w:noProof/>
                <w:szCs w:val="22"/>
              </w:rPr>
            </w:pPr>
            <w:r w:rsidRPr="008B13A5">
              <w:rPr>
                <w:noProof/>
                <w:szCs w:val="22"/>
              </w:rPr>
              <w:t>Not applicable</w:t>
            </w:r>
          </w:p>
        </w:tc>
        <w:tc>
          <w:tcPr>
            <w:tcW w:w="0" w:type="auto"/>
          </w:tcPr>
          <w:p w14:paraId="60854836" w14:textId="04A0F8C9" w:rsidR="00EC49AF" w:rsidRPr="008B13A5" w:rsidRDefault="00EC49AF">
            <w:pPr>
              <w:rPr>
                <w:noProof/>
                <w:szCs w:val="22"/>
              </w:rPr>
            </w:pPr>
            <w:r w:rsidRPr="008B13A5">
              <w:rPr>
                <w:noProof/>
                <w:szCs w:val="22"/>
              </w:rPr>
              <w:t>Dominated by US providers, and ARM (UK-based, but owned by Softbank group, JP); structural dependency in key logic &amp; AI IP</w:t>
            </w:r>
          </w:p>
        </w:tc>
        <w:tc>
          <w:tcPr>
            <w:tcW w:w="0" w:type="auto"/>
          </w:tcPr>
          <w:p w14:paraId="7430375A" w14:textId="66BFFC4B" w:rsidR="00EC49AF" w:rsidRPr="0044339C" w:rsidRDefault="00EC49AF">
            <w:pPr>
              <w:rPr>
                <w:b/>
                <w:noProof/>
                <w:szCs w:val="22"/>
              </w:rPr>
            </w:pPr>
            <w:r w:rsidRPr="0044339C">
              <w:rPr>
                <w:b/>
                <w:noProof/>
                <w:szCs w:val="22"/>
              </w:rPr>
              <w:t>Critical upstream input</w:t>
            </w:r>
            <w:r w:rsidRPr="0044339C">
              <w:rPr>
                <w:noProof/>
                <w:szCs w:val="22"/>
              </w:rPr>
              <w:t>; absence of EU IP limits autonomy in advanced logic design</w:t>
            </w:r>
          </w:p>
        </w:tc>
      </w:tr>
      <w:tr w:rsidR="001F2B27" w:rsidRPr="008B13A5" w14:paraId="7DB5DD77" w14:textId="77777777" w:rsidTr="003D3D90">
        <w:trPr>
          <w:trHeight w:val="144"/>
        </w:trPr>
        <w:tc>
          <w:tcPr>
            <w:tcW w:w="0" w:type="auto"/>
          </w:tcPr>
          <w:p w14:paraId="396DF530" w14:textId="77777777" w:rsidR="00EC49AF" w:rsidRPr="008B13A5" w:rsidRDefault="00EC49AF">
            <w:pPr>
              <w:rPr>
                <w:b/>
                <w:noProof/>
                <w:szCs w:val="22"/>
              </w:rPr>
            </w:pPr>
            <w:r w:rsidRPr="008B13A5">
              <w:rPr>
                <w:b/>
                <w:noProof/>
                <w:szCs w:val="22"/>
              </w:rPr>
              <w:t>EDA</w:t>
            </w:r>
          </w:p>
        </w:tc>
        <w:tc>
          <w:tcPr>
            <w:tcW w:w="0" w:type="auto"/>
          </w:tcPr>
          <w:p w14:paraId="4A6403BC" w14:textId="449B501E" w:rsidR="00EC49AF" w:rsidRPr="008B13A5" w:rsidRDefault="00EC49AF">
            <w:pPr>
              <w:rPr>
                <w:noProof/>
                <w:szCs w:val="22"/>
              </w:rPr>
            </w:pPr>
            <w:r w:rsidRPr="008B13A5">
              <w:rPr>
                <w:noProof/>
                <w:szCs w:val="22"/>
              </w:rPr>
              <w:t>~20.6% (2023, IDC)</w:t>
            </w:r>
          </w:p>
        </w:tc>
        <w:tc>
          <w:tcPr>
            <w:tcW w:w="0" w:type="auto"/>
          </w:tcPr>
          <w:p w14:paraId="79F02034" w14:textId="154FC944" w:rsidR="00EC49AF" w:rsidRPr="008B13A5" w:rsidRDefault="00EC49AF">
            <w:pPr>
              <w:rPr>
                <w:noProof/>
                <w:szCs w:val="22"/>
              </w:rPr>
            </w:pPr>
            <w:r w:rsidRPr="008B13A5">
              <w:rPr>
                <w:noProof/>
                <w:szCs w:val="22"/>
              </w:rPr>
              <w:t>Not applicable (software)</w:t>
            </w:r>
          </w:p>
        </w:tc>
        <w:tc>
          <w:tcPr>
            <w:tcW w:w="0" w:type="auto"/>
          </w:tcPr>
          <w:p w14:paraId="0C107416" w14:textId="2E74FA62" w:rsidR="00EC49AF" w:rsidRPr="008B13A5" w:rsidRDefault="00EC49AF">
            <w:pPr>
              <w:rPr>
                <w:noProof/>
                <w:szCs w:val="22"/>
              </w:rPr>
            </w:pPr>
            <w:r w:rsidRPr="008B13A5">
              <w:rPr>
                <w:noProof/>
                <w:szCs w:val="22"/>
              </w:rPr>
              <w:t>Low → Moderate: EU presence exists (</w:t>
            </w:r>
            <w:r w:rsidR="00FB4460">
              <w:rPr>
                <w:noProof/>
                <w:szCs w:val="22"/>
              </w:rPr>
              <w:t>Siemens EDA</w:t>
            </w:r>
            <w:r w:rsidRPr="008B13A5">
              <w:rPr>
                <w:noProof/>
                <w:szCs w:val="22"/>
              </w:rPr>
              <w:t>), but ~80% dependency on US vendors</w:t>
            </w:r>
          </w:p>
        </w:tc>
        <w:tc>
          <w:tcPr>
            <w:tcW w:w="0" w:type="auto"/>
          </w:tcPr>
          <w:p w14:paraId="6E4239F2" w14:textId="58B64064" w:rsidR="00EC49AF" w:rsidRPr="0044339C" w:rsidRDefault="00EC49AF">
            <w:pPr>
              <w:rPr>
                <w:noProof/>
                <w:szCs w:val="22"/>
              </w:rPr>
            </w:pPr>
            <w:r w:rsidRPr="0044339C">
              <w:rPr>
                <w:b/>
                <w:noProof/>
                <w:szCs w:val="22"/>
              </w:rPr>
              <w:t>Essential for sovereign chip design capability</w:t>
            </w:r>
            <w:r w:rsidRPr="0044339C">
              <w:rPr>
                <w:noProof/>
                <w:szCs w:val="22"/>
              </w:rPr>
              <w:t xml:space="preserve">; </w:t>
            </w:r>
            <w:r w:rsidR="006542D4" w:rsidRPr="0044339C">
              <w:rPr>
                <w:noProof/>
                <w:szCs w:val="22"/>
              </w:rPr>
              <w:t xml:space="preserve">limited EU </w:t>
            </w:r>
            <w:r w:rsidR="00F77D9B" w:rsidRPr="0044339C">
              <w:rPr>
                <w:noProof/>
                <w:szCs w:val="22"/>
              </w:rPr>
              <w:t xml:space="preserve">presence, although significant participant in the western EDA ecosystem. </w:t>
            </w:r>
          </w:p>
        </w:tc>
      </w:tr>
      <w:tr w:rsidR="001F2B27" w:rsidRPr="008B13A5" w14:paraId="38689EE5" w14:textId="77777777" w:rsidTr="003D3D90">
        <w:trPr>
          <w:trHeight w:val="3519"/>
        </w:trPr>
        <w:tc>
          <w:tcPr>
            <w:tcW w:w="0" w:type="auto"/>
          </w:tcPr>
          <w:p w14:paraId="44FE1571" w14:textId="65DB744F" w:rsidR="00EC49AF" w:rsidRPr="008B13A5" w:rsidRDefault="00EC49AF">
            <w:pPr>
              <w:rPr>
                <w:noProof/>
                <w:szCs w:val="22"/>
              </w:rPr>
            </w:pPr>
            <w:r w:rsidRPr="008B13A5">
              <w:rPr>
                <w:b/>
                <w:noProof/>
                <w:szCs w:val="22"/>
              </w:rPr>
              <w:t>Semiconductor Manufacturing Equipment</w:t>
            </w:r>
          </w:p>
        </w:tc>
        <w:tc>
          <w:tcPr>
            <w:tcW w:w="0" w:type="auto"/>
          </w:tcPr>
          <w:p w14:paraId="62896997" w14:textId="7BAF957C" w:rsidR="00EC49AF" w:rsidRPr="008B13A5" w:rsidRDefault="00EC49AF">
            <w:pPr>
              <w:rPr>
                <w:noProof/>
                <w:szCs w:val="22"/>
              </w:rPr>
            </w:pPr>
            <w:r w:rsidRPr="008B13A5">
              <w:rPr>
                <w:noProof/>
                <w:szCs w:val="22"/>
              </w:rPr>
              <w:t>~24–26 % of global equipment market (2023)</w:t>
            </w:r>
          </w:p>
          <w:p w14:paraId="4CA4A204" w14:textId="4078F607" w:rsidR="00EC49AF" w:rsidRPr="008B13A5" w:rsidRDefault="00EC49AF">
            <w:pPr>
              <w:rPr>
                <w:noProof/>
                <w:szCs w:val="22"/>
              </w:rPr>
            </w:pPr>
            <w:r w:rsidRPr="008B13A5">
              <w:rPr>
                <w:noProof/>
                <w:szCs w:val="22"/>
              </w:rPr>
              <w:t>27.9 % in Capital equipment (2023) as reported by IDC</w:t>
            </w:r>
          </w:p>
        </w:tc>
        <w:tc>
          <w:tcPr>
            <w:tcW w:w="0" w:type="auto"/>
          </w:tcPr>
          <w:p w14:paraId="62E85D53" w14:textId="74CF41B0" w:rsidR="00EC49AF" w:rsidRPr="008B13A5" w:rsidRDefault="00EC49AF">
            <w:pPr>
              <w:rPr>
                <w:noProof/>
                <w:szCs w:val="22"/>
              </w:rPr>
            </w:pPr>
            <w:r w:rsidRPr="008B13A5">
              <w:rPr>
                <w:noProof/>
                <w:szCs w:val="22"/>
              </w:rPr>
              <w:t>24.2%</w:t>
            </w:r>
            <w:r w:rsidR="00F274DD" w:rsidRPr="008B13A5">
              <w:rPr>
                <w:noProof/>
                <w:szCs w:val="22"/>
              </w:rPr>
              <w:t xml:space="preserve"> </w:t>
            </w:r>
            <w:r w:rsidRPr="008B13A5">
              <w:rPr>
                <w:noProof/>
                <w:szCs w:val="22"/>
              </w:rPr>
              <w:t>(</w:t>
            </w:r>
            <w:r w:rsidRPr="008B13A5">
              <w:rPr>
                <w:rStyle w:val="FootnoteReference"/>
                <w:noProof/>
                <w:szCs w:val="22"/>
              </w:rPr>
              <w:footnoteReference w:id="110"/>
            </w:r>
            <w:r w:rsidRPr="008B13A5">
              <w:rPr>
                <w:noProof/>
                <w:szCs w:val="22"/>
              </w:rPr>
              <w:t>)</w:t>
            </w:r>
          </w:p>
        </w:tc>
        <w:tc>
          <w:tcPr>
            <w:tcW w:w="0" w:type="auto"/>
          </w:tcPr>
          <w:p w14:paraId="07512C3F" w14:textId="28F68AEE" w:rsidR="00EC49AF" w:rsidRPr="008B13A5" w:rsidRDefault="00EC49AF">
            <w:pPr>
              <w:rPr>
                <w:noProof/>
                <w:szCs w:val="22"/>
              </w:rPr>
            </w:pPr>
            <w:r w:rsidRPr="008B13A5">
              <w:rPr>
                <w:noProof/>
                <w:szCs w:val="22"/>
              </w:rPr>
              <w:t>Identified as a strategic chokepoint due to concentration of suppliers and long lead times.</w:t>
            </w:r>
          </w:p>
          <w:p w14:paraId="501B205D" w14:textId="0B887312" w:rsidR="00EC49AF" w:rsidRPr="008B13A5" w:rsidRDefault="00EC49AF">
            <w:pPr>
              <w:rPr>
                <w:noProof/>
                <w:szCs w:val="22"/>
              </w:rPr>
            </w:pPr>
            <w:r w:rsidRPr="008B13A5">
              <w:rPr>
                <w:noProof/>
                <w:szCs w:val="22"/>
              </w:rPr>
              <w:t xml:space="preserve">EU leadership (ASML) gives strategic leverage globally, but dependency on certain US and Japanese (e.g. Tokyo Electron) </w:t>
            </w:r>
            <w:r w:rsidR="005260D1">
              <w:rPr>
                <w:noProof/>
                <w:szCs w:val="22"/>
              </w:rPr>
              <w:t>is also significant</w:t>
            </w:r>
            <w:r w:rsidRPr="008B13A5">
              <w:rPr>
                <w:noProof/>
                <w:szCs w:val="22"/>
              </w:rPr>
              <w:t xml:space="preserve">. Very limited </w:t>
            </w:r>
            <w:r w:rsidR="005260D1">
              <w:rPr>
                <w:noProof/>
                <w:szCs w:val="22"/>
              </w:rPr>
              <w:t>market</w:t>
            </w:r>
            <w:r w:rsidR="005260D1" w:rsidRPr="008B13A5">
              <w:rPr>
                <w:noProof/>
                <w:szCs w:val="22"/>
              </w:rPr>
              <w:t xml:space="preserve"> </w:t>
            </w:r>
            <w:r w:rsidRPr="008B13A5">
              <w:rPr>
                <w:noProof/>
                <w:szCs w:val="22"/>
              </w:rPr>
              <w:t>for EUV/advanced manufacturing equipment in Europe.</w:t>
            </w:r>
          </w:p>
        </w:tc>
        <w:tc>
          <w:tcPr>
            <w:tcW w:w="0" w:type="auto"/>
          </w:tcPr>
          <w:p w14:paraId="3BB56175" w14:textId="24C17368" w:rsidR="00EC49AF" w:rsidRPr="0044339C" w:rsidRDefault="00EC49AF">
            <w:pPr>
              <w:rPr>
                <w:b/>
                <w:noProof/>
                <w:szCs w:val="22"/>
              </w:rPr>
            </w:pPr>
            <w:r w:rsidRPr="0044339C">
              <w:rPr>
                <w:b/>
                <w:noProof/>
                <w:szCs w:val="22"/>
              </w:rPr>
              <w:t>Central to sustaining EU’s comparative advantage</w:t>
            </w:r>
            <w:r w:rsidRPr="0044339C">
              <w:rPr>
                <w:noProof/>
                <w:szCs w:val="22"/>
              </w:rPr>
              <w:t xml:space="preserve"> in advanced manufacturing.</w:t>
            </w:r>
          </w:p>
        </w:tc>
      </w:tr>
      <w:tr w:rsidR="001F2B27" w:rsidRPr="008B13A5" w14:paraId="0E767B3E" w14:textId="77777777" w:rsidTr="003D3D90">
        <w:trPr>
          <w:trHeight w:val="5095"/>
        </w:trPr>
        <w:tc>
          <w:tcPr>
            <w:tcW w:w="0" w:type="auto"/>
          </w:tcPr>
          <w:p w14:paraId="20A4856B" w14:textId="0CB3339D" w:rsidR="00EC49AF" w:rsidRPr="008B13A5" w:rsidRDefault="005260D1">
            <w:pPr>
              <w:rPr>
                <w:b/>
                <w:noProof/>
                <w:szCs w:val="22"/>
                <w:highlight w:val="yellow"/>
              </w:rPr>
            </w:pPr>
            <w:r>
              <w:rPr>
                <w:b/>
                <w:noProof/>
                <w:szCs w:val="22"/>
              </w:rPr>
              <w:t>Semiconductor manufacturing</w:t>
            </w:r>
          </w:p>
        </w:tc>
        <w:tc>
          <w:tcPr>
            <w:tcW w:w="0" w:type="auto"/>
          </w:tcPr>
          <w:p w14:paraId="629F259F" w14:textId="4A031909" w:rsidR="00EC49AF" w:rsidRPr="008B13A5" w:rsidRDefault="00EC49AF">
            <w:pPr>
              <w:rPr>
                <w:noProof/>
                <w:szCs w:val="22"/>
              </w:rPr>
            </w:pPr>
            <w:r w:rsidRPr="008B13A5">
              <w:rPr>
                <w:noProof/>
                <w:szCs w:val="22"/>
              </w:rPr>
              <w:t>For foundry services: 0.9% (2023 IDC)</w:t>
            </w:r>
          </w:p>
          <w:p w14:paraId="0E73371B" w14:textId="7E294B5D" w:rsidR="00EC49AF" w:rsidRPr="008B13A5" w:rsidRDefault="00EC49AF">
            <w:pPr>
              <w:rPr>
                <w:noProof/>
                <w:szCs w:val="22"/>
              </w:rPr>
            </w:pPr>
            <w:r w:rsidRPr="008B13A5">
              <w:rPr>
                <w:noProof/>
                <w:szCs w:val="22"/>
              </w:rPr>
              <w:t>For ATP: ~3 % of global ATP capacity (2022; projected constant to 2032)</w:t>
            </w:r>
          </w:p>
          <w:p w14:paraId="7515C153" w14:textId="5FC783AD" w:rsidR="00EC49AF" w:rsidRPr="008B13A5" w:rsidRDefault="00EC49AF">
            <w:pPr>
              <w:rPr>
                <w:noProof/>
                <w:szCs w:val="22"/>
              </w:rPr>
            </w:pPr>
            <w:r w:rsidRPr="008B13A5">
              <w:rPr>
                <w:noProof/>
                <w:szCs w:val="22"/>
              </w:rPr>
              <w:t>IDC (2023) reports a negligible market share)</w:t>
            </w:r>
          </w:p>
          <w:p w14:paraId="5EA68808" w14:textId="7B8D3745" w:rsidR="00EC49AF" w:rsidRPr="008B13A5" w:rsidRDefault="00EC49AF">
            <w:pPr>
              <w:rPr>
                <w:noProof/>
                <w:szCs w:val="22"/>
              </w:rPr>
            </w:pPr>
            <w:r w:rsidRPr="008B13A5">
              <w:rPr>
                <w:noProof/>
                <w:szCs w:val="22"/>
              </w:rPr>
              <w:t>For IDMs: 10.1% (2023 IDC)</w:t>
            </w:r>
          </w:p>
        </w:tc>
        <w:tc>
          <w:tcPr>
            <w:tcW w:w="0" w:type="auto"/>
          </w:tcPr>
          <w:p w14:paraId="35BD96EA" w14:textId="34E2FF3B" w:rsidR="00EC49AF" w:rsidRPr="008B13A5" w:rsidRDefault="00EC49AF">
            <w:pPr>
              <w:rPr>
                <w:noProof/>
                <w:szCs w:val="22"/>
              </w:rPr>
            </w:pPr>
            <w:r w:rsidRPr="008B13A5">
              <w:rPr>
                <w:noProof/>
                <w:szCs w:val="22"/>
              </w:rPr>
              <w:t>64%</w:t>
            </w:r>
            <w:r w:rsidR="00F274DD" w:rsidRPr="008B13A5">
              <w:rPr>
                <w:noProof/>
                <w:szCs w:val="22"/>
              </w:rPr>
              <w:t xml:space="preserve"> </w:t>
            </w:r>
            <w:r w:rsidRPr="008B13A5">
              <w:rPr>
                <w:noProof/>
                <w:szCs w:val="22"/>
              </w:rPr>
              <w:t>(</w:t>
            </w:r>
            <w:r w:rsidRPr="008B13A5">
              <w:rPr>
                <w:rStyle w:val="FootnoteReference"/>
                <w:noProof/>
                <w:szCs w:val="22"/>
              </w:rPr>
              <w:footnoteReference w:id="111"/>
            </w:r>
            <w:r w:rsidRPr="008B13A5">
              <w:rPr>
                <w:noProof/>
                <w:szCs w:val="22"/>
              </w:rPr>
              <w:t>)</w:t>
            </w:r>
          </w:p>
        </w:tc>
        <w:tc>
          <w:tcPr>
            <w:tcW w:w="0" w:type="auto"/>
          </w:tcPr>
          <w:p w14:paraId="45535A16" w14:textId="60D0B366" w:rsidR="00EC49AF" w:rsidRPr="008B13A5" w:rsidRDefault="00EC49AF">
            <w:pPr>
              <w:rPr>
                <w:noProof/>
                <w:szCs w:val="22"/>
              </w:rPr>
            </w:pPr>
            <w:r w:rsidRPr="008B13A5">
              <w:rPr>
                <w:noProof/>
                <w:szCs w:val="22"/>
              </w:rPr>
              <w:t>Foundry: Moderate. new fabs help stabilise share; leading-edge gap persists</w:t>
            </w:r>
          </w:p>
          <w:p w14:paraId="59EFA2DB" w14:textId="77777777" w:rsidR="00EC49AF" w:rsidRPr="00BD008E" w:rsidRDefault="00EC49AF">
            <w:pPr>
              <w:pStyle w:val="NormalWeb"/>
              <w:spacing w:before="0" w:beforeAutospacing="0" w:after="120" w:afterAutospacing="0"/>
              <w:jc w:val="both"/>
              <w:rPr>
                <w:noProof/>
              </w:rPr>
            </w:pPr>
            <w:r w:rsidRPr="00BD008E">
              <w:rPr>
                <w:noProof/>
              </w:rPr>
              <w:t>ATPs: Lack of data transparency and extensive offshoring to Asia create major blind spots. This vulnerability was clearly exposed during the COVID-19 pandemic, when lockdown-related shutdowns of ATP facilities in Asia disrupted global supply and caused cascading shortages across downstream industries. Also, no real-time monitoring of back-end capacity or stockpiles.</w:t>
            </w:r>
          </w:p>
          <w:p w14:paraId="737197CA" w14:textId="5329EA55" w:rsidR="00EC49AF" w:rsidRPr="008B13A5" w:rsidRDefault="00EC49AF">
            <w:pPr>
              <w:pStyle w:val="NormalWeb"/>
              <w:spacing w:before="0" w:beforeAutospacing="0" w:after="120" w:afterAutospacing="0"/>
              <w:jc w:val="both"/>
              <w:rPr>
                <w:noProof/>
                <w:sz w:val="22"/>
                <w:szCs w:val="22"/>
              </w:rPr>
            </w:pPr>
            <w:r w:rsidRPr="00BD008E">
              <w:rPr>
                <w:noProof/>
              </w:rPr>
              <w:t>IDMs: Moderate. strong in automotive/power; weak in logic &amp; memory</w:t>
            </w:r>
          </w:p>
        </w:tc>
        <w:tc>
          <w:tcPr>
            <w:tcW w:w="0" w:type="auto"/>
          </w:tcPr>
          <w:p w14:paraId="67D917E4" w14:textId="278985C3" w:rsidR="00EC49AF" w:rsidRPr="0044339C" w:rsidRDefault="00EC49AF">
            <w:pPr>
              <w:rPr>
                <w:b/>
                <w:noProof/>
                <w:szCs w:val="22"/>
                <w:highlight w:val="yellow"/>
              </w:rPr>
            </w:pPr>
            <w:r w:rsidRPr="0044339C">
              <w:rPr>
                <w:noProof/>
                <w:szCs w:val="22"/>
              </w:rPr>
              <w:t xml:space="preserve">An integrated manufacturing chain, spanning front-end fabs, IDMs and advanced back-end (ATP), is </w:t>
            </w:r>
            <w:r w:rsidRPr="0044339C">
              <w:rPr>
                <w:b/>
                <w:noProof/>
                <w:szCs w:val="22"/>
              </w:rPr>
              <w:t>the single critical enabler of Europe’s autonomy, resilience and competitiveness</w:t>
            </w:r>
            <w:r w:rsidRPr="0044339C">
              <w:rPr>
                <w:noProof/>
                <w:szCs w:val="22"/>
              </w:rPr>
              <w:t xml:space="preserve"> in semiconductors.</w:t>
            </w:r>
          </w:p>
        </w:tc>
      </w:tr>
      <w:tr w:rsidR="001F2B27" w:rsidRPr="008B13A5" w14:paraId="2C14D8FD" w14:textId="77777777" w:rsidTr="003D3D90">
        <w:trPr>
          <w:trHeight w:val="1929"/>
        </w:trPr>
        <w:tc>
          <w:tcPr>
            <w:tcW w:w="0" w:type="auto"/>
          </w:tcPr>
          <w:p w14:paraId="7262C533" w14:textId="3ADA808A" w:rsidR="00EC49AF" w:rsidRPr="008B13A5" w:rsidRDefault="00EC49AF">
            <w:pPr>
              <w:rPr>
                <w:noProof/>
                <w:szCs w:val="22"/>
              </w:rPr>
            </w:pPr>
            <w:r w:rsidRPr="008B13A5">
              <w:rPr>
                <w:b/>
                <w:noProof/>
                <w:szCs w:val="22"/>
              </w:rPr>
              <w:t>Downstream Integration</w:t>
            </w:r>
          </w:p>
        </w:tc>
        <w:tc>
          <w:tcPr>
            <w:tcW w:w="0" w:type="auto"/>
          </w:tcPr>
          <w:p w14:paraId="523420E6" w14:textId="51CFB8BE" w:rsidR="00EC49AF" w:rsidRPr="008B13A5" w:rsidRDefault="00EC49AF">
            <w:pPr>
              <w:rPr>
                <w:noProof/>
                <w:szCs w:val="22"/>
              </w:rPr>
            </w:pPr>
            <w:r w:rsidRPr="008B13A5">
              <w:rPr>
                <w:noProof/>
                <w:szCs w:val="22"/>
              </w:rPr>
              <w:t>No consolidated figure; ~34% share in global automotive semiconductors; ~60 % in SIM/ID chips</w:t>
            </w:r>
          </w:p>
        </w:tc>
        <w:tc>
          <w:tcPr>
            <w:tcW w:w="0" w:type="auto"/>
          </w:tcPr>
          <w:p w14:paraId="34DEFCA2" w14:textId="77777777" w:rsidR="00EC49AF" w:rsidRPr="008B13A5" w:rsidRDefault="00EC49AF">
            <w:pPr>
              <w:rPr>
                <w:b/>
                <w:noProof/>
                <w:szCs w:val="22"/>
              </w:rPr>
            </w:pPr>
            <w:r w:rsidRPr="008B13A5">
              <w:rPr>
                <w:noProof/>
                <w:szCs w:val="22"/>
              </w:rPr>
              <w:t>~70%*</w:t>
            </w:r>
          </w:p>
        </w:tc>
        <w:tc>
          <w:tcPr>
            <w:tcW w:w="0" w:type="auto"/>
          </w:tcPr>
          <w:p w14:paraId="698EADF6" w14:textId="44B7A854" w:rsidR="00EC49AF" w:rsidRPr="008B13A5" w:rsidRDefault="00EC49AF">
            <w:pPr>
              <w:rPr>
                <w:b/>
                <w:noProof/>
                <w:szCs w:val="22"/>
              </w:rPr>
            </w:pPr>
            <w:r w:rsidRPr="008B13A5">
              <w:rPr>
                <w:noProof/>
                <w:szCs w:val="22"/>
              </w:rPr>
              <w:t>EU downstream actors lack supply chain visibility and incentives for proactive management, although some end-customers have already begun diversifying their supplier base and geographic footprint as part of their own risk-mitigation strategies. However, these diversification efforts remain uneven across sectors and are not yet integrated into a coordinated EU-wide resilience framework.</w:t>
            </w:r>
          </w:p>
        </w:tc>
        <w:tc>
          <w:tcPr>
            <w:tcW w:w="0" w:type="auto"/>
          </w:tcPr>
          <w:p w14:paraId="21B4B1C7" w14:textId="0F27823A" w:rsidR="00EC49AF" w:rsidRPr="0044339C" w:rsidRDefault="00EC49AF">
            <w:pPr>
              <w:rPr>
                <w:b/>
                <w:noProof/>
                <w:szCs w:val="22"/>
              </w:rPr>
            </w:pPr>
            <w:r w:rsidRPr="0044339C">
              <w:rPr>
                <w:b/>
                <w:noProof/>
                <w:szCs w:val="22"/>
              </w:rPr>
              <w:t>Key to turning chip production into competitive industrial systems</w:t>
            </w:r>
            <w:r w:rsidRPr="0044339C">
              <w:rPr>
                <w:noProof/>
                <w:szCs w:val="22"/>
              </w:rPr>
              <w:t xml:space="preserve"> (automotive, robotics, energy). </w:t>
            </w:r>
          </w:p>
        </w:tc>
      </w:tr>
      <w:tr w:rsidR="001F2B27" w:rsidRPr="008B13A5" w14:paraId="472DABF2" w14:textId="77777777" w:rsidTr="003D3D90">
        <w:trPr>
          <w:trHeight w:val="4851"/>
        </w:trPr>
        <w:tc>
          <w:tcPr>
            <w:tcW w:w="0" w:type="auto"/>
          </w:tcPr>
          <w:p w14:paraId="36D53681" w14:textId="2BF52718" w:rsidR="00EC49AF" w:rsidRPr="008B13A5" w:rsidRDefault="00EC49AF">
            <w:pPr>
              <w:rPr>
                <w:noProof/>
                <w:szCs w:val="22"/>
              </w:rPr>
            </w:pPr>
            <w:r w:rsidRPr="008B13A5">
              <w:rPr>
                <w:b/>
                <w:noProof/>
                <w:szCs w:val="22"/>
              </w:rPr>
              <w:t>End-Use Applications</w:t>
            </w:r>
          </w:p>
        </w:tc>
        <w:tc>
          <w:tcPr>
            <w:tcW w:w="0" w:type="auto"/>
          </w:tcPr>
          <w:p w14:paraId="2C98CF7A" w14:textId="2FF7C922" w:rsidR="00EC49AF" w:rsidRPr="008B13A5" w:rsidRDefault="00EC49AF">
            <w:pPr>
              <w:rPr>
                <w:noProof/>
                <w:szCs w:val="22"/>
              </w:rPr>
            </w:pPr>
            <w:r w:rsidRPr="008B13A5">
              <w:rPr>
                <w:noProof/>
                <w:szCs w:val="22"/>
              </w:rPr>
              <w:t>~34 % global share in automotive semiconductors; 64 % of EU semiconductor demand in embedded industries (vs 22 % global)</w:t>
            </w:r>
          </w:p>
        </w:tc>
        <w:tc>
          <w:tcPr>
            <w:tcW w:w="0" w:type="auto"/>
          </w:tcPr>
          <w:p w14:paraId="7D5C4246" w14:textId="7D5FCE85" w:rsidR="00EC49AF" w:rsidRPr="008B13A5" w:rsidRDefault="00EC49AF">
            <w:pPr>
              <w:rPr>
                <w:b/>
                <w:i/>
                <w:noProof/>
                <w:szCs w:val="22"/>
              </w:rPr>
            </w:pPr>
            <w:r w:rsidRPr="008B13A5">
              <w:rPr>
                <w:i/>
                <w:noProof/>
                <w:szCs w:val="22"/>
              </w:rPr>
              <w:t xml:space="preserve">Demand side, not </w:t>
            </w:r>
            <w:r w:rsidR="001F2B27">
              <w:rPr>
                <w:i/>
                <w:noProof/>
                <w:szCs w:val="22"/>
              </w:rPr>
              <w:t>considered in this analysis</w:t>
            </w:r>
            <w:r w:rsidR="001F2B27" w:rsidRPr="008B13A5">
              <w:rPr>
                <w:i/>
                <w:noProof/>
                <w:szCs w:val="22"/>
              </w:rPr>
              <w:t xml:space="preserve"> </w:t>
            </w:r>
            <w:r w:rsidRPr="008B13A5">
              <w:rPr>
                <w:i/>
                <w:noProof/>
                <w:szCs w:val="22"/>
              </w:rPr>
              <w:t>of semiconductor supply dependenc</w:t>
            </w:r>
            <w:r w:rsidR="001F2B27">
              <w:rPr>
                <w:i/>
                <w:noProof/>
                <w:szCs w:val="22"/>
              </w:rPr>
              <w:t>ies</w:t>
            </w:r>
          </w:p>
        </w:tc>
        <w:tc>
          <w:tcPr>
            <w:tcW w:w="0" w:type="auto"/>
          </w:tcPr>
          <w:p w14:paraId="57677828" w14:textId="56BDC10D" w:rsidR="00EC49AF" w:rsidRPr="008B13A5" w:rsidRDefault="00EC49AF">
            <w:pPr>
              <w:rPr>
                <w:noProof/>
                <w:szCs w:val="22"/>
              </w:rPr>
            </w:pPr>
            <w:r w:rsidRPr="008B13A5">
              <w:rPr>
                <w:noProof/>
                <w:szCs w:val="22"/>
              </w:rPr>
              <w:t xml:space="preserve">Explicitly mentioned as excluded from current Chips Act crisis-response mechanisms. </w:t>
            </w:r>
          </w:p>
          <w:p w14:paraId="377972C5" w14:textId="4F6C2836" w:rsidR="00EC49AF" w:rsidRPr="008B13A5" w:rsidRDefault="00EC49AF">
            <w:pPr>
              <w:rPr>
                <w:noProof/>
                <w:szCs w:val="22"/>
              </w:rPr>
            </w:pPr>
            <w:r w:rsidRPr="008B13A5">
              <w:rPr>
                <w:noProof/>
                <w:szCs w:val="22"/>
              </w:rPr>
              <w:t xml:space="preserve">Largest economic and societal exposure to chip shortages.  </w:t>
            </w:r>
          </w:p>
          <w:p w14:paraId="4934BA0B" w14:textId="04D2E10F" w:rsidR="00EC49AF" w:rsidRPr="008B13A5" w:rsidRDefault="00EC49AF">
            <w:pPr>
              <w:rPr>
                <w:noProof/>
                <w:szCs w:val="22"/>
              </w:rPr>
            </w:pPr>
            <w:r w:rsidRPr="008B13A5">
              <w:rPr>
                <w:noProof/>
                <w:szCs w:val="22"/>
              </w:rPr>
              <w:t>The EU has very limited presence in consumer electronics, particularly smartphones, which are the principal drivers of demand for leading-edge logic. This limits Europe’s influence over supply allocation and reinforces dependence on third-country manufacturing ecosystems.</w:t>
            </w:r>
          </w:p>
        </w:tc>
        <w:tc>
          <w:tcPr>
            <w:tcW w:w="0" w:type="auto"/>
          </w:tcPr>
          <w:p w14:paraId="06D226F8" w14:textId="4BBA53DF" w:rsidR="00EC49AF" w:rsidRPr="008B13A5" w:rsidRDefault="00EC49AF">
            <w:pPr>
              <w:rPr>
                <w:noProof/>
                <w:szCs w:val="22"/>
              </w:rPr>
            </w:pPr>
            <w:r w:rsidRPr="008B13A5">
              <w:rPr>
                <w:noProof/>
                <w:szCs w:val="22"/>
              </w:rPr>
              <w:t>Incorporating end-users into resilience governance is vital for long-term preparedness and industrial continuity.</w:t>
            </w:r>
          </w:p>
        </w:tc>
      </w:tr>
    </w:tbl>
    <w:p w14:paraId="3E2A3111" w14:textId="358499C2" w:rsidR="00EC49AF" w:rsidRPr="008B13A5" w:rsidRDefault="00EC49AF" w:rsidP="00EC49AF">
      <w:pPr>
        <w:jc w:val="left"/>
        <w:rPr>
          <w:noProof/>
          <w:szCs w:val="22"/>
        </w:rPr>
      </w:pPr>
      <w:r w:rsidRPr="008B13A5">
        <w:rPr>
          <w:noProof/>
          <w:szCs w:val="22"/>
        </w:rPr>
        <w:t xml:space="preserve">*There is no direct indicator for downstream integration dependency, as trade data in the semiconductor value-chain study stop at the chip level. </w:t>
      </w:r>
    </w:p>
    <w:p w14:paraId="73A91DF5" w14:textId="77777777" w:rsidR="00EC49AF" w:rsidRPr="008B13A5" w:rsidRDefault="00EC49AF" w:rsidP="00EC49AF">
      <w:pPr>
        <w:jc w:val="left"/>
        <w:rPr>
          <w:noProof/>
          <w:sz w:val="18"/>
          <w:szCs w:val="18"/>
        </w:rPr>
      </w:pPr>
    </w:p>
    <w:p w14:paraId="39EF3677" w14:textId="77777777" w:rsidR="00EC49AF" w:rsidRPr="008B13A5" w:rsidRDefault="00EC49AF" w:rsidP="00EC49AF">
      <w:pPr>
        <w:jc w:val="left"/>
        <w:rPr>
          <w:noProof/>
          <w:sz w:val="18"/>
          <w:szCs w:val="18"/>
        </w:rPr>
        <w:sectPr w:rsidR="00EC49AF" w:rsidRPr="008B13A5" w:rsidSect="00EC49AF">
          <w:headerReference w:type="default" r:id="rId51"/>
          <w:footerReference w:type="default" r:id="rId52"/>
          <w:headerReference w:type="first" r:id="rId53"/>
          <w:footerReference w:type="first" r:id="rId54"/>
          <w:pgSz w:w="16838" w:h="11906" w:orient="landscape"/>
          <w:pgMar w:top="1587" w:right="3655" w:bottom="707" w:left="1020" w:header="601" w:footer="1077" w:gutter="0"/>
          <w:cols w:space="720"/>
          <w:titlePg/>
          <w:docGrid w:linePitch="326"/>
        </w:sectPr>
      </w:pPr>
    </w:p>
    <w:p w14:paraId="290953D1" w14:textId="39FCF3BC" w:rsidR="00EC49AF" w:rsidRPr="008B13A5" w:rsidRDefault="00EC49AF" w:rsidP="0005276B">
      <w:pPr>
        <w:pStyle w:val="Heading3"/>
        <w:rPr>
          <w:noProof/>
        </w:rPr>
      </w:pPr>
      <w:bookmarkStart w:id="208" w:name="_Toc217395619"/>
      <w:bookmarkStart w:id="209" w:name="_Toc217396468"/>
      <w:bookmarkStart w:id="210" w:name="_Toc1224931388"/>
      <w:bookmarkStart w:id="211" w:name="_Toc223620629"/>
      <w:bookmarkStart w:id="212" w:name="_Toc230010449"/>
      <w:r w:rsidRPr="008B13A5">
        <w:rPr>
          <w:noProof/>
        </w:rPr>
        <w:t>Modelling the BAU scenario</w:t>
      </w:r>
      <w:bookmarkEnd w:id="208"/>
      <w:bookmarkEnd w:id="209"/>
      <w:bookmarkEnd w:id="210"/>
      <w:bookmarkEnd w:id="211"/>
      <w:bookmarkEnd w:id="212"/>
    </w:p>
    <w:p w14:paraId="65E13192" w14:textId="30DB800E" w:rsidR="00EC49AF" w:rsidRPr="008B13A5" w:rsidRDefault="00EC49AF" w:rsidP="00EC49AF">
      <w:pPr>
        <w:rPr>
          <w:noProof/>
        </w:rPr>
      </w:pPr>
      <w:r w:rsidRPr="008B13A5">
        <w:rPr>
          <w:noProof/>
        </w:rPr>
        <w:t xml:space="preserve">The dynamic baseline modelling builds directly on the quantitative and qualitative figures presented in the previous table, which summarises the European Union’s current position across each segment of the semiconductor global value chain. These baseline indicators covering market share, import dependency, and resilience profile serve as the starting point for projecting the EU’s relative performance to 2035 (with a check in point in 2028). Each value represents the best available estimate for 2021–2023, derived from Joint Research Centre dependency ratios, BCG–SIA and McKinsey capacity assessments, and complementary evidence from IFRI, DGE, and Eurostat. </w:t>
      </w:r>
    </w:p>
    <w:p w14:paraId="0B37942B" w14:textId="0D8D8BDF" w:rsidR="00EC49AF" w:rsidRPr="003A0D9A" w:rsidRDefault="00EC49AF" w:rsidP="00EC49AF">
      <w:pPr>
        <w:pStyle w:val="NormalWeb"/>
        <w:jc w:val="both"/>
        <w:rPr>
          <w:b/>
          <w:noProof/>
        </w:rPr>
      </w:pPr>
      <w:r w:rsidRPr="00BD008E">
        <w:rPr>
          <w:rStyle w:val="Strong"/>
          <w:b w:val="0"/>
          <w:noProof/>
        </w:rPr>
        <w:t>In addition to these structural indicators, the modelling draws on IDC’s 2023–2030 forecast series on revenue, which captures verified investment pipelines, corporate announcements, and regional growth expectations. The dataset reflects both global market recovery after the 2022 downturn and strong European capital formation driven by public subsidies and private investment in new fabs and equipment capacity.</w:t>
      </w:r>
    </w:p>
    <w:p w14:paraId="6E3BFF33" w14:textId="3AE1357B" w:rsidR="00EC49AF" w:rsidRPr="003A0D9A" w:rsidRDefault="00EC49AF" w:rsidP="00EC49AF">
      <w:pPr>
        <w:pStyle w:val="NormalWeb"/>
        <w:jc w:val="both"/>
        <w:rPr>
          <w:b/>
          <w:noProof/>
        </w:rPr>
      </w:pPr>
      <w:r w:rsidRPr="00BD008E">
        <w:rPr>
          <w:rStyle w:val="Strong"/>
          <w:b w:val="0"/>
          <w:noProof/>
        </w:rPr>
        <w:t>To inform the long-run BAU trajectory, it is important to note that growth patterns in semiconductor devices largely determine the evolution of the entire value chain, since device demand drives equipment orders, EDA tool requirements, materials usage, and foundry utilisation. This relationship underpins the approach taken for post-2030 modelling.</w:t>
      </w:r>
    </w:p>
    <w:p w14:paraId="0EBA2F9B" w14:textId="3B0B7062" w:rsidR="00EC49AF" w:rsidRPr="008B13A5" w:rsidRDefault="00EC49AF" w:rsidP="00EC49AF">
      <w:pPr>
        <w:rPr>
          <w:i/>
          <w:iCs/>
          <w:noProof/>
        </w:rPr>
      </w:pPr>
      <w:r w:rsidRPr="008B13A5">
        <w:rPr>
          <w:b/>
          <w:bCs/>
          <w:noProof/>
        </w:rPr>
        <w:t xml:space="preserve">Table </w:t>
      </w:r>
      <w:r w:rsidR="006022A4">
        <w:rPr>
          <w:b/>
          <w:bCs/>
          <w:noProof/>
        </w:rPr>
        <w:t>8</w:t>
      </w:r>
      <w:r w:rsidRPr="008B13A5">
        <w:rPr>
          <w:b/>
          <w:bCs/>
          <w:noProof/>
        </w:rPr>
        <w:t xml:space="preserve">. Compound Annual Growth Rates (CAGR) by Value Chain Segment, 2023–2030. </w:t>
      </w:r>
      <w:r w:rsidRPr="008B13A5">
        <w:rPr>
          <w:i/>
          <w:iCs/>
          <w:noProof/>
        </w:rPr>
        <w:t xml:space="preserve">Source: IDC 2030 study reporting. </w:t>
      </w:r>
    </w:p>
    <w:tbl>
      <w:tblPr>
        <w:tblStyle w:val="TableGrid"/>
        <w:tblW w:w="5000" w:type="pct"/>
        <w:tblLook w:val="04A0" w:firstRow="1" w:lastRow="0" w:firstColumn="1" w:lastColumn="0" w:noHBand="0" w:noVBand="1"/>
      </w:tblPr>
      <w:tblGrid>
        <w:gridCol w:w="5048"/>
        <w:gridCol w:w="1270"/>
        <w:gridCol w:w="1203"/>
        <w:gridCol w:w="1765"/>
      </w:tblGrid>
      <w:tr w:rsidR="00EC49AF" w:rsidRPr="008B13A5" w14:paraId="7E98609E" w14:textId="77777777">
        <w:tc>
          <w:tcPr>
            <w:tcW w:w="2755" w:type="pct"/>
          </w:tcPr>
          <w:p w14:paraId="17C10C53" w14:textId="77777777" w:rsidR="00EC49AF" w:rsidRPr="008B13A5" w:rsidRDefault="00EC49AF">
            <w:pPr>
              <w:spacing w:after="0"/>
              <w:jc w:val="center"/>
              <w:rPr>
                <w:b/>
                <w:noProof/>
              </w:rPr>
            </w:pPr>
            <w:r w:rsidRPr="008B13A5">
              <w:rPr>
                <w:b/>
                <w:noProof/>
              </w:rPr>
              <w:t>Segment</w:t>
            </w:r>
          </w:p>
        </w:tc>
        <w:tc>
          <w:tcPr>
            <w:tcW w:w="646" w:type="pct"/>
          </w:tcPr>
          <w:p w14:paraId="64029CC6" w14:textId="5047F058" w:rsidR="00EC49AF" w:rsidRPr="008B13A5" w:rsidRDefault="00EC49AF">
            <w:pPr>
              <w:spacing w:after="0"/>
              <w:jc w:val="center"/>
              <w:rPr>
                <w:b/>
                <w:noProof/>
              </w:rPr>
            </w:pPr>
            <w:r w:rsidRPr="008B13A5">
              <w:rPr>
                <w:b/>
                <w:noProof/>
              </w:rPr>
              <w:t xml:space="preserve">IDC projection in 2030 </w:t>
            </w:r>
            <w:r w:rsidRPr="008B13A5">
              <w:rPr>
                <w:b/>
                <w:bCs/>
                <w:noProof/>
              </w:rPr>
              <w:t>(EUR Billion)</w:t>
            </w:r>
          </w:p>
        </w:tc>
        <w:tc>
          <w:tcPr>
            <w:tcW w:w="612" w:type="pct"/>
          </w:tcPr>
          <w:p w14:paraId="534542DA" w14:textId="0FF3F391" w:rsidR="00EC49AF" w:rsidRPr="008B13A5" w:rsidRDefault="00EC49AF">
            <w:pPr>
              <w:spacing w:after="0"/>
              <w:rPr>
                <w:b/>
                <w:noProof/>
              </w:rPr>
            </w:pPr>
            <w:r w:rsidRPr="008B13A5">
              <w:rPr>
                <w:b/>
                <w:noProof/>
              </w:rPr>
              <w:t>Projected CAGR 2023 - 2030</w:t>
            </w:r>
          </w:p>
        </w:tc>
        <w:tc>
          <w:tcPr>
            <w:tcW w:w="987" w:type="pct"/>
          </w:tcPr>
          <w:p w14:paraId="232286C1" w14:textId="4522E34B" w:rsidR="00EC49AF" w:rsidRPr="008B13A5" w:rsidRDefault="00EC49AF">
            <w:pPr>
              <w:spacing w:after="0"/>
              <w:jc w:val="center"/>
              <w:rPr>
                <w:b/>
                <w:noProof/>
              </w:rPr>
            </w:pPr>
            <w:r w:rsidRPr="008B13A5">
              <w:rPr>
                <w:b/>
                <w:noProof/>
              </w:rPr>
              <w:t>Projected European share of global market in 2030</w:t>
            </w:r>
          </w:p>
        </w:tc>
      </w:tr>
      <w:tr w:rsidR="00EC49AF" w:rsidRPr="008B13A5" w14:paraId="5274CFC6" w14:textId="77777777">
        <w:tc>
          <w:tcPr>
            <w:tcW w:w="2755" w:type="pct"/>
          </w:tcPr>
          <w:p w14:paraId="36BF8AAE" w14:textId="02FFFFEF" w:rsidR="00EC49AF" w:rsidRPr="008B13A5" w:rsidRDefault="00EC49AF">
            <w:pPr>
              <w:spacing w:after="0"/>
              <w:jc w:val="left"/>
              <w:rPr>
                <w:noProof/>
              </w:rPr>
            </w:pPr>
            <w:r w:rsidRPr="008B13A5">
              <w:rPr>
                <w:noProof/>
              </w:rPr>
              <w:t>Intellectual Property (IP)</w:t>
            </w:r>
          </w:p>
        </w:tc>
        <w:tc>
          <w:tcPr>
            <w:tcW w:w="646" w:type="pct"/>
          </w:tcPr>
          <w:p w14:paraId="6D3803A9" w14:textId="77777777" w:rsidR="00EC49AF" w:rsidRPr="008B13A5" w:rsidRDefault="00EC49AF">
            <w:pPr>
              <w:spacing w:after="0"/>
              <w:jc w:val="center"/>
              <w:rPr>
                <w:noProof/>
              </w:rPr>
            </w:pPr>
            <w:r w:rsidRPr="008B13A5">
              <w:rPr>
                <w:noProof/>
              </w:rPr>
              <w:t>-</w:t>
            </w:r>
          </w:p>
        </w:tc>
        <w:tc>
          <w:tcPr>
            <w:tcW w:w="612" w:type="pct"/>
          </w:tcPr>
          <w:p w14:paraId="18F14B0E" w14:textId="77777777" w:rsidR="00EC49AF" w:rsidRPr="008B13A5" w:rsidRDefault="00EC49AF">
            <w:pPr>
              <w:spacing w:after="0"/>
              <w:jc w:val="center"/>
              <w:rPr>
                <w:noProof/>
              </w:rPr>
            </w:pPr>
            <w:r w:rsidRPr="008B13A5">
              <w:rPr>
                <w:noProof/>
              </w:rPr>
              <w:t>-</w:t>
            </w:r>
          </w:p>
        </w:tc>
        <w:tc>
          <w:tcPr>
            <w:tcW w:w="987" w:type="pct"/>
          </w:tcPr>
          <w:p w14:paraId="7BD917D9" w14:textId="77777777" w:rsidR="00EC49AF" w:rsidRPr="008B13A5" w:rsidRDefault="00EC49AF">
            <w:pPr>
              <w:spacing w:after="0"/>
              <w:jc w:val="center"/>
              <w:rPr>
                <w:noProof/>
                <w:color w:val="000000"/>
              </w:rPr>
            </w:pPr>
            <w:r w:rsidRPr="008B13A5">
              <w:rPr>
                <w:noProof/>
                <w:color w:val="000000"/>
              </w:rPr>
              <w:t>-</w:t>
            </w:r>
          </w:p>
        </w:tc>
      </w:tr>
      <w:tr w:rsidR="00EC49AF" w:rsidRPr="008B13A5" w14:paraId="45C6F161" w14:textId="77777777">
        <w:tc>
          <w:tcPr>
            <w:tcW w:w="2755" w:type="pct"/>
          </w:tcPr>
          <w:p w14:paraId="6653C727" w14:textId="43743744" w:rsidR="00EC49AF" w:rsidRPr="008B13A5" w:rsidRDefault="00EC49AF">
            <w:pPr>
              <w:spacing w:after="0"/>
              <w:jc w:val="left"/>
              <w:rPr>
                <w:noProof/>
              </w:rPr>
            </w:pPr>
            <w:r w:rsidRPr="008B13A5">
              <w:rPr>
                <w:noProof/>
              </w:rPr>
              <w:t>Electronic Design Automation (EDA)</w:t>
            </w:r>
          </w:p>
        </w:tc>
        <w:tc>
          <w:tcPr>
            <w:tcW w:w="646" w:type="pct"/>
          </w:tcPr>
          <w:p w14:paraId="370C1669" w14:textId="77777777" w:rsidR="00EC49AF" w:rsidRPr="008B13A5" w:rsidRDefault="00EC49AF">
            <w:pPr>
              <w:spacing w:after="0"/>
              <w:jc w:val="center"/>
              <w:rPr>
                <w:noProof/>
              </w:rPr>
            </w:pPr>
            <w:r w:rsidRPr="008B13A5">
              <w:rPr>
                <w:noProof/>
              </w:rPr>
              <w:t>3.247</w:t>
            </w:r>
          </w:p>
        </w:tc>
        <w:tc>
          <w:tcPr>
            <w:tcW w:w="612" w:type="pct"/>
          </w:tcPr>
          <w:p w14:paraId="65C47B8E" w14:textId="282D0A4F" w:rsidR="00EC49AF" w:rsidRPr="008B13A5" w:rsidRDefault="00EC49AF">
            <w:pPr>
              <w:spacing w:after="0"/>
              <w:jc w:val="center"/>
              <w:rPr>
                <w:noProof/>
              </w:rPr>
            </w:pPr>
            <w:r w:rsidRPr="008B13A5">
              <w:rPr>
                <w:noProof/>
              </w:rPr>
              <w:t>7,7 %</w:t>
            </w:r>
          </w:p>
        </w:tc>
        <w:tc>
          <w:tcPr>
            <w:tcW w:w="987" w:type="pct"/>
          </w:tcPr>
          <w:p w14:paraId="3DC4E661" w14:textId="77777777" w:rsidR="00EC49AF" w:rsidRPr="008B13A5" w:rsidRDefault="00EC49AF">
            <w:pPr>
              <w:spacing w:after="0"/>
              <w:jc w:val="center"/>
              <w:rPr>
                <w:noProof/>
                <w:color w:val="000000"/>
              </w:rPr>
            </w:pPr>
            <w:r w:rsidRPr="008B13A5">
              <w:rPr>
                <w:noProof/>
                <w:color w:val="000000"/>
              </w:rPr>
              <w:t>17,9%</w:t>
            </w:r>
          </w:p>
        </w:tc>
      </w:tr>
      <w:tr w:rsidR="00EC49AF" w:rsidRPr="008B13A5" w14:paraId="0F0E29E9" w14:textId="77777777">
        <w:tc>
          <w:tcPr>
            <w:tcW w:w="2755" w:type="pct"/>
          </w:tcPr>
          <w:p w14:paraId="7C26DD6B" w14:textId="5E51914E" w:rsidR="00EC49AF" w:rsidRPr="008B13A5" w:rsidRDefault="00EC49AF">
            <w:pPr>
              <w:spacing w:after="0"/>
              <w:jc w:val="left"/>
              <w:rPr>
                <w:noProof/>
              </w:rPr>
            </w:pPr>
            <w:r w:rsidRPr="008B13A5">
              <w:rPr>
                <w:noProof/>
              </w:rPr>
              <w:t>Capital equipment</w:t>
            </w:r>
          </w:p>
        </w:tc>
        <w:tc>
          <w:tcPr>
            <w:tcW w:w="646" w:type="pct"/>
          </w:tcPr>
          <w:p w14:paraId="7A094123" w14:textId="77777777" w:rsidR="00EC49AF" w:rsidRPr="008B13A5" w:rsidRDefault="00EC49AF">
            <w:pPr>
              <w:spacing w:after="0"/>
              <w:jc w:val="center"/>
              <w:rPr>
                <w:noProof/>
              </w:rPr>
            </w:pPr>
            <w:r w:rsidRPr="008B13A5">
              <w:rPr>
                <w:noProof/>
              </w:rPr>
              <w:t>62.785</w:t>
            </w:r>
          </w:p>
        </w:tc>
        <w:tc>
          <w:tcPr>
            <w:tcW w:w="612" w:type="pct"/>
          </w:tcPr>
          <w:p w14:paraId="5014D1E0" w14:textId="0DD37C8A" w:rsidR="00EC49AF" w:rsidRPr="008B13A5" w:rsidRDefault="00EC49AF">
            <w:pPr>
              <w:spacing w:after="0"/>
              <w:jc w:val="center"/>
              <w:rPr>
                <w:noProof/>
              </w:rPr>
            </w:pPr>
            <w:r w:rsidRPr="008B13A5">
              <w:rPr>
                <w:noProof/>
              </w:rPr>
              <w:t>9,9 %</w:t>
            </w:r>
          </w:p>
        </w:tc>
        <w:tc>
          <w:tcPr>
            <w:tcW w:w="987" w:type="pct"/>
          </w:tcPr>
          <w:p w14:paraId="49C46972" w14:textId="77777777" w:rsidR="00EC49AF" w:rsidRPr="008B13A5" w:rsidRDefault="00EC49AF">
            <w:pPr>
              <w:spacing w:after="0"/>
              <w:jc w:val="center"/>
              <w:rPr>
                <w:noProof/>
                <w:color w:val="000000"/>
              </w:rPr>
            </w:pPr>
            <w:r w:rsidRPr="008B13A5">
              <w:rPr>
                <w:noProof/>
                <w:color w:val="000000"/>
              </w:rPr>
              <w:t>33,5%</w:t>
            </w:r>
          </w:p>
        </w:tc>
      </w:tr>
      <w:tr w:rsidR="00EC49AF" w:rsidRPr="008B13A5" w14:paraId="24E6D904" w14:textId="77777777">
        <w:tc>
          <w:tcPr>
            <w:tcW w:w="2755" w:type="pct"/>
          </w:tcPr>
          <w:p w14:paraId="2D6A8DE9" w14:textId="6C094DEE" w:rsidR="00EC49AF" w:rsidRPr="008B13A5" w:rsidRDefault="00EC49AF">
            <w:pPr>
              <w:spacing w:after="0"/>
              <w:jc w:val="left"/>
              <w:rPr>
                <w:noProof/>
              </w:rPr>
            </w:pPr>
            <w:r w:rsidRPr="008B13A5">
              <w:rPr>
                <w:noProof/>
              </w:rPr>
              <w:t>Foundry services</w:t>
            </w:r>
          </w:p>
        </w:tc>
        <w:tc>
          <w:tcPr>
            <w:tcW w:w="646" w:type="pct"/>
          </w:tcPr>
          <w:p w14:paraId="6BD2FB4F" w14:textId="77777777" w:rsidR="00EC49AF" w:rsidRPr="008B13A5" w:rsidRDefault="00EC49AF">
            <w:pPr>
              <w:spacing w:after="0"/>
              <w:jc w:val="center"/>
              <w:rPr>
                <w:noProof/>
              </w:rPr>
            </w:pPr>
            <w:r w:rsidRPr="008B13A5">
              <w:rPr>
                <w:noProof/>
              </w:rPr>
              <w:t>1.007</w:t>
            </w:r>
          </w:p>
        </w:tc>
        <w:tc>
          <w:tcPr>
            <w:tcW w:w="612" w:type="pct"/>
          </w:tcPr>
          <w:p w14:paraId="17FFF379" w14:textId="543FFBAA" w:rsidR="00EC49AF" w:rsidRPr="008B13A5" w:rsidRDefault="00EC49AF">
            <w:pPr>
              <w:spacing w:after="0"/>
              <w:jc w:val="center"/>
              <w:rPr>
                <w:noProof/>
              </w:rPr>
            </w:pPr>
            <w:r w:rsidRPr="008B13A5">
              <w:rPr>
                <w:noProof/>
              </w:rPr>
              <w:t>3,0 %</w:t>
            </w:r>
          </w:p>
        </w:tc>
        <w:tc>
          <w:tcPr>
            <w:tcW w:w="987" w:type="pct"/>
          </w:tcPr>
          <w:p w14:paraId="512C207A" w14:textId="77777777" w:rsidR="00EC49AF" w:rsidRPr="008B13A5" w:rsidRDefault="00EC49AF">
            <w:pPr>
              <w:spacing w:after="0"/>
              <w:jc w:val="center"/>
              <w:rPr>
                <w:noProof/>
                <w:color w:val="000000"/>
              </w:rPr>
            </w:pPr>
            <w:r w:rsidRPr="008B13A5">
              <w:rPr>
                <w:noProof/>
                <w:color w:val="000000"/>
              </w:rPr>
              <w:t>0,5%</w:t>
            </w:r>
          </w:p>
        </w:tc>
      </w:tr>
      <w:tr w:rsidR="00EC49AF" w:rsidRPr="008B13A5" w14:paraId="2047876E" w14:textId="77777777">
        <w:tc>
          <w:tcPr>
            <w:tcW w:w="2755" w:type="pct"/>
          </w:tcPr>
          <w:p w14:paraId="4720291F" w14:textId="77777777" w:rsidR="00EC49AF" w:rsidRPr="008B13A5" w:rsidRDefault="00EC49AF">
            <w:pPr>
              <w:spacing w:after="0"/>
              <w:jc w:val="left"/>
              <w:rPr>
                <w:noProof/>
              </w:rPr>
            </w:pPr>
            <w:r w:rsidRPr="008B13A5">
              <w:rPr>
                <w:noProof/>
              </w:rPr>
              <w:t>OSAT</w:t>
            </w:r>
          </w:p>
        </w:tc>
        <w:tc>
          <w:tcPr>
            <w:tcW w:w="646" w:type="pct"/>
          </w:tcPr>
          <w:p w14:paraId="37D66CB8" w14:textId="77777777" w:rsidR="00EC49AF" w:rsidRPr="008B13A5" w:rsidRDefault="00EC49AF">
            <w:pPr>
              <w:spacing w:after="0"/>
              <w:jc w:val="center"/>
              <w:rPr>
                <w:noProof/>
              </w:rPr>
            </w:pPr>
            <w:r w:rsidRPr="008B13A5">
              <w:rPr>
                <w:noProof/>
              </w:rPr>
              <w:t>-</w:t>
            </w:r>
          </w:p>
        </w:tc>
        <w:tc>
          <w:tcPr>
            <w:tcW w:w="612" w:type="pct"/>
          </w:tcPr>
          <w:p w14:paraId="38159C3F" w14:textId="77777777" w:rsidR="00EC49AF" w:rsidRPr="008B13A5" w:rsidRDefault="00EC49AF">
            <w:pPr>
              <w:spacing w:after="0"/>
              <w:jc w:val="center"/>
              <w:rPr>
                <w:noProof/>
              </w:rPr>
            </w:pPr>
          </w:p>
        </w:tc>
        <w:tc>
          <w:tcPr>
            <w:tcW w:w="987" w:type="pct"/>
          </w:tcPr>
          <w:p w14:paraId="3017E8B7" w14:textId="77777777" w:rsidR="00EC49AF" w:rsidRPr="008B13A5" w:rsidRDefault="00EC49AF">
            <w:pPr>
              <w:spacing w:after="0"/>
              <w:jc w:val="center"/>
              <w:rPr>
                <w:noProof/>
              </w:rPr>
            </w:pPr>
            <w:r w:rsidRPr="008B13A5">
              <w:rPr>
                <w:noProof/>
              </w:rPr>
              <w:t>-</w:t>
            </w:r>
          </w:p>
        </w:tc>
      </w:tr>
      <w:tr w:rsidR="00EC49AF" w:rsidRPr="008B13A5" w14:paraId="43614D6B" w14:textId="77777777">
        <w:tc>
          <w:tcPr>
            <w:tcW w:w="2755" w:type="pct"/>
          </w:tcPr>
          <w:p w14:paraId="73233D5B" w14:textId="53AA2E30" w:rsidR="00EC49AF" w:rsidRPr="008B13A5" w:rsidRDefault="00EC49AF">
            <w:pPr>
              <w:spacing w:after="0"/>
              <w:jc w:val="left"/>
              <w:rPr>
                <w:noProof/>
              </w:rPr>
            </w:pPr>
            <w:r w:rsidRPr="008B13A5">
              <w:rPr>
                <w:noProof/>
              </w:rPr>
              <w:t>Semiconductor devices</w:t>
            </w:r>
          </w:p>
        </w:tc>
        <w:tc>
          <w:tcPr>
            <w:tcW w:w="646" w:type="pct"/>
          </w:tcPr>
          <w:p w14:paraId="29F5C751" w14:textId="77777777" w:rsidR="00EC49AF" w:rsidRPr="008B13A5" w:rsidRDefault="00EC49AF">
            <w:pPr>
              <w:spacing w:after="0"/>
              <w:jc w:val="center"/>
              <w:rPr>
                <w:noProof/>
              </w:rPr>
            </w:pPr>
            <w:r w:rsidRPr="008B13A5">
              <w:rPr>
                <w:noProof/>
              </w:rPr>
              <w:t>85.073</w:t>
            </w:r>
          </w:p>
        </w:tc>
        <w:tc>
          <w:tcPr>
            <w:tcW w:w="612" w:type="pct"/>
          </w:tcPr>
          <w:p w14:paraId="54EC409F" w14:textId="12D4A41D" w:rsidR="00EC49AF" w:rsidRPr="008B13A5" w:rsidRDefault="00EC49AF">
            <w:pPr>
              <w:spacing w:after="0"/>
              <w:jc w:val="center"/>
              <w:rPr>
                <w:noProof/>
              </w:rPr>
            </w:pPr>
            <w:r w:rsidRPr="008B13A5">
              <w:rPr>
                <w:noProof/>
              </w:rPr>
              <w:t>7,7 %</w:t>
            </w:r>
          </w:p>
        </w:tc>
        <w:tc>
          <w:tcPr>
            <w:tcW w:w="987" w:type="pct"/>
          </w:tcPr>
          <w:p w14:paraId="0677F792" w14:textId="77777777" w:rsidR="00EC49AF" w:rsidRPr="008B13A5" w:rsidRDefault="00EC49AF">
            <w:pPr>
              <w:spacing w:after="0"/>
              <w:jc w:val="center"/>
              <w:rPr>
                <w:noProof/>
                <w:color w:val="000000"/>
              </w:rPr>
            </w:pPr>
            <w:r w:rsidRPr="008B13A5">
              <w:rPr>
                <w:noProof/>
                <w:color w:val="000000"/>
              </w:rPr>
              <w:t>9,6%</w:t>
            </w:r>
          </w:p>
        </w:tc>
      </w:tr>
      <w:tr w:rsidR="00EC49AF" w:rsidRPr="008B13A5" w14:paraId="596030D4" w14:textId="77777777">
        <w:tc>
          <w:tcPr>
            <w:tcW w:w="2755" w:type="pct"/>
          </w:tcPr>
          <w:p w14:paraId="06E3D040" w14:textId="77777777" w:rsidR="00EC49AF" w:rsidRPr="008B13A5" w:rsidRDefault="00EC49AF">
            <w:pPr>
              <w:spacing w:after="0"/>
              <w:jc w:val="left"/>
              <w:rPr>
                <w:noProof/>
              </w:rPr>
            </w:pPr>
            <w:r w:rsidRPr="008B13A5">
              <w:rPr>
                <w:noProof/>
              </w:rPr>
              <w:t>Materials</w:t>
            </w:r>
          </w:p>
        </w:tc>
        <w:tc>
          <w:tcPr>
            <w:tcW w:w="646" w:type="pct"/>
          </w:tcPr>
          <w:p w14:paraId="6CB8DA93" w14:textId="77777777" w:rsidR="00EC49AF" w:rsidRPr="008B13A5" w:rsidRDefault="00EC49AF">
            <w:pPr>
              <w:spacing w:after="0"/>
              <w:jc w:val="center"/>
              <w:rPr>
                <w:noProof/>
              </w:rPr>
            </w:pPr>
            <w:r w:rsidRPr="008B13A5">
              <w:rPr>
                <w:noProof/>
              </w:rPr>
              <w:t>14.319</w:t>
            </w:r>
          </w:p>
        </w:tc>
        <w:tc>
          <w:tcPr>
            <w:tcW w:w="612" w:type="pct"/>
          </w:tcPr>
          <w:p w14:paraId="0AA62381" w14:textId="1A6E407F" w:rsidR="00EC49AF" w:rsidRPr="008B13A5" w:rsidRDefault="00EC49AF">
            <w:pPr>
              <w:spacing w:after="0"/>
              <w:jc w:val="center"/>
              <w:rPr>
                <w:noProof/>
              </w:rPr>
            </w:pPr>
            <w:r w:rsidRPr="008B13A5">
              <w:rPr>
                <w:noProof/>
              </w:rPr>
              <w:t>5,1 %</w:t>
            </w:r>
          </w:p>
        </w:tc>
        <w:tc>
          <w:tcPr>
            <w:tcW w:w="987" w:type="pct"/>
          </w:tcPr>
          <w:p w14:paraId="22ACC722" w14:textId="77777777" w:rsidR="00EC49AF" w:rsidRPr="008B13A5" w:rsidRDefault="00EC49AF">
            <w:pPr>
              <w:spacing w:after="0"/>
              <w:jc w:val="center"/>
              <w:rPr>
                <w:noProof/>
                <w:color w:val="000000"/>
              </w:rPr>
            </w:pPr>
            <w:r w:rsidRPr="008B13A5">
              <w:rPr>
                <w:noProof/>
                <w:color w:val="000000"/>
              </w:rPr>
              <w:t>18,7%</w:t>
            </w:r>
          </w:p>
        </w:tc>
      </w:tr>
      <w:tr w:rsidR="00EC49AF" w:rsidRPr="008B13A5" w14:paraId="26C977CF" w14:textId="77777777">
        <w:tc>
          <w:tcPr>
            <w:tcW w:w="2755" w:type="pct"/>
          </w:tcPr>
          <w:p w14:paraId="5A3E07CF" w14:textId="77777777" w:rsidR="00EC49AF" w:rsidRPr="008B13A5" w:rsidRDefault="00EC49AF">
            <w:pPr>
              <w:spacing w:after="0"/>
              <w:jc w:val="left"/>
              <w:rPr>
                <w:noProof/>
              </w:rPr>
            </w:pPr>
            <w:r w:rsidRPr="008B13A5">
              <w:rPr>
                <w:b/>
                <w:noProof/>
              </w:rPr>
              <w:t>Total</w:t>
            </w:r>
          </w:p>
        </w:tc>
        <w:tc>
          <w:tcPr>
            <w:tcW w:w="646" w:type="pct"/>
          </w:tcPr>
          <w:p w14:paraId="18BE8564" w14:textId="77777777" w:rsidR="00EC49AF" w:rsidRPr="008B13A5" w:rsidRDefault="00EC49AF">
            <w:pPr>
              <w:spacing w:after="0"/>
              <w:jc w:val="center"/>
              <w:rPr>
                <w:noProof/>
              </w:rPr>
            </w:pPr>
            <w:r w:rsidRPr="008B13A5">
              <w:rPr>
                <w:noProof/>
              </w:rPr>
              <w:t>166.432</w:t>
            </w:r>
          </w:p>
        </w:tc>
        <w:tc>
          <w:tcPr>
            <w:tcW w:w="612" w:type="pct"/>
          </w:tcPr>
          <w:p w14:paraId="60100419" w14:textId="77777777" w:rsidR="00EC49AF" w:rsidRPr="008B13A5" w:rsidRDefault="00EC49AF">
            <w:pPr>
              <w:spacing w:after="0"/>
              <w:jc w:val="center"/>
              <w:rPr>
                <w:noProof/>
              </w:rPr>
            </w:pPr>
            <w:r w:rsidRPr="008B13A5">
              <w:rPr>
                <w:noProof/>
              </w:rPr>
              <w:t>8.3%</w:t>
            </w:r>
          </w:p>
        </w:tc>
        <w:tc>
          <w:tcPr>
            <w:tcW w:w="987" w:type="pct"/>
          </w:tcPr>
          <w:p w14:paraId="617A2AD1" w14:textId="77777777" w:rsidR="00EC49AF" w:rsidRPr="008B13A5" w:rsidRDefault="00EC49AF">
            <w:pPr>
              <w:spacing w:after="0"/>
              <w:jc w:val="center"/>
              <w:rPr>
                <w:noProof/>
              </w:rPr>
            </w:pPr>
            <w:r w:rsidRPr="008B13A5">
              <w:rPr>
                <w:noProof/>
              </w:rPr>
              <w:t>11.6%</w:t>
            </w:r>
          </w:p>
        </w:tc>
      </w:tr>
    </w:tbl>
    <w:p w14:paraId="1A05F88C" w14:textId="54E24E39" w:rsidR="00EC49AF" w:rsidRPr="008A2B9F" w:rsidRDefault="00CF6BFD" w:rsidP="00BD008E">
      <w:pPr>
        <w:rPr>
          <w:noProof/>
        </w:rPr>
      </w:pPr>
      <w:r>
        <w:rPr>
          <w:rStyle w:val="Strong"/>
          <w:b w:val="0"/>
          <w:bCs w:val="0"/>
          <w:noProof/>
        </w:rPr>
        <w:br/>
      </w:r>
      <w:r w:rsidR="00EC49AF" w:rsidRPr="008A2B9F">
        <w:rPr>
          <w:rStyle w:val="Strong"/>
          <w:b w:val="0"/>
          <w:bCs w:val="0"/>
          <w:noProof/>
        </w:rPr>
        <w:t>To extend the BAU projection to 2035, we are applying a rate consistent with long-term global semiconductor trends observed in the literature. WSTS publishes only short- to medium-term forecasts, but a range of industry sources provide useful evidence for long-term semiconductor market growth. According to the WSTS Spring 2025 forecast, the global semiconductor market is expected to rebound strongly, expanding by +15.4 % in 2025 to USD 728 billion, followed by +9.9 % growth in 2026 to USD 800 billion. Looking further ahead, several independent analyses converge around a mid-single-digit long-term Compound Annual Growth Rate (CAGR). RootsAnalysis projects a 5.08 % CAGR from 2024 to 2035 for the global semiconductor market. Alvarez &amp; Marsal, using WSTS historical data, assume a 5–6 % CAGR to support their projection that the industry will reach USD 1 trillion by the mid-2030s. Similarly, the Futurum Group states that the semiconductor industry has stabilised around a 6 % long-term growth rate, which they adopt as the benchmark for their forecasts. Taken together, these sources justify the use of a 5–6 % compound annual growth rate (CAGR) as an industry consensus long-term assumption for modelling global semiconductor market expansion. Given these structural conditions, Europe’s semiconductor value chain revenues are assumed to grow in line with but below global averages.</w:t>
      </w:r>
    </w:p>
    <w:p w14:paraId="721CDD1C" w14:textId="7EFE4674" w:rsidR="00EC49AF" w:rsidRPr="008A2B9F" w:rsidRDefault="00EC49AF" w:rsidP="00BD008E">
      <w:pPr>
        <w:rPr>
          <w:noProof/>
        </w:rPr>
      </w:pPr>
      <w:r w:rsidRPr="008A2B9F">
        <w:rPr>
          <w:rStyle w:val="Strong"/>
          <w:b w:val="0"/>
          <w:bCs w:val="0"/>
          <w:noProof/>
        </w:rPr>
        <w:t>In addition, the modelling distinguishes between value-chain segments according to their exposure to global AI-driven growth. Semiconductor devices shape demand for upstream activities and therefore drive overall value-chain dynamics. However, only certain upstream segments in Europe are positioned to benefit from AI-related revenue expansion. In particular, EDA and capital equipment suppliers, including ASML, are tightly linked to global leading-edge logic and AI accelerator demand, and their revenues can therefore be assumed to follow the global long-run CAGR (5</w:t>
      </w:r>
      <w:r w:rsidR="00CC2F3C">
        <w:rPr>
          <w:rStyle w:val="Strong"/>
          <w:b w:val="0"/>
          <w:bCs w:val="0"/>
          <w:noProof/>
        </w:rPr>
        <w:t>-</w:t>
      </w:r>
      <w:r w:rsidRPr="008A2B9F">
        <w:rPr>
          <w:rStyle w:val="Strong"/>
          <w:b w:val="0"/>
          <w:bCs w:val="0"/>
          <w:noProof/>
        </w:rPr>
        <w:t>6%). In contrast, materials, devices, and foundry services in the EU remain tied to mature-node production</w:t>
      </w:r>
      <w:r w:rsidR="00F96391">
        <w:rPr>
          <w:rStyle w:val="Strong"/>
          <w:b w:val="0"/>
          <w:bCs w:val="0"/>
          <w:noProof/>
        </w:rPr>
        <w:t xml:space="preserve"> as well as </w:t>
      </w:r>
      <w:r w:rsidRPr="008A2B9F">
        <w:rPr>
          <w:rStyle w:val="Strong"/>
          <w:b w:val="0"/>
          <w:bCs w:val="0"/>
          <w:noProof/>
        </w:rPr>
        <w:t>automotive and industrial applications, justifying a more conservative 3</w:t>
      </w:r>
      <w:r w:rsidR="00CC2F3C">
        <w:rPr>
          <w:rStyle w:val="Strong"/>
          <w:b w:val="0"/>
          <w:bCs w:val="0"/>
          <w:noProof/>
        </w:rPr>
        <w:t>-</w:t>
      </w:r>
      <w:r w:rsidRPr="008A2B9F">
        <w:rPr>
          <w:rStyle w:val="Strong"/>
          <w:b w:val="0"/>
          <w:bCs w:val="0"/>
          <w:noProof/>
        </w:rPr>
        <w:t>4 % CAGR over 2030–2035.</w:t>
      </w:r>
    </w:p>
    <w:p w14:paraId="585B7B99" w14:textId="7BE1CF97" w:rsidR="00EC49AF" w:rsidRPr="008B13A5" w:rsidRDefault="00EC49AF" w:rsidP="00EC49AF">
      <w:pPr>
        <w:pStyle w:val="NormalWeb"/>
        <w:spacing w:before="0" w:beforeAutospacing="0"/>
        <w:jc w:val="both"/>
        <w:rPr>
          <w:b/>
          <w:bCs/>
          <w:noProof/>
          <w:sz w:val="22"/>
          <w:szCs w:val="22"/>
        </w:rPr>
      </w:pPr>
      <w:r w:rsidRPr="008B13A5">
        <w:rPr>
          <w:b/>
          <w:bCs/>
          <w:noProof/>
          <w:sz w:val="22"/>
          <w:szCs w:val="22"/>
        </w:rPr>
        <w:t xml:space="preserve">Table </w:t>
      </w:r>
      <w:r w:rsidR="006022A4">
        <w:rPr>
          <w:b/>
          <w:bCs/>
          <w:noProof/>
          <w:sz w:val="22"/>
          <w:szCs w:val="22"/>
        </w:rPr>
        <w:t>9</w:t>
      </w:r>
      <w:r w:rsidRPr="008B13A5">
        <w:rPr>
          <w:b/>
          <w:bCs/>
          <w:noProof/>
          <w:sz w:val="22"/>
          <w:szCs w:val="22"/>
        </w:rPr>
        <w:t xml:space="preserve">. Assumptions for the revenue growth model. </w:t>
      </w:r>
      <w:r w:rsidRPr="008B13A5">
        <w:rPr>
          <w:i/>
          <w:iCs/>
          <w:noProof/>
          <w:sz w:val="22"/>
          <w:szCs w:val="22"/>
        </w:rPr>
        <w:t>Source: Compiled by the authors</w:t>
      </w:r>
      <w:r w:rsidRPr="008B13A5">
        <w:rPr>
          <w:b/>
          <w:bCs/>
          <w:noProof/>
          <w:sz w:val="22"/>
          <w:szCs w:val="22"/>
        </w:rPr>
        <w:t>.</w:t>
      </w:r>
    </w:p>
    <w:tbl>
      <w:tblPr>
        <w:tblStyle w:val="TableGrid"/>
        <w:tblW w:w="0" w:type="auto"/>
        <w:tblLook w:val="04A0" w:firstRow="1" w:lastRow="0" w:firstColumn="1" w:lastColumn="0" w:noHBand="0" w:noVBand="1"/>
      </w:tblPr>
      <w:tblGrid>
        <w:gridCol w:w="1474"/>
        <w:gridCol w:w="2171"/>
        <w:gridCol w:w="3408"/>
        <w:gridCol w:w="2233"/>
      </w:tblGrid>
      <w:tr w:rsidR="00EC49AF" w:rsidRPr="008B13A5" w14:paraId="7A5F0434" w14:textId="77777777">
        <w:tc>
          <w:tcPr>
            <w:tcW w:w="0" w:type="auto"/>
          </w:tcPr>
          <w:p w14:paraId="48A1834F" w14:textId="77777777" w:rsidR="00EC49AF" w:rsidRPr="008B13A5" w:rsidRDefault="00EC49AF">
            <w:pPr>
              <w:spacing w:after="0"/>
              <w:jc w:val="center"/>
              <w:rPr>
                <w:b/>
                <w:bCs/>
                <w:noProof/>
              </w:rPr>
            </w:pPr>
            <w:r w:rsidRPr="008B13A5">
              <w:rPr>
                <w:b/>
                <w:bCs/>
                <w:noProof/>
              </w:rPr>
              <w:t>Parameter</w:t>
            </w:r>
          </w:p>
        </w:tc>
        <w:tc>
          <w:tcPr>
            <w:tcW w:w="0" w:type="auto"/>
          </w:tcPr>
          <w:p w14:paraId="773748A9" w14:textId="5104EDC2" w:rsidR="00EC49AF" w:rsidRPr="008B13A5" w:rsidRDefault="00EC49AF">
            <w:pPr>
              <w:spacing w:after="0"/>
              <w:jc w:val="center"/>
              <w:rPr>
                <w:b/>
                <w:bCs/>
                <w:noProof/>
              </w:rPr>
            </w:pPr>
            <w:r w:rsidRPr="008B13A5">
              <w:rPr>
                <w:b/>
                <w:bCs/>
                <w:noProof/>
              </w:rPr>
              <w:t>Global market</w:t>
            </w:r>
          </w:p>
        </w:tc>
        <w:tc>
          <w:tcPr>
            <w:tcW w:w="0" w:type="auto"/>
          </w:tcPr>
          <w:p w14:paraId="1EEB68DE" w14:textId="45CDFF1D" w:rsidR="00EC49AF" w:rsidRPr="008B13A5" w:rsidRDefault="00EC49AF">
            <w:pPr>
              <w:spacing w:after="0"/>
              <w:jc w:val="center"/>
              <w:rPr>
                <w:b/>
                <w:bCs/>
                <w:noProof/>
              </w:rPr>
            </w:pPr>
            <w:r w:rsidRPr="008B13A5">
              <w:rPr>
                <w:b/>
                <w:bCs/>
                <w:noProof/>
              </w:rPr>
              <w:t>Europe (BAU)</w:t>
            </w:r>
          </w:p>
        </w:tc>
        <w:tc>
          <w:tcPr>
            <w:tcW w:w="0" w:type="auto"/>
          </w:tcPr>
          <w:p w14:paraId="4822CEA9" w14:textId="77777777" w:rsidR="00EC49AF" w:rsidRPr="008B13A5" w:rsidRDefault="00EC49AF">
            <w:pPr>
              <w:spacing w:after="0"/>
              <w:jc w:val="center"/>
              <w:rPr>
                <w:b/>
                <w:bCs/>
                <w:noProof/>
              </w:rPr>
            </w:pPr>
            <w:r w:rsidRPr="008B13A5">
              <w:rPr>
                <w:b/>
                <w:bCs/>
                <w:noProof/>
              </w:rPr>
              <w:t>Comment</w:t>
            </w:r>
          </w:p>
        </w:tc>
      </w:tr>
      <w:tr w:rsidR="00EC49AF" w:rsidRPr="008B13A5" w14:paraId="0CF7B98B" w14:textId="77777777">
        <w:tc>
          <w:tcPr>
            <w:tcW w:w="0" w:type="auto"/>
          </w:tcPr>
          <w:p w14:paraId="2A3144CA" w14:textId="23DA8922" w:rsidR="00EC49AF" w:rsidRPr="008B13A5" w:rsidRDefault="00EC49AF">
            <w:pPr>
              <w:spacing w:after="0"/>
              <w:jc w:val="left"/>
              <w:rPr>
                <w:noProof/>
              </w:rPr>
            </w:pPr>
            <w:r w:rsidRPr="008B13A5">
              <w:rPr>
                <w:b/>
                <w:bCs/>
                <w:noProof/>
              </w:rPr>
              <w:t>2030–2035 CAGR</w:t>
            </w:r>
          </w:p>
        </w:tc>
        <w:tc>
          <w:tcPr>
            <w:tcW w:w="0" w:type="auto"/>
          </w:tcPr>
          <w:p w14:paraId="3F28C3A3" w14:textId="7C2D15E5" w:rsidR="00EC49AF" w:rsidRPr="008B13A5" w:rsidRDefault="00EC49AF">
            <w:pPr>
              <w:spacing w:after="0"/>
              <w:jc w:val="left"/>
              <w:rPr>
                <w:noProof/>
              </w:rPr>
            </w:pPr>
            <w:r w:rsidRPr="008B13A5">
              <w:rPr>
                <w:noProof/>
              </w:rPr>
              <w:t xml:space="preserve">5–6 % </w:t>
            </w:r>
          </w:p>
        </w:tc>
        <w:tc>
          <w:tcPr>
            <w:tcW w:w="0" w:type="auto"/>
          </w:tcPr>
          <w:p w14:paraId="19E61E48" w14:textId="6DDB5D92" w:rsidR="00EC49AF" w:rsidRPr="008B13A5" w:rsidRDefault="00EC49AF">
            <w:pPr>
              <w:spacing w:after="0"/>
              <w:jc w:val="left"/>
              <w:rPr>
                <w:noProof/>
              </w:rPr>
            </w:pPr>
            <w:r w:rsidRPr="008B13A5">
              <w:rPr>
                <w:noProof/>
              </w:rPr>
              <w:t>Two rates applied: 5–6 % for EDA and equipment; 3–4 % for materials, devices, and foundry (3.5% taken as a central estimate)</w:t>
            </w:r>
          </w:p>
        </w:tc>
        <w:tc>
          <w:tcPr>
            <w:tcW w:w="0" w:type="auto"/>
          </w:tcPr>
          <w:p w14:paraId="2C24705F" w14:textId="219732D4" w:rsidR="00EC49AF" w:rsidRPr="008B13A5" w:rsidRDefault="00EC49AF">
            <w:pPr>
              <w:spacing w:after="0"/>
              <w:jc w:val="left"/>
              <w:rPr>
                <w:noProof/>
              </w:rPr>
            </w:pPr>
            <w:r w:rsidRPr="008B13A5">
              <w:rPr>
                <w:noProof/>
              </w:rPr>
              <w:t>Adjusted for limited exposure to AI-driven growth and mature product mix</w:t>
            </w:r>
          </w:p>
        </w:tc>
      </w:tr>
      <w:tr w:rsidR="00EC49AF" w:rsidRPr="008B13A5" w14:paraId="2345FD53" w14:textId="77777777">
        <w:tc>
          <w:tcPr>
            <w:tcW w:w="0" w:type="auto"/>
          </w:tcPr>
          <w:p w14:paraId="1695B27C" w14:textId="66F3112D" w:rsidR="00EC49AF" w:rsidRPr="008B13A5" w:rsidRDefault="00EC49AF">
            <w:pPr>
              <w:spacing w:after="0"/>
              <w:jc w:val="left"/>
              <w:rPr>
                <w:noProof/>
              </w:rPr>
            </w:pPr>
            <w:r w:rsidRPr="008B13A5">
              <w:rPr>
                <w:b/>
                <w:bCs/>
                <w:noProof/>
              </w:rPr>
              <w:t>Growth driver</w:t>
            </w:r>
          </w:p>
        </w:tc>
        <w:tc>
          <w:tcPr>
            <w:tcW w:w="0" w:type="auto"/>
          </w:tcPr>
          <w:p w14:paraId="07ED003D" w14:textId="71943585" w:rsidR="00EC49AF" w:rsidRPr="008B13A5" w:rsidRDefault="00EC49AF">
            <w:pPr>
              <w:spacing w:after="0"/>
              <w:jc w:val="left"/>
              <w:rPr>
                <w:noProof/>
              </w:rPr>
            </w:pPr>
            <w:r w:rsidRPr="008B13A5">
              <w:rPr>
                <w:noProof/>
              </w:rPr>
              <w:t>AI logic, HBM, accelerators</w:t>
            </w:r>
          </w:p>
        </w:tc>
        <w:tc>
          <w:tcPr>
            <w:tcW w:w="0" w:type="auto"/>
          </w:tcPr>
          <w:p w14:paraId="2A2ED8B0" w14:textId="1A169F88" w:rsidR="00EC49AF" w:rsidRPr="008B13A5" w:rsidRDefault="00EC49AF">
            <w:pPr>
              <w:spacing w:after="0"/>
              <w:jc w:val="left"/>
              <w:rPr>
                <w:noProof/>
              </w:rPr>
            </w:pPr>
            <w:r w:rsidRPr="008B13A5">
              <w:rPr>
                <w:noProof/>
              </w:rPr>
              <w:t>Automotive, power, industrial semiconductors</w:t>
            </w:r>
          </w:p>
        </w:tc>
        <w:tc>
          <w:tcPr>
            <w:tcW w:w="0" w:type="auto"/>
          </w:tcPr>
          <w:p w14:paraId="623B9813" w14:textId="2F174D5C" w:rsidR="00EC49AF" w:rsidRPr="008B13A5" w:rsidRDefault="00EC49AF">
            <w:pPr>
              <w:spacing w:after="0"/>
              <w:jc w:val="left"/>
              <w:rPr>
                <w:noProof/>
              </w:rPr>
            </w:pPr>
            <w:r w:rsidRPr="008B13A5">
              <w:rPr>
                <w:noProof/>
              </w:rPr>
              <w:t>ASP divergence</w:t>
            </w:r>
          </w:p>
        </w:tc>
      </w:tr>
      <w:tr w:rsidR="00EC49AF" w:rsidRPr="008B13A5" w14:paraId="4BAE9FB3" w14:textId="77777777">
        <w:tc>
          <w:tcPr>
            <w:tcW w:w="0" w:type="auto"/>
          </w:tcPr>
          <w:p w14:paraId="4F142C9F" w14:textId="40EF2F82" w:rsidR="00EC49AF" w:rsidRPr="008B13A5" w:rsidRDefault="00EC49AF">
            <w:pPr>
              <w:spacing w:after="0"/>
              <w:jc w:val="left"/>
              <w:rPr>
                <w:noProof/>
              </w:rPr>
            </w:pPr>
            <w:r w:rsidRPr="008B13A5">
              <w:rPr>
                <w:b/>
                <w:bCs/>
                <w:noProof/>
              </w:rPr>
              <w:t>Relative global share</w:t>
            </w:r>
          </w:p>
        </w:tc>
        <w:tc>
          <w:tcPr>
            <w:tcW w:w="0" w:type="auto"/>
          </w:tcPr>
          <w:p w14:paraId="5400B6F0" w14:textId="608EE882" w:rsidR="00EC49AF" w:rsidRPr="008B13A5" w:rsidRDefault="00EC49AF">
            <w:pPr>
              <w:spacing w:after="0"/>
              <w:jc w:val="left"/>
              <w:rPr>
                <w:noProof/>
              </w:rPr>
            </w:pPr>
            <w:r w:rsidRPr="008B13A5">
              <w:rPr>
                <w:noProof/>
              </w:rPr>
              <w:t>Concentration in Asia and US</w:t>
            </w:r>
          </w:p>
        </w:tc>
        <w:tc>
          <w:tcPr>
            <w:tcW w:w="0" w:type="auto"/>
          </w:tcPr>
          <w:p w14:paraId="3A76F399" w14:textId="5B133237" w:rsidR="00EC49AF" w:rsidRPr="008B13A5" w:rsidRDefault="00EC49AF">
            <w:pPr>
              <w:spacing w:after="0"/>
              <w:jc w:val="left"/>
              <w:rPr>
                <w:noProof/>
              </w:rPr>
            </w:pPr>
            <w:r w:rsidRPr="008B13A5">
              <w:rPr>
                <w:noProof/>
              </w:rPr>
              <w:t>Stable at 11–12 %</w:t>
            </w:r>
            <w:r w:rsidR="00F274DD" w:rsidRPr="008B13A5">
              <w:rPr>
                <w:noProof/>
              </w:rPr>
              <w:t xml:space="preserve"> </w:t>
            </w:r>
            <w:r w:rsidRPr="008B13A5">
              <w:rPr>
                <w:noProof/>
              </w:rPr>
              <w:t>(</w:t>
            </w:r>
            <w:r w:rsidRPr="008B13A5">
              <w:rPr>
                <w:rStyle w:val="FootnoteReference"/>
                <w:noProof/>
              </w:rPr>
              <w:footnoteReference w:id="112"/>
            </w:r>
            <w:r w:rsidRPr="008B13A5">
              <w:rPr>
                <w:noProof/>
              </w:rPr>
              <w:t>)</w:t>
            </w:r>
          </w:p>
        </w:tc>
        <w:tc>
          <w:tcPr>
            <w:tcW w:w="0" w:type="auto"/>
          </w:tcPr>
          <w:p w14:paraId="006C0955" w14:textId="4D4B5BEF" w:rsidR="00EC49AF" w:rsidRPr="008B13A5" w:rsidRDefault="00EC49AF">
            <w:pPr>
              <w:spacing w:after="0"/>
              <w:jc w:val="left"/>
              <w:rPr>
                <w:noProof/>
              </w:rPr>
            </w:pPr>
            <w:r w:rsidRPr="008B13A5">
              <w:rPr>
                <w:noProof/>
              </w:rPr>
              <w:t>No structural capacity shift expected</w:t>
            </w:r>
          </w:p>
        </w:tc>
      </w:tr>
      <w:tr w:rsidR="00EC49AF" w:rsidRPr="008B13A5" w14:paraId="574D1550" w14:textId="77777777">
        <w:tc>
          <w:tcPr>
            <w:tcW w:w="0" w:type="auto"/>
          </w:tcPr>
          <w:p w14:paraId="05317B1C" w14:textId="6C1EC3CA" w:rsidR="00EC49AF" w:rsidRPr="008B13A5" w:rsidRDefault="00EC49AF">
            <w:pPr>
              <w:spacing w:after="0"/>
              <w:jc w:val="left"/>
              <w:rPr>
                <w:noProof/>
              </w:rPr>
            </w:pPr>
            <w:r w:rsidRPr="008B13A5">
              <w:rPr>
                <w:b/>
                <w:bCs/>
                <w:noProof/>
              </w:rPr>
              <w:t>Key risks</w:t>
            </w:r>
          </w:p>
        </w:tc>
        <w:tc>
          <w:tcPr>
            <w:tcW w:w="0" w:type="auto"/>
          </w:tcPr>
          <w:p w14:paraId="564CA162" w14:textId="39914316" w:rsidR="00EC49AF" w:rsidRPr="008B13A5" w:rsidRDefault="00EC49AF">
            <w:pPr>
              <w:spacing w:after="0"/>
              <w:jc w:val="left"/>
              <w:rPr>
                <w:noProof/>
              </w:rPr>
            </w:pPr>
            <w:r w:rsidRPr="008B13A5">
              <w:rPr>
                <w:noProof/>
              </w:rPr>
              <w:t>AI-cycle volatility, trade barriers, CAPEX constraints</w:t>
            </w:r>
          </w:p>
        </w:tc>
        <w:tc>
          <w:tcPr>
            <w:tcW w:w="0" w:type="auto"/>
          </w:tcPr>
          <w:p w14:paraId="54D81FFD" w14:textId="515826E7" w:rsidR="00EC49AF" w:rsidRPr="008B13A5" w:rsidRDefault="00EC49AF">
            <w:pPr>
              <w:spacing w:after="0"/>
              <w:jc w:val="left"/>
              <w:rPr>
                <w:noProof/>
              </w:rPr>
            </w:pPr>
            <w:r w:rsidRPr="008B13A5">
              <w:rPr>
                <w:noProof/>
              </w:rPr>
              <w:t>Energy prices, project delays, limited AI participation</w:t>
            </w:r>
          </w:p>
        </w:tc>
        <w:tc>
          <w:tcPr>
            <w:tcW w:w="0" w:type="auto"/>
          </w:tcPr>
          <w:p w14:paraId="025022A0" w14:textId="4116762D" w:rsidR="00EC49AF" w:rsidRPr="008B13A5" w:rsidRDefault="00EC49AF">
            <w:pPr>
              <w:spacing w:after="0"/>
              <w:jc w:val="left"/>
              <w:rPr>
                <w:noProof/>
              </w:rPr>
            </w:pPr>
            <w:r w:rsidRPr="008B13A5">
              <w:rPr>
                <w:noProof/>
              </w:rPr>
              <w:t>Structural, not cyclical</w:t>
            </w:r>
          </w:p>
        </w:tc>
      </w:tr>
    </w:tbl>
    <w:p w14:paraId="433778F4" w14:textId="20E5D303" w:rsidR="00EC49AF" w:rsidRPr="00F96391" w:rsidRDefault="00EC49AF" w:rsidP="0005276B">
      <w:pPr>
        <w:pStyle w:val="NormalWeb"/>
        <w:jc w:val="both"/>
        <w:rPr>
          <w:rStyle w:val="Strong"/>
          <w:b w:val="0"/>
          <w:bCs w:val="0"/>
          <w:noProof/>
        </w:rPr>
      </w:pPr>
      <w:r w:rsidRPr="00BD008E">
        <w:rPr>
          <w:rStyle w:val="Strong"/>
          <w:b w:val="0"/>
          <w:noProof/>
        </w:rPr>
        <w:t xml:space="preserve">The BAU projection therefore applies differentiated growth assumptions across value-chain segments, with EDA and equipment following a 5–6 % CAGR and materials, devices and foundry following a 3–4 % CAGR. To illustrate these differentiated growth paths, the 2030 IDC values for the relevant segments (Table </w:t>
      </w:r>
      <w:r w:rsidR="00F814A8">
        <w:rPr>
          <w:rStyle w:val="Strong"/>
          <w:b w:val="0"/>
          <w:bCs w:val="0"/>
          <w:noProof/>
        </w:rPr>
        <w:t>2</w:t>
      </w:r>
      <w:r>
        <w:rPr>
          <w:rStyle w:val="Strong"/>
          <w:b w:val="0"/>
          <w:noProof/>
        </w:rPr>
        <w:t>)</w:t>
      </w:r>
      <w:r w:rsidRPr="00BD008E">
        <w:rPr>
          <w:rStyle w:val="Strong"/>
          <w:b w:val="0"/>
          <w:noProof/>
        </w:rPr>
        <w:t xml:space="preserve"> are projected forward to 2035:</w:t>
      </w:r>
    </w:p>
    <w:p w14:paraId="4227FFC8" w14:textId="7456CAD6" w:rsidR="00EC49AF" w:rsidRPr="007F292A" w:rsidRDefault="00EC49AF" w:rsidP="0005276B">
      <w:pPr>
        <w:pStyle w:val="NormalWeb"/>
        <w:rPr>
          <w:noProof/>
          <w:lang w:val="nl-NL"/>
        </w:rPr>
      </w:pPr>
      <w:r w:rsidRPr="007F292A">
        <w:rPr>
          <w:noProof/>
          <w:lang w:val="nl-NL"/>
        </w:rPr>
        <w:t xml:space="preserve">• </w:t>
      </w:r>
      <w:r w:rsidRPr="007F292A">
        <w:rPr>
          <w:rStyle w:val="Strong"/>
          <w:noProof/>
          <w:lang w:val="nl-NL"/>
        </w:rPr>
        <w:t>EDA (EUR 3.247 bn, 2030)</w:t>
      </w:r>
      <w:r w:rsidRPr="007F292A">
        <w:rPr>
          <w:noProof/>
          <w:lang w:val="nl-NL"/>
        </w:rPr>
        <w:br/>
      </w:r>
      <w:r w:rsidRPr="008B13A5">
        <w:rPr>
          <w:noProof/>
        </w:rPr>
        <w:t> </w:t>
      </w:r>
      <w:r w:rsidRPr="007F292A">
        <w:rPr>
          <w:noProof/>
          <w:lang w:val="nl-NL"/>
        </w:rPr>
        <w:t xml:space="preserve">– 5 % CAGR → </w:t>
      </w:r>
      <w:r w:rsidRPr="007F292A">
        <w:rPr>
          <w:rStyle w:val="Strong"/>
          <w:noProof/>
          <w:lang w:val="nl-NL"/>
        </w:rPr>
        <w:t>EUR 4.14 bn in 2035</w:t>
      </w:r>
      <w:r w:rsidRPr="007F292A">
        <w:rPr>
          <w:noProof/>
          <w:lang w:val="nl-NL"/>
        </w:rPr>
        <w:br/>
      </w:r>
      <w:r w:rsidRPr="008B13A5">
        <w:rPr>
          <w:noProof/>
        </w:rPr>
        <w:t> </w:t>
      </w:r>
      <w:r w:rsidRPr="007F292A">
        <w:rPr>
          <w:noProof/>
          <w:lang w:val="nl-NL"/>
        </w:rPr>
        <w:t xml:space="preserve">– 6 % CAGR → </w:t>
      </w:r>
      <w:r w:rsidRPr="007F292A">
        <w:rPr>
          <w:rStyle w:val="Strong"/>
          <w:noProof/>
          <w:lang w:val="nl-NL"/>
        </w:rPr>
        <w:t>EUR 4.33 bn in 2035</w:t>
      </w:r>
    </w:p>
    <w:p w14:paraId="138C7F04" w14:textId="434FEB75" w:rsidR="00EC49AF" w:rsidRPr="008B13A5" w:rsidRDefault="00EC49AF" w:rsidP="0005276B">
      <w:pPr>
        <w:pStyle w:val="NormalWeb"/>
        <w:rPr>
          <w:noProof/>
        </w:rPr>
      </w:pPr>
      <w:r w:rsidRPr="008B13A5">
        <w:rPr>
          <w:noProof/>
        </w:rPr>
        <w:t xml:space="preserve">• </w:t>
      </w:r>
      <w:r w:rsidRPr="008B13A5">
        <w:rPr>
          <w:rStyle w:val="Strong"/>
          <w:noProof/>
        </w:rPr>
        <w:t>Capital equipment (EUR 62.785 bn, 2030)</w:t>
      </w:r>
      <w:r w:rsidRPr="008B13A5">
        <w:rPr>
          <w:noProof/>
        </w:rPr>
        <w:br/>
      </w:r>
      <w:r w:rsidRPr="008B13A5">
        <w:rPr>
          <w:noProof/>
        </w:rPr>
        <w:t> </w:t>
      </w:r>
      <w:r w:rsidRPr="008B13A5">
        <w:rPr>
          <w:noProof/>
        </w:rPr>
        <w:t xml:space="preserve">– 5 % CAGR → </w:t>
      </w:r>
      <w:r w:rsidRPr="008B13A5">
        <w:rPr>
          <w:rStyle w:val="Strong"/>
          <w:noProof/>
        </w:rPr>
        <w:t>EUR 80.2 bn in 2035</w:t>
      </w:r>
      <w:r w:rsidRPr="008B13A5">
        <w:rPr>
          <w:noProof/>
        </w:rPr>
        <w:br/>
      </w:r>
      <w:r w:rsidRPr="008B13A5">
        <w:rPr>
          <w:noProof/>
        </w:rPr>
        <w:t> </w:t>
      </w:r>
      <w:r w:rsidRPr="008B13A5">
        <w:rPr>
          <w:noProof/>
        </w:rPr>
        <w:t xml:space="preserve">– 6 % CAGR → </w:t>
      </w:r>
      <w:r w:rsidRPr="008B13A5">
        <w:rPr>
          <w:rStyle w:val="Strong"/>
          <w:noProof/>
        </w:rPr>
        <w:t>EUR 83.9 bn in 2035</w:t>
      </w:r>
    </w:p>
    <w:p w14:paraId="0FF16A63" w14:textId="6BD88298" w:rsidR="00EC49AF" w:rsidRPr="008B13A5" w:rsidRDefault="00EC49AF" w:rsidP="0005276B">
      <w:pPr>
        <w:pStyle w:val="NormalWeb"/>
        <w:rPr>
          <w:rStyle w:val="Strong"/>
          <w:noProof/>
        </w:rPr>
      </w:pPr>
      <w:r w:rsidRPr="008B13A5">
        <w:rPr>
          <w:rStyle w:val="Strong"/>
          <w:noProof/>
        </w:rPr>
        <w:t>Subtotal for EDA + equipment in 2035:</w:t>
      </w:r>
      <w:r w:rsidRPr="008B13A5">
        <w:rPr>
          <w:b/>
          <w:bCs/>
          <w:noProof/>
        </w:rPr>
        <w:br/>
      </w:r>
      <w:r w:rsidRPr="008B13A5">
        <w:rPr>
          <w:b/>
          <w:bCs/>
          <w:noProof/>
        </w:rPr>
        <w:t> </w:t>
      </w:r>
      <w:r w:rsidRPr="008B13A5">
        <w:rPr>
          <w:rStyle w:val="Strong"/>
          <w:noProof/>
        </w:rPr>
        <w:t>EUR 84.3–88.2 bn</w:t>
      </w:r>
    </w:p>
    <w:p w14:paraId="3B8B18B4" w14:textId="506A72EE" w:rsidR="00EC49AF" w:rsidRPr="008B13A5" w:rsidRDefault="00EC49AF" w:rsidP="0005276B">
      <w:pPr>
        <w:pStyle w:val="NormalWeb"/>
        <w:rPr>
          <w:noProof/>
        </w:rPr>
      </w:pPr>
      <w:r w:rsidRPr="008B13A5">
        <w:rPr>
          <w:noProof/>
        </w:rPr>
        <w:t xml:space="preserve">• </w:t>
      </w:r>
      <w:r w:rsidRPr="008B13A5">
        <w:rPr>
          <w:rStyle w:val="Strong"/>
          <w:noProof/>
        </w:rPr>
        <w:t>Devices (EUR 85.073 bn, 2030), as also discussed in section 13.1.1, and included here for the sake of completeness</w:t>
      </w:r>
      <w:r w:rsidRPr="008B13A5">
        <w:rPr>
          <w:noProof/>
        </w:rPr>
        <w:br/>
      </w:r>
      <w:r w:rsidRPr="008B13A5">
        <w:rPr>
          <w:noProof/>
        </w:rPr>
        <w:t> </w:t>
      </w:r>
      <w:r w:rsidRPr="008B13A5">
        <w:rPr>
          <w:noProof/>
        </w:rPr>
        <w:t xml:space="preserve">– 3 % CAGR → </w:t>
      </w:r>
      <w:r w:rsidRPr="008B13A5">
        <w:rPr>
          <w:rStyle w:val="Strong"/>
          <w:noProof/>
        </w:rPr>
        <w:t>EUR 98.7 bn</w:t>
      </w:r>
      <w:r w:rsidRPr="008B13A5">
        <w:rPr>
          <w:noProof/>
        </w:rPr>
        <w:br/>
      </w:r>
      <w:r w:rsidRPr="008B13A5">
        <w:rPr>
          <w:noProof/>
        </w:rPr>
        <w:t> </w:t>
      </w:r>
      <w:r w:rsidRPr="008B13A5">
        <w:rPr>
          <w:noProof/>
        </w:rPr>
        <w:t xml:space="preserve">– 4 % CAGR → </w:t>
      </w:r>
      <w:r w:rsidRPr="008B13A5">
        <w:rPr>
          <w:rStyle w:val="Strong"/>
          <w:noProof/>
        </w:rPr>
        <w:t>EUR 103.5 bn</w:t>
      </w:r>
    </w:p>
    <w:p w14:paraId="623F88D5" w14:textId="6323ACDE" w:rsidR="00EC49AF" w:rsidRPr="007F292A" w:rsidRDefault="00EC49AF" w:rsidP="0005276B">
      <w:pPr>
        <w:pStyle w:val="NormalWeb"/>
        <w:rPr>
          <w:noProof/>
          <w:lang w:val="nl-NL"/>
        </w:rPr>
      </w:pPr>
      <w:r w:rsidRPr="007F292A">
        <w:rPr>
          <w:noProof/>
          <w:lang w:val="nl-NL"/>
        </w:rPr>
        <w:t xml:space="preserve">• </w:t>
      </w:r>
      <w:r w:rsidRPr="007F292A">
        <w:rPr>
          <w:rStyle w:val="Strong"/>
          <w:noProof/>
          <w:lang w:val="nl-NL"/>
        </w:rPr>
        <w:t>Materials (EUR 14.319 bn, 2030)</w:t>
      </w:r>
      <w:r w:rsidRPr="007F292A">
        <w:rPr>
          <w:noProof/>
          <w:lang w:val="nl-NL"/>
        </w:rPr>
        <w:br/>
      </w:r>
      <w:r w:rsidRPr="008B13A5">
        <w:rPr>
          <w:noProof/>
        </w:rPr>
        <w:t> </w:t>
      </w:r>
      <w:r w:rsidRPr="007F292A">
        <w:rPr>
          <w:noProof/>
          <w:lang w:val="nl-NL"/>
        </w:rPr>
        <w:t xml:space="preserve">– 3 % CAGR → </w:t>
      </w:r>
      <w:r w:rsidRPr="007F292A">
        <w:rPr>
          <w:rStyle w:val="Strong"/>
          <w:noProof/>
          <w:lang w:val="nl-NL"/>
        </w:rPr>
        <w:t>EUR 16.6 bn</w:t>
      </w:r>
      <w:r w:rsidRPr="007F292A">
        <w:rPr>
          <w:noProof/>
          <w:lang w:val="nl-NL"/>
        </w:rPr>
        <w:br/>
      </w:r>
      <w:r w:rsidRPr="008B13A5">
        <w:rPr>
          <w:noProof/>
        </w:rPr>
        <w:t> </w:t>
      </w:r>
      <w:r w:rsidRPr="007F292A">
        <w:rPr>
          <w:noProof/>
          <w:lang w:val="nl-NL"/>
        </w:rPr>
        <w:t xml:space="preserve">– 4 % CAGR → </w:t>
      </w:r>
      <w:r w:rsidRPr="007F292A">
        <w:rPr>
          <w:rStyle w:val="Strong"/>
          <w:noProof/>
          <w:lang w:val="nl-NL"/>
        </w:rPr>
        <w:t>EUR 17.4 bn</w:t>
      </w:r>
    </w:p>
    <w:p w14:paraId="3A712C3F" w14:textId="214F3A41" w:rsidR="00EC49AF" w:rsidRPr="007F292A" w:rsidRDefault="00EC49AF" w:rsidP="0005276B">
      <w:pPr>
        <w:pStyle w:val="NormalWeb"/>
        <w:rPr>
          <w:noProof/>
          <w:lang w:val="nl-NL"/>
        </w:rPr>
      </w:pPr>
      <w:r w:rsidRPr="007F292A">
        <w:rPr>
          <w:noProof/>
          <w:lang w:val="nl-NL"/>
        </w:rPr>
        <w:t xml:space="preserve">• </w:t>
      </w:r>
      <w:r w:rsidRPr="007F292A">
        <w:rPr>
          <w:rStyle w:val="Strong"/>
          <w:noProof/>
          <w:lang w:val="nl-NL"/>
        </w:rPr>
        <w:t>Foundry (EUR 1.007 bn, 2030)</w:t>
      </w:r>
      <w:r w:rsidRPr="007F292A">
        <w:rPr>
          <w:noProof/>
          <w:lang w:val="nl-NL"/>
        </w:rPr>
        <w:br/>
      </w:r>
      <w:r w:rsidRPr="008B13A5">
        <w:rPr>
          <w:noProof/>
        </w:rPr>
        <w:t> </w:t>
      </w:r>
      <w:r w:rsidRPr="007F292A">
        <w:rPr>
          <w:noProof/>
          <w:lang w:val="nl-NL"/>
        </w:rPr>
        <w:t xml:space="preserve">– 3 % CAGR → </w:t>
      </w:r>
      <w:r w:rsidRPr="007F292A">
        <w:rPr>
          <w:rStyle w:val="Strong"/>
          <w:noProof/>
          <w:lang w:val="nl-NL"/>
        </w:rPr>
        <w:t>EUR 1.17 bn</w:t>
      </w:r>
      <w:r w:rsidRPr="007F292A">
        <w:rPr>
          <w:noProof/>
          <w:lang w:val="nl-NL"/>
        </w:rPr>
        <w:br/>
      </w:r>
      <w:r w:rsidRPr="008B13A5">
        <w:rPr>
          <w:noProof/>
        </w:rPr>
        <w:t> </w:t>
      </w:r>
      <w:r w:rsidRPr="007F292A">
        <w:rPr>
          <w:noProof/>
          <w:lang w:val="nl-NL"/>
        </w:rPr>
        <w:t xml:space="preserve">– 4 % CAGR → </w:t>
      </w:r>
      <w:r w:rsidRPr="007F292A">
        <w:rPr>
          <w:rStyle w:val="Strong"/>
          <w:noProof/>
          <w:lang w:val="nl-NL"/>
        </w:rPr>
        <w:t>EUR 1.22 bn</w:t>
      </w:r>
    </w:p>
    <w:p w14:paraId="22BB30B3" w14:textId="7FC8C3D5" w:rsidR="00EC49AF" w:rsidRPr="008B13A5" w:rsidRDefault="00EC49AF" w:rsidP="0005276B">
      <w:pPr>
        <w:pStyle w:val="NormalWeb"/>
        <w:rPr>
          <w:b/>
          <w:bCs/>
          <w:noProof/>
        </w:rPr>
      </w:pPr>
      <w:r w:rsidRPr="008B13A5">
        <w:rPr>
          <w:rStyle w:val="Strong"/>
          <w:noProof/>
        </w:rPr>
        <w:t>Subtotal for materials + devices + foundry in 2035:</w:t>
      </w:r>
      <w:r w:rsidRPr="008B13A5">
        <w:rPr>
          <w:b/>
          <w:bCs/>
          <w:noProof/>
        </w:rPr>
        <w:br/>
      </w:r>
      <w:r w:rsidRPr="008B13A5">
        <w:rPr>
          <w:b/>
          <w:bCs/>
          <w:noProof/>
        </w:rPr>
        <w:t> </w:t>
      </w:r>
      <w:r w:rsidRPr="008B13A5">
        <w:rPr>
          <w:rStyle w:val="Strong"/>
          <w:noProof/>
        </w:rPr>
        <w:t>EUR 116.5–122.1 bn</w:t>
      </w:r>
    </w:p>
    <w:p w14:paraId="02480545" w14:textId="4C776465" w:rsidR="00EC49AF" w:rsidRPr="00BD008E" w:rsidRDefault="00EC49AF" w:rsidP="0005276B">
      <w:pPr>
        <w:pStyle w:val="NormalWeb"/>
        <w:pBdr>
          <w:top w:val="single" w:sz="4" w:space="1" w:color="auto"/>
          <w:left w:val="single" w:sz="4" w:space="4" w:color="auto"/>
          <w:bottom w:val="single" w:sz="4" w:space="1" w:color="auto"/>
          <w:right w:val="single" w:sz="4" w:space="4" w:color="auto"/>
        </w:pBdr>
        <w:rPr>
          <w:noProof/>
        </w:rPr>
      </w:pPr>
      <w:r w:rsidRPr="008B13A5">
        <w:rPr>
          <w:rStyle w:val="Strong"/>
          <w:noProof/>
        </w:rPr>
        <w:t>Combined EU27 semiconductor value chain projection for 2035:</w:t>
      </w:r>
      <w:r w:rsidRPr="008B13A5">
        <w:rPr>
          <w:noProof/>
        </w:rPr>
        <w:br/>
        <w:t xml:space="preserve">• </w:t>
      </w:r>
      <w:r w:rsidRPr="008B13A5">
        <w:rPr>
          <w:rStyle w:val="Strong"/>
          <w:noProof/>
        </w:rPr>
        <w:t>Low case:</w:t>
      </w:r>
      <w:r w:rsidRPr="008B13A5">
        <w:rPr>
          <w:noProof/>
        </w:rPr>
        <w:t xml:space="preserve"> 84.3 + 116.5 ≈ </w:t>
      </w:r>
      <w:r w:rsidRPr="008B13A5">
        <w:rPr>
          <w:rStyle w:val="Strong"/>
          <w:noProof/>
        </w:rPr>
        <w:t>EUR 200.8 bn</w:t>
      </w:r>
      <w:r w:rsidRPr="008B13A5">
        <w:rPr>
          <w:noProof/>
        </w:rPr>
        <w:br/>
        <w:t xml:space="preserve">• </w:t>
      </w:r>
      <w:r w:rsidRPr="008B13A5">
        <w:rPr>
          <w:rStyle w:val="Strong"/>
          <w:noProof/>
        </w:rPr>
        <w:t>High case:</w:t>
      </w:r>
      <w:r w:rsidRPr="008B13A5">
        <w:rPr>
          <w:noProof/>
        </w:rPr>
        <w:t xml:space="preserve"> 88.2 + 122.1 ≈ </w:t>
      </w:r>
      <w:r w:rsidRPr="008B13A5">
        <w:rPr>
          <w:rStyle w:val="Strong"/>
          <w:noProof/>
        </w:rPr>
        <w:t>EUR 210.3 bn</w:t>
      </w:r>
      <w:r w:rsidRPr="008B13A5">
        <w:rPr>
          <w:noProof/>
        </w:rPr>
        <w:br/>
        <w:t xml:space="preserve">• </w:t>
      </w:r>
      <w:r w:rsidRPr="008B13A5">
        <w:rPr>
          <w:rStyle w:val="Strong"/>
          <w:noProof/>
        </w:rPr>
        <w:t xml:space="preserve">Central estimate </w:t>
      </w:r>
      <w:r w:rsidRPr="008B13A5">
        <w:rPr>
          <w:noProof/>
        </w:rPr>
        <w:t xml:space="preserve"> </w:t>
      </w:r>
      <w:r w:rsidRPr="008B13A5">
        <w:rPr>
          <w:rStyle w:val="Strong"/>
          <w:noProof/>
        </w:rPr>
        <w:t>≈ EUR 205 bn</w:t>
      </w:r>
    </w:p>
    <w:p w14:paraId="1FFECB0F" w14:textId="16CBCFF5" w:rsidR="00EC49AF" w:rsidRPr="008B13A5" w:rsidRDefault="00EC49AF" w:rsidP="00EC49AF">
      <w:pPr>
        <w:rPr>
          <w:noProof/>
        </w:rPr>
      </w:pPr>
      <w:r w:rsidRPr="008B13A5">
        <w:rPr>
          <w:noProof/>
        </w:rPr>
        <w:t>Under the revised BAU assumption, which now reflects the distinct growth trajectories of AI-exposed (EDA, equipment) and mature-node (materials, devices, foundry</w:t>
      </w:r>
      <w:r w:rsidR="00AD7339">
        <w:rPr>
          <w:rStyle w:val="FootnoteReference"/>
          <w:noProof/>
        </w:rPr>
        <w:footnoteReference w:id="113"/>
      </w:r>
      <w:r w:rsidRPr="008B13A5">
        <w:rPr>
          <w:noProof/>
        </w:rPr>
        <w:t>) activities, the EU27 semiconductor value chain increases from EUR 166.4 billion in 2030 to approximately EUR 201–210 billion in 2035. The central estimate of EUR 205 billion reflects the uplift from globally exposed equipment and EDA segments. Over the full 2023–2035 period, the EU27 semiconductor value chain is therefore projected to grow from EUR 95.9 billion to around EUR 205 billion. This corresponds to a cumulative increase of roughly 114 % and an average annual growth rate of around 6.4 %, with most of the expansion occurring before 2030, which is consistent with the assumptions in the BAU scenario described above.</w:t>
      </w:r>
    </w:p>
    <w:p w14:paraId="0CC0D1A0" w14:textId="5F339785" w:rsidR="00EC49AF" w:rsidRPr="008B13A5" w:rsidRDefault="00EC49AF" w:rsidP="00EC49AF">
      <w:pPr>
        <w:rPr>
          <w:noProof/>
        </w:rPr>
      </w:pPr>
      <w:r w:rsidRPr="008B13A5">
        <w:rPr>
          <w:noProof/>
        </w:rPr>
        <w:t>From this baseline, the modelling assesses how changes in capacity, demand, and policy conditions influence Europe’s competitiveness and vulnerability over time. This approach captures both quantitative trends, such as shifts in market share or dependency, and qualitative changes in resilience.</w:t>
      </w:r>
    </w:p>
    <w:p w14:paraId="7EF47A16" w14:textId="44CD1EF2" w:rsidR="00F96391" w:rsidRDefault="00EC49AF" w:rsidP="00EC49AF">
      <w:pPr>
        <w:rPr>
          <w:rStyle w:val="Strong"/>
          <w:noProof/>
        </w:rPr>
      </w:pPr>
      <w:r w:rsidRPr="008B13A5">
        <w:rPr>
          <w:noProof/>
        </w:rPr>
        <w:t>The forward-looking assessment is structured around three key drivers: capacity evolution, demand dynamics, and policy and geo-economic conditions. Together, these drivers determine how Europe’s market share, import dependency, and resilience are likely to develop under the business-as-usual scenario and under alternative policy scenarios.</w:t>
      </w:r>
    </w:p>
    <w:p w14:paraId="371AA901" w14:textId="5701E67F" w:rsidR="00EC49AF" w:rsidRPr="008B13A5" w:rsidRDefault="00EC49AF" w:rsidP="00EC49AF">
      <w:pPr>
        <w:rPr>
          <w:rStyle w:val="Strong"/>
          <w:noProof/>
        </w:rPr>
      </w:pPr>
      <w:r w:rsidRPr="008B13A5">
        <w:rPr>
          <w:rStyle w:val="Strong"/>
          <w:noProof/>
        </w:rPr>
        <w:t>Capacity evolution</w:t>
      </w:r>
    </w:p>
    <w:p w14:paraId="14D25F70" w14:textId="17667936" w:rsidR="00EC49AF" w:rsidRPr="008B13A5" w:rsidRDefault="00EC49AF" w:rsidP="00F47256">
      <w:pPr>
        <w:pStyle w:val="NormalWeb"/>
        <w:numPr>
          <w:ilvl w:val="0"/>
          <w:numId w:val="20"/>
        </w:numPr>
        <w:jc w:val="both"/>
        <w:rPr>
          <w:noProof/>
        </w:rPr>
      </w:pPr>
      <w:r w:rsidRPr="008B13A5">
        <w:rPr>
          <w:rStyle w:val="Strong"/>
          <w:noProof/>
        </w:rPr>
        <w:t>Effect on market share</w:t>
      </w:r>
      <w:r w:rsidRPr="008B13A5">
        <w:rPr>
          <w:noProof/>
        </w:rPr>
        <w:t>: New fabrication plants, wafer facilities, or equipment production increase the EU’s contribution to global output. Additional European capacity therefore lifts market share relative to global totals.</w:t>
      </w:r>
    </w:p>
    <w:p w14:paraId="65A3F785" w14:textId="1C177993" w:rsidR="00EC49AF" w:rsidRPr="008B13A5" w:rsidRDefault="00EC49AF" w:rsidP="00F47256">
      <w:pPr>
        <w:pStyle w:val="NormalWeb"/>
        <w:numPr>
          <w:ilvl w:val="0"/>
          <w:numId w:val="20"/>
        </w:numPr>
        <w:jc w:val="both"/>
        <w:rPr>
          <w:noProof/>
        </w:rPr>
      </w:pPr>
      <w:r w:rsidRPr="008B13A5">
        <w:rPr>
          <w:rStyle w:val="Strong"/>
          <w:noProof/>
        </w:rPr>
        <w:t>Effect on import dependency</w:t>
      </w:r>
      <w:r w:rsidRPr="008B13A5">
        <w:rPr>
          <w:noProof/>
        </w:rPr>
        <w:t xml:space="preserve">: Higher domestic output reduces the need for imports. Delays, cost overruns, or slow uptake of </w:t>
      </w:r>
      <w:r w:rsidR="00C60EA4">
        <w:rPr>
          <w:noProof/>
        </w:rPr>
        <w:t>F</w:t>
      </w:r>
      <w:r w:rsidRPr="008B13A5">
        <w:rPr>
          <w:noProof/>
        </w:rPr>
        <w:t>irst-of-a-</w:t>
      </w:r>
      <w:r w:rsidR="00C60EA4">
        <w:rPr>
          <w:noProof/>
        </w:rPr>
        <w:t>K</w:t>
      </w:r>
      <w:r w:rsidRPr="008B13A5">
        <w:rPr>
          <w:noProof/>
        </w:rPr>
        <w:t>ind facilities, as noted by the European Court of Auditors (2025), limit these gains.</w:t>
      </w:r>
    </w:p>
    <w:p w14:paraId="5E5B8D1F" w14:textId="7D4FCB54" w:rsidR="00EC49AF" w:rsidRPr="008B13A5" w:rsidRDefault="00EC49AF" w:rsidP="00F47256">
      <w:pPr>
        <w:pStyle w:val="NormalWeb"/>
        <w:numPr>
          <w:ilvl w:val="0"/>
          <w:numId w:val="20"/>
        </w:numPr>
        <w:jc w:val="both"/>
        <w:rPr>
          <w:noProof/>
        </w:rPr>
      </w:pPr>
      <w:r w:rsidRPr="008B13A5">
        <w:rPr>
          <w:rStyle w:val="Strong"/>
          <w:noProof/>
        </w:rPr>
        <w:t>Effect on resilience</w:t>
      </w:r>
      <w:r w:rsidRPr="008B13A5">
        <w:rPr>
          <w:noProof/>
        </w:rPr>
        <w:t>: More domestic capacity increases redundancy and reduces supply chain length, improving resilience in front-end manufacturing and materials.</w:t>
      </w:r>
    </w:p>
    <w:p w14:paraId="33435760" w14:textId="46F61C41" w:rsidR="00EC49AF" w:rsidRPr="008B13A5" w:rsidRDefault="00EC49AF" w:rsidP="00EC49AF">
      <w:pPr>
        <w:rPr>
          <w:noProof/>
        </w:rPr>
      </w:pPr>
      <w:r w:rsidRPr="008B13A5">
        <w:rPr>
          <w:rStyle w:val="Strong"/>
          <w:noProof/>
        </w:rPr>
        <w:t>Policy and geo-economic conditions</w:t>
      </w:r>
    </w:p>
    <w:p w14:paraId="397BCC1A" w14:textId="48312C9E" w:rsidR="00EC49AF" w:rsidRPr="008B13A5" w:rsidRDefault="00EC49AF" w:rsidP="00F47256">
      <w:pPr>
        <w:pStyle w:val="NormalWeb"/>
        <w:numPr>
          <w:ilvl w:val="0"/>
          <w:numId w:val="21"/>
        </w:numPr>
        <w:jc w:val="both"/>
        <w:rPr>
          <w:noProof/>
        </w:rPr>
      </w:pPr>
      <w:r w:rsidRPr="008B13A5">
        <w:rPr>
          <w:rStyle w:val="Strong"/>
          <w:noProof/>
        </w:rPr>
        <w:t>Regulatory shocks:</w:t>
      </w:r>
      <w:r w:rsidRPr="008B13A5">
        <w:rPr>
          <w:noProof/>
        </w:rPr>
        <w:t xml:space="preserve"> Export controls, sanctions, or other restrictions reduce access to parts of the global supply chain and raise import dependency in affected segments.</w:t>
      </w:r>
    </w:p>
    <w:p w14:paraId="5D51CD32" w14:textId="4389F4D5" w:rsidR="00EC49AF" w:rsidRPr="008B13A5" w:rsidRDefault="00EC49AF" w:rsidP="00F47256">
      <w:pPr>
        <w:pStyle w:val="NormalWeb"/>
        <w:numPr>
          <w:ilvl w:val="0"/>
          <w:numId w:val="21"/>
        </w:numPr>
        <w:jc w:val="both"/>
        <w:rPr>
          <w:noProof/>
        </w:rPr>
      </w:pPr>
      <w:r w:rsidRPr="008B13A5">
        <w:rPr>
          <w:rStyle w:val="Strong"/>
          <w:noProof/>
        </w:rPr>
        <w:t>Critical-material constraints:</w:t>
      </w:r>
      <w:r w:rsidRPr="008B13A5">
        <w:rPr>
          <w:noProof/>
        </w:rPr>
        <w:t xml:space="preserve"> Shortages of inputs such as gallium, germanium, or neon limit potential production growth. Diversification measures or strategic reserves help ease these constraints. The EU also remains exposed to export restrictions on critical materials such as gallium and germanium, where China dominates global processing and has already introduced targeted export controls. Diversification measures and the development of strategic reserves are intended to mitigate these risks, although their impact is expected to remain gradual over the baseline period.</w:t>
      </w:r>
    </w:p>
    <w:p w14:paraId="2639E982" w14:textId="136D0C02" w:rsidR="00EC49AF" w:rsidRPr="008B13A5" w:rsidRDefault="00EC49AF" w:rsidP="00F47256">
      <w:pPr>
        <w:pStyle w:val="NormalWeb"/>
        <w:numPr>
          <w:ilvl w:val="0"/>
          <w:numId w:val="21"/>
        </w:numPr>
        <w:jc w:val="both"/>
        <w:rPr>
          <w:noProof/>
        </w:rPr>
      </w:pPr>
      <w:r w:rsidRPr="008B13A5">
        <w:rPr>
          <w:rStyle w:val="Strong"/>
          <w:noProof/>
        </w:rPr>
        <w:t>Supplier concentration:</w:t>
      </w:r>
      <w:r w:rsidRPr="008B13A5">
        <w:rPr>
          <w:noProof/>
        </w:rPr>
        <w:t xml:space="preserve"> High global concentration in foundries and back-end service providers increases systemic risks and lowers resilience.</w:t>
      </w:r>
    </w:p>
    <w:p w14:paraId="16BFDAC0" w14:textId="68BAC1F6" w:rsidR="00EC49AF" w:rsidRPr="008B13A5" w:rsidRDefault="00EC49AF" w:rsidP="00F47256">
      <w:pPr>
        <w:pStyle w:val="NormalWeb"/>
        <w:numPr>
          <w:ilvl w:val="0"/>
          <w:numId w:val="21"/>
        </w:numPr>
        <w:jc w:val="both"/>
        <w:rPr>
          <w:noProof/>
        </w:rPr>
      </w:pPr>
      <w:r w:rsidRPr="008B13A5">
        <w:rPr>
          <w:b/>
          <w:noProof/>
        </w:rPr>
        <w:t>Environmental disruptions</w:t>
      </w:r>
      <w:r w:rsidRPr="008B13A5">
        <w:rPr>
          <w:noProof/>
        </w:rPr>
        <w:t>: More frequent floods, storms, and droughts can interrupt global semiconductor production and logistics, as seen in Taiwan and Japan. These events increase volatility in import availability and may heighten dependency in the short term. Strengthening monitoring, stockpiling, and diversification helps mitigate these risks.</w:t>
      </w:r>
    </w:p>
    <w:p w14:paraId="5937A5E8" w14:textId="539093B9" w:rsidR="00EC49AF" w:rsidRPr="008B13A5" w:rsidRDefault="00EC49AF" w:rsidP="00F47256">
      <w:pPr>
        <w:pStyle w:val="NormalWeb"/>
        <w:numPr>
          <w:ilvl w:val="0"/>
          <w:numId w:val="21"/>
        </w:numPr>
        <w:jc w:val="both"/>
        <w:rPr>
          <w:noProof/>
        </w:rPr>
      </w:pPr>
      <w:r w:rsidRPr="008B13A5">
        <w:rPr>
          <w:rStyle w:val="Strong"/>
          <w:noProof/>
        </w:rPr>
        <w:t>Positive policy levers:</w:t>
      </w:r>
      <w:r w:rsidRPr="008B13A5">
        <w:rPr>
          <w:noProof/>
        </w:rPr>
        <w:t xml:space="preserve"> Investments supported by the Chips Joint Undertaking, IPCEIs, and State-aid schemes can accelerate technology diffusion and expand domestic capacity. These measures can improve market share and resilience while gradually lowering import dependency.</w:t>
      </w:r>
    </w:p>
    <w:p w14:paraId="46E48AED" w14:textId="0FACF7DE" w:rsidR="00EC49AF" w:rsidRPr="008B13A5" w:rsidRDefault="00EC49AF" w:rsidP="00EC49AF">
      <w:pPr>
        <w:pStyle w:val="NormalWeb"/>
        <w:jc w:val="both"/>
        <w:rPr>
          <w:b/>
          <w:bCs/>
          <w:noProof/>
        </w:rPr>
      </w:pPr>
      <w:r w:rsidRPr="008B13A5">
        <w:rPr>
          <w:b/>
          <w:bCs/>
          <w:noProof/>
        </w:rPr>
        <w:t>Overview of Business-as-Usual (BAU) scenario</w:t>
      </w:r>
    </w:p>
    <w:p w14:paraId="48B2712D" w14:textId="6904C876" w:rsidR="00EC49AF" w:rsidRPr="008B13A5" w:rsidRDefault="00EC49AF" w:rsidP="00EC49AF">
      <w:pPr>
        <w:rPr>
          <w:noProof/>
        </w:rPr>
      </w:pPr>
      <w:r w:rsidRPr="008B13A5">
        <w:rPr>
          <w:noProof/>
        </w:rPr>
        <w:t xml:space="preserve">The Business-as-Usual (BAU) modelling indicates that Europe’s position in the global semiconductor value chain remains broadly stable, but increasingly constrained by demand as consumption grows faster than domestic production through to 2035. Installed wafer-fabrication capacity in Europe is projected to reach around 1.39 million wafers per month (300 mm equivalent) by 2030, an increase of approximately 31 percent compared with 2023, with a </w:t>
      </w:r>
      <w:r w:rsidRPr="008B13A5">
        <w:rPr>
          <w:b/>
          <w:noProof/>
        </w:rPr>
        <w:t>3.9% annual growth rate</w:t>
      </w:r>
      <w:r w:rsidRPr="008B13A5">
        <w:rPr>
          <w:noProof/>
        </w:rPr>
        <w:t xml:space="preserve">. Applying assumed organic growth of 2% to 4% per year from 2030 onwards to reflect incremental brownfield expansion and future, currently unannounced projects, </w:t>
      </w:r>
      <w:r w:rsidRPr="008B13A5">
        <w:rPr>
          <w:b/>
          <w:noProof/>
        </w:rPr>
        <w:t>overall capacity is projected to reach between 1.</w:t>
      </w:r>
      <w:r w:rsidRPr="008B13A5">
        <w:rPr>
          <w:b/>
          <w:bCs/>
          <w:noProof/>
        </w:rPr>
        <w:t>54</w:t>
      </w:r>
      <w:r w:rsidRPr="008B13A5">
        <w:rPr>
          <w:b/>
          <w:noProof/>
        </w:rPr>
        <w:t xml:space="preserve"> and 1.69 million wafers per month by 2035</w:t>
      </w:r>
      <w:r w:rsidRPr="008B13A5">
        <w:rPr>
          <w:noProof/>
        </w:rPr>
        <w:t>. Given that global capacity is expected to expand at 3% to 5% per year, Europe’s share of global wafer capacity therefore remains relatively stable at around 8%.</w:t>
      </w:r>
    </w:p>
    <w:p w14:paraId="00ACA557" w14:textId="76D17099" w:rsidR="00EC49AF" w:rsidRPr="008B13A5" w:rsidRDefault="00EC49AF" w:rsidP="00EC49AF">
      <w:pPr>
        <w:rPr>
          <w:noProof/>
        </w:rPr>
      </w:pPr>
      <w:r w:rsidRPr="008B13A5">
        <w:rPr>
          <w:noProof/>
        </w:rPr>
        <w:t>However, capacity stability contrasts with an</w:t>
      </w:r>
      <w:r w:rsidRPr="008B13A5" w:rsidDel="00C945C7">
        <w:rPr>
          <w:noProof/>
        </w:rPr>
        <w:t xml:space="preserve"> </w:t>
      </w:r>
      <w:r w:rsidRPr="008B13A5">
        <w:rPr>
          <w:noProof/>
        </w:rPr>
        <w:t>expansion in European chip demand, especially from the automotive and industrial sectors. The World Semiconductor Trade Statistics (WSTS) projects a 75% increase in semiconductor shipments to Europe between 2017 and 2027, while the European semiconductor market which is valued at around EUR 50 billion in 2023 continues to grow</w:t>
      </w:r>
      <w:r w:rsidR="00F274DD" w:rsidRPr="008B13A5">
        <w:rPr>
          <w:noProof/>
        </w:rPr>
        <w:t xml:space="preserve"> </w:t>
      </w:r>
      <w:r w:rsidRPr="008B13A5">
        <w:rPr>
          <w:noProof/>
        </w:rPr>
        <w:t>(</w:t>
      </w:r>
      <w:r w:rsidRPr="008B13A5">
        <w:rPr>
          <w:rStyle w:val="FootnoteReference"/>
          <w:noProof/>
        </w:rPr>
        <w:footnoteReference w:id="114"/>
      </w:r>
      <w:r w:rsidRPr="008B13A5">
        <w:rPr>
          <w:noProof/>
        </w:rPr>
        <w:t>). The automotive segment alone represents approximately 37% of semiconductors shipped to Europe, expanding from EUR 13.05 billion in 2023 to EUR 17.38 billion by 2026, an 8.2 percent CAGR</w:t>
      </w:r>
      <w:r w:rsidR="00F274DD" w:rsidRPr="008B13A5">
        <w:rPr>
          <w:noProof/>
        </w:rPr>
        <w:t xml:space="preserve"> </w:t>
      </w:r>
      <w:r w:rsidRPr="008B13A5">
        <w:rPr>
          <w:noProof/>
        </w:rPr>
        <w:t>(</w:t>
      </w:r>
      <w:r w:rsidRPr="008B13A5">
        <w:rPr>
          <w:rStyle w:val="FootnoteReference"/>
          <w:noProof/>
        </w:rPr>
        <w:footnoteReference w:id="115"/>
      </w:r>
      <w:r w:rsidRPr="008B13A5">
        <w:rPr>
          <w:noProof/>
        </w:rPr>
        <w:t>). This is driven by rising semiconductor intensity per vehicle, particularly in electric and connected models that integrate up to 3,000 chips per unit, compared with 1,000–1,500 in conventional vehicles. Parallel growth in the industrial and communication sectors with shipments of analogue, logic, and sensor components up by 30–40% since 2020 further amplifies domestic consumption</w:t>
      </w:r>
      <w:r w:rsidR="00F274DD" w:rsidRPr="008B13A5">
        <w:rPr>
          <w:noProof/>
        </w:rPr>
        <w:t xml:space="preserve"> </w:t>
      </w:r>
      <w:r w:rsidRPr="008B13A5">
        <w:rPr>
          <w:noProof/>
        </w:rPr>
        <w:t>(</w:t>
      </w:r>
      <w:r w:rsidRPr="008B13A5">
        <w:rPr>
          <w:rStyle w:val="FootnoteReference"/>
          <w:noProof/>
        </w:rPr>
        <w:footnoteReference w:id="116"/>
      </w:r>
      <w:r w:rsidRPr="008B13A5">
        <w:rPr>
          <w:noProof/>
        </w:rPr>
        <w:t>).</w:t>
      </w:r>
    </w:p>
    <w:p w14:paraId="7A4FB3D9" w14:textId="771F4378" w:rsidR="00EC49AF" w:rsidRPr="008B13A5" w:rsidRDefault="00EC49AF" w:rsidP="00EC49AF">
      <w:pPr>
        <w:rPr>
          <w:noProof/>
        </w:rPr>
      </w:pPr>
      <w:r w:rsidRPr="008B13A5">
        <w:rPr>
          <w:noProof/>
        </w:rPr>
        <w:t xml:space="preserve">Although Europe has expanded its semiconductor manufacturing capacity since the COVID-19 shortages, in the long term this growth remains insufficient to keep pace with projected increases in semiconductor </w:t>
      </w:r>
      <w:r w:rsidRPr="008B13A5" w:rsidDel="004F3171">
        <w:rPr>
          <w:noProof/>
        </w:rPr>
        <w:t>consumption</w:t>
      </w:r>
      <w:r w:rsidRPr="008B13A5">
        <w:rPr>
          <w:noProof/>
        </w:rPr>
        <w:t xml:space="preserve">. As a result, apparent consumption continues to outstrip domestic output, and import dependence remains high. Only limited improvements are visible in the upstream segments, where diversification efforts modestly reduce reliance on non-EU inputs. </w:t>
      </w:r>
    </w:p>
    <w:p w14:paraId="5EB38358" w14:textId="7A1B346D" w:rsidR="00EC49AF" w:rsidRPr="008B13A5" w:rsidRDefault="00EC49AF" w:rsidP="00EC49AF">
      <w:pPr>
        <w:rPr>
          <w:noProof/>
        </w:rPr>
      </w:pPr>
      <w:r w:rsidRPr="008B13A5">
        <w:rPr>
          <w:noProof/>
        </w:rPr>
        <w:t xml:space="preserve">Europe retains a strong position in lithography through ASML, which helps sustain a stable share of roughly 25% in this specific subsegment of semiconductor manufacturing equipment. However, this strength does not extend across the full equipment landscape. </w:t>
      </w:r>
    </w:p>
    <w:p w14:paraId="27C2A18F" w14:textId="570E3384" w:rsidR="00EC49AF" w:rsidRPr="008B13A5" w:rsidRDefault="00EC49AF" w:rsidP="00EC49AF">
      <w:pPr>
        <w:rPr>
          <w:noProof/>
        </w:rPr>
      </w:pPr>
      <w:r w:rsidRPr="008B13A5">
        <w:rPr>
          <w:noProof/>
        </w:rPr>
        <w:t xml:space="preserve">By contrast, front-end manufacturing shows limited change: new fabs in Ireland, France, and Germany help stabilise Europe’s position, but dependency remains close to 50% and market share around 9%. </w:t>
      </w:r>
      <w:r w:rsidR="00F13E3D">
        <w:rPr>
          <w:noProof/>
        </w:rPr>
        <w:t xml:space="preserve">Here, </w:t>
      </w:r>
      <w:r w:rsidR="00F13E3D">
        <w:rPr>
          <w:noProof/>
          <w:szCs w:val="22"/>
        </w:rPr>
        <w:t>very high dependency remains when it comes to advanced logic and memory</w:t>
      </w:r>
      <w:r w:rsidR="007928E6">
        <w:rPr>
          <w:noProof/>
          <w:szCs w:val="22"/>
        </w:rPr>
        <w:t xml:space="preserve">. </w:t>
      </w:r>
      <w:r w:rsidRPr="008B13A5">
        <w:rPr>
          <w:noProof/>
        </w:rPr>
        <w:t>The most significant vulnerabilities persist in assembly, test, and packaging, where dependency exceeds 60%, and in downstream integration, where reliance on external suppliers for around 70% of system assembly continues.</w:t>
      </w:r>
    </w:p>
    <w:p w14:paraId="70BCB593" w14:textId="085005EC" w:rsidR="00EC49AF" w:rsidRPr="008B13A5" w:rsidRDefault="00EC49AF" w:rsidP="00EC49AF">
      <w:pPr>
        <w:rPr>
          <w:noProof/>
        </w:rPr>
      </w:pPr>
      <w:r w:rsidRPr="008B13A5">
        <w:rPr>
          <w:noProof/>
        </w:rPr>
        <w:t>Under the Business-as-Usual trajectory, the resilience of Europe’s semiconductor value chain improves only marginally and unevenly across segments. Incremental capacity additions and limited diversification reduce exposure in a few upstream areas, particularly chemicals, and wafer substrates, but systemic vulnerabilities persist in the front-end and back-end stages where Europe remains structurally import-dependent. Resilience gains are further offset by external factors, including high global concentration in foundries and packaging services and the rising incidence of environmental disruptions, such as floods, storms, and droughts. These events have already disrupted semiconductor production in regions such as Taiwan and Japan and increase volatility in supply availability. As a result, the overall resilience profile stabilises rather than strengthens, with systemic exposure largely unchanged.</w:t>
      </w:r>
    </w:p>
    <w:p w14:paraId="128EC550" w14:textId="2635BEEE" w:rsidR="00EC49AF" w:rsidRPr="008B13A5" w:rsidRDefault="00EC49AF" w:rsidP="00EC49AF">
      <w:pPr>
        <w:rPr>
          <w:b/>
          <w:bCs/>
          <w:noProof/>
        </w:rPr>
      </w:pPr>
      <w:bookmarkStart w:id="213" w:name="_Ref212292476"/>
      <w:r w:rsidRPr="008B13A5">
        <w:rPr>
          <w:b/>
          <w:bCs/>
          <w:noProof/>
        </w:rPr>
        <w:t xml:space="preserve">Table </w:t>
      </w:r>
      <w:bookmarkEnd w:id="213"/>
      <w:r w:rsidR="004045D8">
        <w:rPr>
          <w:b/>
          <w:bCs/>
          <w:noProof/>
        </w:rPr>
        <w:t>10</w:t>
      </w:r>
      <w:r w:rsidRPr="008B13A5">
        <w:rPr>
          <w:b/>
          <w:bCs/>
          <w:noProof/>
        </w:rPr>
        <w:t xml:space="preserve">. Assumed direction for EU market share, import dependency and resilience under BAU scenario. </w:t>
      </w:r>
    </w:p>
    <w:tbl>
      <w:tblPr>
        <w:tblStyle w:val="TableGrid"/>
        <w:tblW w:w="0" w:type="auto"/>
        <w:tblLook w:val="04A0" w:firstRow="1" w:lastRow="0" w:firstColumn="1" w:lastColumn="0" w:noHBand="0" w:noVBand="1"/>
      </w:tblPr>
      <w:tblGrid>
        <w:gridCol w:w="1591"/>
        <w:gridCol w:w="1843"/>
        <w:gridCol w:w="1572"/>
        <w:gridCol w:w="1390"/>
        <w:gridCol w:w="2890"/>
      </w:tblGrid>
      <w:tr w:rsidR="008B750D" w:rsidRPr="008B13A5" w14:paraId="5C1ECB7E" w14:textId="77777777">
        <w:tc>
          <w:tcPr>
            <w:tcW w:w="0" w:type="auto"/>
          </w:tcPr>
          <w:p w14:paraId="0A3439C0" w14:textId="10D3C0B4" w:rsidR="00EC49AF" w:rsidRPr="008B13A5" w:rsidRDefault="00EC49AF">
            <w:pPr>
              <w:spacing w:after="0"/>
              <w:jc w:val="center"/>
              <w:rPr>
                <w:b/>
                <w:noProof/>
                <w:szCs w:val="22"/>
              </w:rPr>
            </w:pPr>
            <w:r w:rsidRPr="008B13A5">
              <w:rPr>
                <w:b/>
                <w:noProof/>
                <w:szCs w:val="22"/>
              </w:rPr>
              <w:t>IDC Segment</w:t>
            </w:r>
          </w:p>
        </w:tc>
        <w:tc>
          <w:tcPr>
            <w:tcW w:w="0" w:type="auto"/>
          </w:tcPr>
          <w:p w14:paraId="10982A42" w14:textId="2A79BF8D" w:rsidR="00EC49AF" w:rsidRPr="008B13A5" w:rsidRDefault="00EC49AF">
            <w:pPr>
              <w:spacing w:after="0"/>
              <w:jc w:val="center"/>
              <w:rPr>
                <w:b/>
                <w:noProof/>
                <w:szCs w:val="22"/>
              </w:rPr>
            </w:pPr>
            <w:r w:rsidRPr="008B13A5">
              <w:rPr>
                <w:b/>
                <w:noProof/>
                <w:szCs w:val="22"/>
              </w:rPr>
              <w:t>EU Market Share (2023 → 2030 → 2035)</w:t>
            </w:r>
          </w:p>
        </w:tc>
        <w:tc>
          <w:tcPr>
            <w:tcW w:w="0" w:type="auto"/>
          </w:tcPr>
          <w:p w14:paraId="3899DF99" w14:textId="3F5E4F01" w:rsidR="00EC49AF" w:rsidRPr="008B13A5" w:rsidRDefault="00EC49AF">
            <w:pPr>
              <w:spacing w:after="0"/>
              <w:jc w:val="center"/>
              <w:rPr>
                <w:b/>
                <w:noProof/>
                <w:szCs w:val="22"/>
              </w:rPr>
            </w:pPr>
            <w:r w:rsidRPr="008B13A5">
              <w:rPr>
                <w:b/>
                <w:noProof/>
                <w:szCs w:val="22"/>
              </w:rPr>
              <w:t>Import Dependency (2023 → 2030 → 2035)</w:t>
            </w:r>
          </w:p>
        </w:tc>
        <w:tc>
          <w:tcPr>
            <w:tcW w:w="0" w:type="auto"/>
          </w:tcPr>
          <w:p w14:paraId="0223BE36" w14:textId="307FD44E" w:rsidR="00EC49AF" w:rsidRPr="008B13A5" w:rsidRDefault="00EC49AF">
            <w:pPr>
              <w:spacing w:after="0"/>
              <w:jc w:val="center"/>
              <w:rPr>
                <w:b/>
                <w:noProof/>
                <w:szCs w:val="22"/>
              </w:rPr>
            </w:pPr>
            <w:r w:rsidRPr="008B13A5">
              <w:rPr>
                <w:b/>
                <w:noProof/>
                <w:szCs w:val="22"/>
              </w:rPr>
              <w:t>Resilience Profile</w:t>
            </w:r>
          </w:p>
        </w:tc>
        <w:tc>
          <w:tcPr>
            <w:tcW w:w="0" w:type="auto"/>
          </w:tcPr>
          <w:p w14:paraId="3044D7FD" w14:textId="3367538B" w:rsidR="00EC49AF" w:rsidRPr="008B13A5" w:rsidRDefault="00EC49AF">
            <w:pPr>
              <w:spacing w:after="0"/>
              <w:jc w:val="center"/>
              <w:rPr>
                <w:b/>
                <w:noProof/>
                <w:szCs w:val="22"/>
              </w:rPr>
            </w:pPr>
            <w:r w:rsidRPr="008B13A5">
              <w:rPr>
                <w:b/>
                <w:noProof/>
                <w:szCs w:val="22"/>
              </w:rPr>
              <w:t>Baseline summary</w:t>
            </w:r>
          </w:p>
        </w:tc>
      </w:tr>
      <w:tr w:rsidR="008B750D" w:rsidRPr="008B13A5" w14:paraId="28B08887" w14:textId="77777777">
        <w:tc>
          <w:tcPr>
            <w:tcW w:w="0" w:type="auto"/>
          </w:tcPr>
          <w:p w14:paraId="247195AA" w14:textId="0042A19A" w:rsidR="00EC49AF" w:rsidRPr="008B13A5" w:rsidRDefault="00EC49AF">
            <w:pPr>
              <w:spacing w:after="0"/>
              <w:jc w:val="left"/>
              <w:rPr>
                <w:noProof/>
                <w:szCs w:val="22"/>
              </w:rPr>
            </w:pPr>
            <w:r w:rsidRPr="008B13A5">
              <w:rPr>
                <w:b/>
                <w:noProof/>
                <w:szCs w:val="22"/>
              </w:rPr>
              <w:t>Intellectual Property (IP)</w:t>
            </w:r>
          </w:p>
        </w:tc>
        <w:tc>
          <w:tcPr>
            <w:tcW w:w="0" w:type="auto"/>
          </w:tcPr>
          <w:p w14:paraId="34875C05" w14:textId="7DA34A57" w:rsidR="00EC49AF" w:rsidRPr="008B13A5" w:rsidRDefault="00EC49AF">
            <w:pPr>
              <w:spacing w:after="0"/>
              <w:jc w:val="left"/>
              <w:rPr>
                <w:noProof/>
                <w:szCs w:val="22"/>
              </w:rPr>
            </w:pPr>
            <w:r w:rsidRPr="008B13A5">
              <w:rPr>
                <w:noProof/>
                <w:szCs w:val="22"/>
              </w:rPr>
              <w:t xml:space="preserve">2023: &lt;1 % </w:t>
            </w:r>
          </w:p>
          <w:p w14:paraId="47E20DAC" w14:textId="03ED5B41" w:rsidR="00EC49AF" w:rsidRPr="008B13A5" w:rsidRDefault="00EC49AF">
            <w:pPr>
              <w:spacing w:after="0"/>
              <w:jc w:val="left"/>
              <w:rPr>
                <w:noProof/>
                <w:szCs w:val="22"/>
              </w:rPr>
            </w:pPr>
            <w:r w:rsidRPr="008B13A5">
              <w:rPr>
                <w:noProof/>
                <w:szCs w:val="22"/>
              </w:rPr>
              <w:t xml:space="preserve">2030: &lt;1 % </w:t>
            </w:r>
          </w:p>
          <w:p w14:paraId="463361DD" w14:textId="7FD8E962" w:rsidR="00EC49AF" w:rsidRPr="008B13A5" w:rsidRDefault="00EC49AF">
            <w:pPr>
              <w:spacing w:after="0"/>
              <w:jc w:val="left"/>
              <w:rPr>
                <w:noProof/>
                <w:szCs w:val="22"/>
              </w:rPr>
            </w:pPr>
            <w:r w:rsidRPr="008B13A5">
              <w:rPr>
                <w:noProof/>
                <w:szCs w:val="22"/>
              </w:rPr>
              <w:t>2035: stable</w:t>
            </w:r>
          </w:p>
        </w:tc>
        <w:tc>
          <w:tcPr>
            <w:tcW w:w="0" w:type="auto"/>
          </w:tcPr>
          <w:p w14:paraId="3C3E4815" w14:textId="6BB93DE4" w:rsidR="00EC49AF" w:rsidRPr="008B13A5" w:rsidRDefault="00EC49AF">
            <w:pPr>
              <w:spacing w:after="0"/>
              <w:jc w:val="left"/>
              <w:rPr>
                <w:noProof/>
                <w:szCs w:val="22"/>
              </w:rPr>
            </w:pPr>
            <w:r w:rsidRPr="008B13A5">
              <w:rPr>
                <w:noProof/>
                <w:szCs w:val="22"/>
              </w:rPr>
              <w:t>Not applicable</w:t>
            </w:r>
          </w:p>
        </w:tc>
        <w:tc>
          <w:tcPr>
            <w:tcW w:w="0" w:type="auto"/>
          </w:tcPr>
          <w:p w14:paraId="3C601D94" w14:textId="547FAF10" w:rsidR="00EC49AF" w:rsidRPr="008B13A5" w:rsidRDefault="00EC49AF">
            <w:pPr>
              <w:spacing w:after="0"/>
              <w:jc w:val="left"/>
              <w:rPr>
                <w:noProof/>
                <w:szCs w:val="22"/>
              </w:rPr>
            </w:pPr>
            <w:r w:rsidRPr="008B13A5">
              <w:rPr>
                <w:noProof/>
                <w:szCs w:val="22"/>
              </w:rPr>
              <w:t>Low (→)</w:t>
            </w:r>
          </w:p>
        </w:tc>
        <w:tc>
          <w:tcPr>
            <w:tcW w:w="0" w:type="auto"/>
          </w:tcPr>
          <w:p w14:paraId="4E5B8956" w14:textId="02B70F19" w:rsidR="00EC49AF" w:rsidRPr="008B13A5" w:rsidRDefault="00EC49AF">
            <w:pPr>
              <w:spacing w:after="0"/>
              <w:jc w:val="left"/>
              <w:rPr>
                <w:noProof/>
                <w:szCs w:val="22"/>
              </w:rPr>
            </w:pPr>
            <w:r w:rsidRPr="008B13A5">
              <w:rPr>
                <w:noProof/>
                <w:szCs w:val="22"/>
              </w:rPr>
              <w:t>EU has limited IP footprint; ecosystem remains fragmented; dependency on US IP persists.</w:t>
            </w:r>
          </w:p>
        </w:tc>
      </w:tr>
      <w:tr w:rsidR="008B750D" w:rsidRPr="008B13A5" w14:paraId="66507E3E" w14:textId="77777777">
        <w:tc>
          <w:tcPr>
            <w:tcW w:w="0" w:type="auto"/>
          </w:tcPr>
          <w:p w14:paraId="1772662E" w14:textId="59C8E64D" w:rsidR="00EC49AF" w:rsidRPr="008B13A5" w:rsidRDefault="00EC49AF">
            <w:pPr>
              <w:spacing w:after="0"/>
              <w:jc w:val="left"/>
              <w:rPr>
                <w:noProof/>
                <w:szCs w:val="22"/>
              </w:rPr>
            </w:pPr>
            <w:r w:rsidRPr="008B13A5">
              <w:rPr>
                <w:b/>
                <w:noProof/>
                <w:szCs w:val="22"/>
              </w:rPr>
              <w:t>Electronic Design Automation (EDA)</w:t>
            </w:r>
          </w:p>
        </w:tc>
        <w:tc>
          <w:tcPr>
            <w:tcW w:w="0" w:type="auto"/>
          </w:tcPr>
          <w:p w14:paraId="1AC6C2F6" w14:textId="3AB2F9F0" w:rsidR="00EC49AF" w:rsidRPr="008B13A5" w:rsidRDefault="00EC49AF">
            <w:pPr>
              <w:spacing w:after="0"/>
              <w:jc w:val="left"/>
              <w:rPr>
                <w:noProof/>
                <w:szCs w:val="22"/>
              </w:rPr>
            </w:pPr>
            <w:r w:rsidRPr="008B13A5">
              <w:rPr>
                <w:noProof/>
                <w:szCs w:val="22"/>
              </w:rPr>
              <w:t xml:space="preserve">2023: 21 % </w:t>
            </w:r>
          </w:p>
          <w:p w14:paraId="56321F72" w14:textId="46A3A43F" w:rsidR="00EC49AF" w:rsidRPr="008B13A5" w:rsidRDefault="00EC49AF">
            <w:pPr>
              <w:spacing w:after="0"/>
              <w:jc w:val="left"/>
              <w:rPr>
                <w:noProof/>
                <w:szCs w:val="22"/>
              </w:rPr>
            </w:pPr>
            <w:r w:rsidRPr="008B13A5">
              <w:rPr>
                <w:noProof/>
                <w:szCs w:val="22"/>
              </w:rPr>
              <w:t xml:space="preserve">2030: 18 % </w:t>
            </w:r>
          </w:p>
          <w:p w14:paraId="5BED4E93" w14:textId="63E73614" w:rsidR="00EC49AF" w:rsidRPr="008B13A5" w:rsidRDefault="00EC49AF">
            <w:pPr>
              <w:spacing w:after="0"/>
              <w:jc w:val="left"/>
              <w:rPr>
                <w:noProof/>
                <w:szCs w:val="22"/>
              </w:rPr>
            </w:pPr>
            <w:r w:rsidRPr="008B13A5">
              <w:rPr>
                <w:noProof/>
                <w:szCs w:val="22"/>
              </w:rPr>
              <w:t>2035: stable</w:t>
            </w:r>
          </w:p>
        </w:tc>
        <w:tc>
          <w:tcPr>
            <w:tcW w:w="0" w:type="auto"/>
          </w:tcPr>
          <w:p w14:paraId="39EC4867" w14:textId="378FB70F" w:rsidR="00EC49AF" w:rsidRPr="008B13A5" w:rsidRDefault="00EC49AF">
            <w:pPr>
              <w:spacing w:after="0"/>
              <w:jc w:val="left"/>
              <w:rPr>
                <w:noProof/>
                <w:szCs w:val="22"/>
              </w:rPr>
            </w:pPr>
            <w:r w:rsidRPr="008B13A5">
              <w:rPr>
                <w:noProof/>
                <w:szCs w:val="22"/>
              </w:rPr>
              <w:t>Not applicable</w:t>
            </w:r>
          </w:p>
        </w:tc>
        <w:tc>
          <w:tcPr>
            <w:tcW w:w="0" w:type="auto"/>
          </w:tcPr>
          <w:p w14:paraId="38A25995" w14:textId="1CEE898F" w:rsidR="00EC49AF" w:rsidRPr="008B13A5" w:rsidRDefault="00EC49AF">
            <w:pPr>
              <w:spacing w:after="0"/>
              <w:jc w:val="left"/>
              <w:rPr>
                <w:noProof/>
                <w:szCs w:val="22"/>
              </w:rPr>
            </w:pPr>
            <w:r w:rsidRPr="008B13A5">
              <w:rPr>
                <w:noProof/>
                <w:szCs w:val="22"/>
              </w:rPr>
              <w:t>Low → Moderate (↑)</w:t>
            </w:r>
          </w:p>
        </w:tc>
        <w:tc>
          <w:tcPr>
            <w:tcW w:w="0" w:type="auto"/>
          </w:tcPr>
          <w:p w14:paraId="47536B84" w14:textId="325A04F5" w:rsidR="00EC49AF" w:rsidRPr="008B13A5" w:rsidRDefault="00EC49AF">
            <w:pPr>
              <w:spacing w:after="0"/>
              <w:jc w:val="left"/>
              <w:rPr>
                <w:noProof/>
                <w:szCs w:val="22"/>
              </w:rPr>
            </w:pPr>
            <w:r w:rsidRPr="008B13A5">
              <w:rPr>
                <w:noProof/>
                <w:szCs w:val="22"/>
              </w:rPr>
              <w:t>Slight gains from EU design-ecosystem initiatives; strong reliance on US EDA vendors remains.</w:t>
            </w:r>
          </w:p>
        </w:tc>
      </w:tr>
      <w:tr w:rsidR="008B750D" w:rsidRPr="008B13A5" w14:paraId="7141392A" w14:textId="77777777">
        <w:tc>
          <w:tcPr>
            <w:tcW w:w="0" w:type="auto"/>
          </w:tcPr>
          <w:p w14:paraId="390801D1" w14:textId="4DD9EA8D" w:rsidR="00EC49AF" w:rsidRPr="008B13A5" w:rsidRDefault="00EC49AF">
            <w:pPr>
              <w:spacing w:after="0"/>
              <w:jc w:val="left"/>
              <w:rPr>
                <w:noProof/>
                <w:szCs w:val="22"/>
              </w:rPr>
            </w:pPr>
            <w:r w:rsidRPr="008B13A5">
              <w:rPr>
                <w:b/>
                <w:noProof/>
                <w:szCs w:val="22"/>
              </w:rPr>
              <w:t>Capital Equipment</w:t>
            </w:r>
          </w:p>
        </w:tc>
        <w:tc>
          <w:tcPr>
            <w:tcW w:w="0" w:type="auto"/>
          </w:tcPr>
          <w:p w14:paraId="033A7AFB" w14:textId="51809CF6" w:rsidR="00EC49AF" w:rsidRPr="008B13A5" w:rsidRDefault="00EC49AF">
            <w:pPr>
              <w:spacing w:after="0"/>
              <w:jc w:val="left"/>
              <w:rPr>
                <w:noProof/>
                <w:szCs w:val="22"/>
              </w:rPr>
            </w:pPr>
            <w:r w:rsidRPr="008B13A5">
              <w:rPr>
                <w:noProof/>
                <w:szCs w:val="22"/>
              </w:rPr>
              <w:t xml:space="preserve">2023: 28 % </w:t>
            </w:r>
          </w:p>
          <w:p w14:paraId="758CB0AB" w14:textId="261F5E37" w:rsidR="00EC49AF" w:rsidRPr="008B13A5" w:rsidRDefault="00EC49AF">
            <w:pPr>
              <w:spacing w:after="0"/>
              <w:jc w:val="left"/>
              <w:rPr>
                <w:noProof/>
                <w:szCs w:val="22"/>
              </w:rPr>
            </w:pPr>
            <w:r w:rsidRPr="008B13A5">
              <w:rPr>
                <w:noProof/>
                <w:szCs w:val="22"/>
              </w:rPr>
              <w:t xml:space="preserve">2030: 34 % </w:t>
            </w:r>
          </w:p>
          <w:p w14:paraId="316286E3" w14:textId="67F7EAC8" w:rsidR="00EC49AF" w:rsidRPr="008B13A5" w:rsidRDefault="00EC49AF">
            <w:pPr>
              <w:spacing w:after="0"/>
              <w:jc w:val="left"/>
              <w:rPr>
                <w:noProof/>
                <w:szCs w:val="22"/>
              </w:rPr>
            </w:pPr>
            <w:r w:rsidRPr="008B13A5">
              <w:rPr>
                <w:noProof/>
                <w:szCs w:val="22"/>
              </w:rPr>
              <w:t>2035: slow growth</w:t>
            </w:r>
          </w:p>
        </w:tc>
        <w:tc>
          <w:tcPr>
            <w:tcW w:w="0" w:type="auto"/>
          </w:tcPr>
          <w:p w14:paraId="2BDD7920" w14:textId="3850F23F" w:rsidR="00EC49AF" w:rsidRPr="008B13A5" w:rsidRDefault="00EC49AF">
            <w:pPr>
              <w:spacing w:after="0"/>
              <w:jc w:val="left"/>
              <w:rPr>
                <w:noProof/>
                <w:szCs w:val="22"/>
              </w:rPr>
            </w:pPr>
            <w:r w:rsidRPr="008B13A5">
              <w:rPr>
                <w:noProof/>
                <w:szCs w:val="22"/>
              </w:rPr>
              <w:t xml:space="preserve">2023: ~50 %  </w:t>
            </w:r>
          </w:p>
          <w:p w14:paraId="6A7C7F1D" w14:textId="64567460" w:rsidR="00EC49AF" w:rsidRPr="008B13A5" w:rsidRDefault="00EC49AF">
            <w:pPr>
              <w:spacing w:after="0"/>
              <w:jc w:val="left"/>
              <w:rPr>
                <w:noProof/>
                <w:szCs w:val="22"/>
              </w:rPr>
            </w:pPr>
            <w:r w:rsidRPr="008B13A5">
              <w:rPr>
                <w:noProof/>
                <w:szCs w:val="22"/>
              </w:rPr>
              <w:t xml:space="preserve">2030: stable </w:t>
            </w:r>
          </w:p>
          <w:p w14:paraId="4525681B" w14:textId="26FE5835" w:rsidR="00EC49AF" w:rsidRPr="008B13A5" w:rsidRDefault="00EC49AF">
            <w:pPr>
              <w:spacing w:after="0"/>
              <w:jc w:val="left"/>
              <w:rPr>
                <w:noProof/>
                <w:szCs w:val="22"/>
              </w:rPr>
            </w:pPr>
            <w:r w:rsidRPr="008B13A5">
              <w:rPr>
                <w:noProof/>
                <w:szCs w:val="22"/>
              </w:rPr>
              <w:t>2035: stable</w:t>
            </w:r>
          </w:p>
        </w:tc>
        <w:tc>
          <w:tcPr>
            <w:tcW w:w="0" w:type="auto"/>
          </w:tcPr>
          <w:p w14:paraId="4717B537" w14:textId="0EF08081" w:rsidR="00EC49AF" w:rsidRPr="008B13A5" w:rsidRDefault="00EC49AF">
            <w:pPr>
              <w:spacing w:after="0"/>
              <w:jc w:val="left"/>
              <w:rPr>
                <w:noProof/>
                <w:szCs w:val="22"/>
              </w:rPr>
            </w:pPr>
            <w:r w:rsidRPr="008B13A5">
              <w:rPr>
                <w:noProof/>
                <w:szCs w:val="22"/>
              </w:rPr>
              <w:t>High (→)</w:t>
            </w:r>
          </w:p>
        </w:tc>
        <w:tc>
          <w:tcPr>
            <w:tcW w:w="0" w:type="auto"/>
          </w:tcPr>
          <w:p w14:paraId="738FDDE9" w14:textId="3E4ACA41" w:rsidR="00EC49AF" w:rsidRPr="008B13A5" w:rsidRDefault="00EC49AF">
            <w:pPr>
              <w:spacing w:after="0"/>
              <w:jc w:val="left"/>
              <w:rPr>
                <w:noProof/>
                <w:szCs w:val="22"/>
              </w:rPr>
            </w:pPr>
            <w:r w:rsidRPr="008B13A5">
              <w:rPr>
                <w:noProof/>
                <w:szCs w:val="22"/>
              </w:rPr>
              <w:t>Strong leadership from ASML; dependence on US/Japanese process equipment persists.</w:t>
            </w:r>
          </w:p>
        </w:tc>
      </w:tr>
      <w:tr w:rsidR="008B750D" w:rsidRPr="008B13A5" w14:paraId="65436161" w14:textId="77777777">
        <w:tc>
          <w:tcPr>
            <w:tcW w:w="0" w:type="auto"/>
          </w:tcPr>
          <w:p w14:paraId="6E3AF478" w14:textId="2086C09C" w:rsidR="00EC49AF" w:rsidRPr="008B13A5" w:rsidRDefault="00EC49AF">
            <w:pPr>
              <w:spacing w:after="0"/>
              <w:jc w:val="left"/>
              <w:rPr>
                <w:noProof/>
                <w:szCs w:val="22"/>
              </w:rPr>
            </w:pPr>
            <w:r w:rsidRPr="008B13A5">
              <w:rPr>
                <w:b/>
                <w:noProof/>
                <w:szCs w:val="22"/>
              </w:rPr>
              <w:t>Foundry Services</w:t>
            </w:r>
          </w:p>
        </w:tc>
        <w:tc>
          <w:tcPr>
            <w:tcW w:w="0" w:type="auto"/>
          </w:tcPr>
          <w:p w14:paraId="66C1954E" w14:textId="67C1E5CF" w:rsidR="00EC49AF" w:rsidRPr="008B13A5" w:rsidRDefault="00EC49AF">
            <w:pPr>
              <w:spacing w:after="0"/>
              <w:jc w:val="left"/>
              <w:rPr>
                <w:noProof/>
                <w:szCs w:val="22"/>
              </w:rPr>
            </w:pPr>
            <w:r w:rsidRPr="008B13A5">
              <w:rPr>
                <w:noProof/>
                <w:szCs w:val="22"/>
              </w:rPr>
              <w:t xml:space="preserve">2023: 1 % </w:t>
            </w:r>
          </w:p>
          <w:p w14:paraId="2B89B8F7" w14:textId="29D2AEEB" w:rsidR="00EC49AF" w:rsidRPr="008B13A5" w:rsidRDefault="00EC49AF">
            <w:pPr>
              <w:spacing w:after="0"/>
              <w:jc w:val="left"/>
              <w:rPr>
                <w:noProof/>
                <w:szCs w:val="22"/>
              </w:rPr>
            </w:pPr>
            <w:r w:rsidRPr="008B13A5">
              <w:rPr>
                <w:noProof/>
                <w:szCs w:val="22"/>
              </w:rPr>
              <w:t xml:space="preserve">2030: 1 % </w:t>
            </w:r>
          </w:p>
          <w:p w14:paraId="5D899739" w14:textId="4E0C15A8" w:rsidR="00EC49AF" w:rsidRPr="008B13A5" w:rsidRDefault="00EC49AF">
            <w:pPr>
              <w:spacing w:after="0"/>
              <w:jc w:val="left"/>
              <w:rPr>
                <w:noProof/>
                <w:szCs w:val="22"/>
              </w:rPr>
            </w:pPr>
            <w:r w:rsidRPr="008B13A5">
              <w:rPr>
                <w:noProof/>
                <w:szCs w:val="22"/>
              </w:rPr>
              <w:t>2035: stable</w:t>
            </w:r>
          </w:p>
        </w:tc>
        <w:tc>
          <w:tcPr>
            <w:tcW w:w="0" w:type="auto"/>
          </w:tcPr>
          <w:p w14:paraId="027B4818" w14:textId="01FADE1C" w:rsidR="00EC49AF" w:rsidRPr="008B13A5" w:rsidRDefault="00EC49AF">
            <w:pPr>
              <w:spacing w:after="0"/>
              <w:jc w:val="left"/>
              <w:rPr>
                <w:noProof/>
                <w:szCs w:val="22"/>
              </w:rPr>
            </w:pPr>
            <w:r w:rsidRPr="008B13A5">
              <w:rPr>
                <w:noProof/>
                <w:szCs w:val="22"/>
              </w:rPr>
              <w:t xml:space="preserve">2023: 24 % </w:t>
            </w:r>
          </w:p>
          <w:p w14:paraId="4E8960CA" w14:textId="41441394" w:rsidR="00EC49AF" w:rsidRPr="008B13A5" w:rsidRDefault="00EC49AF">
            <w:pPr>
              <w:spacing w:after="0"/>
              <w:jc w:val="left"/>
              <w:rPr>
                <w:noProof/>
                <w:szCs w:val="22"/>
              </w:rPr>
            </w:pPr>
            <w:r w:rsidRPr="008B13A5">
              <w:rPr>
                <w:noProof/>
                <w:szCs w:val="22"/>
              </w:rPr>
              <w:t xml:space="preserve">2030: stable </w:t>
            </w:r>
          </w:p>
          <w:p w14:paraId="0752F556" w14:textId="558A1730" w:rsidR="00EC49AF" w:rsidRPr="008B13A5" w:rsidRDefault="00EC49AF">
            <w:pPr>
              <w:spacing w:after="0"/>
              <w:jc w:val="left"/>
              <w:rPr>
                <w:noProof/>
                <w:szCs w:val="22"/>
              </w:rPr>
            </w:pPr>
            <w:r w:rsidRPr="008B13A5">
              <w:rPr>
                <w:noProof/>
                <w:szCs w:val="22"/>
              </w:rPr>
              <w:t>2035: stable</w:t>
            </w:r>
          </w:p>
        </w:tc>
        <w:tc>
          <w:tcPr>
            <w:tcW w:w="0" w:type="auto"/>
          </w:tcPr>
          <w:p w14:paraId="149AA775" w14:textId="33E95B1E" w:rsidR="00EC49AF" w:rsidRPr="008B13A5" w:rsidRDefault="00EC49AF">
            <w:pPr>
              <w:spacing w:after="0"/>
              <w:jc w:val="left"/>
              <w:rPr>
                <w:noProof/>
                <w:szCs w:val="22"/>
              </w:rPr>
            </w:pPr>
            <w:r w:rsidRPr="008B13A5">
              <w:rPr>
                <w:noProof/>
                <w:szCs w:val="22"/>
              </w:rPr>
              <w:t>Moderate (↑)</w:t>
            </w:r>
          </w:p>
        </w:tc>
        <w:tc>
          <w:tcPr>
            <w:tcW w:w="0" w:type="auto"/>
          </w:tcPr>
          <w:p w14:paraId="0C16E45C" w14:textId="76EA7159" w:rsidR="00EC49AF" w:rsidRPr="008B13A5" w:rsidRDefault="00EC49AF">
            <w:pPr>
              <w:spacing w:after="0"/>
              <w:jc w:val="left"/>
              <w:rPr>
                <w:noProof/>
                <w:szCs w:val="22"/>
              </w:rPr>
            </w:pPr>
            <w:r w:rsidRPr="008B13A5">
              <w:rPr>
                <w:noProof/>
                <w:szCs w:val="22"/>
              </w:rPr>
              <w:t>EU remains dependent on overseas leading-edge foundries.</w:t>
            </w:r>
          </w:p>
        </w:tc>
      </w:tr>
      <w:tr w:rsidR="008B750D" w:rsidRPr="008B13A5" w14:paraId="6DBA4885" w14:textId="77777777">
        <w:tc>
          <w:tcPr>
            <w:tcW w:w="0" w:type="auto"/>
          </w:tcPr>
          <w:p w14:paraId="64FBBCC6" w14:textId="77777777" w:rsidR="00EC49AF" w:rsidRPr="008B13A5" w:rsidRDefault="00EC49AF">
            <w:pPr>
              <w:spacing w:after="0"/>
              <w:jc w:val="left"/>
              <w:rPr>
                <w:noProof/>
                <w:szCs w:val="22"/>
              </w:rPr>
            </w:pPr>
            <w:r w:rsidRPr="008B13A5">
              <w:rPr>
                <w:b/>
                <w:noProof/>
                <w:szCs w:val="22"/>
              </w:rPr>
              <w:t>OSAT</w:t>
            </w:r>
          </w:p>
        </w:tc>
        <w:tc>
          <w:tcPr>
            <w:tcW w:w="0" w:type="auto"/>
          </w:tcPr>
          <w:p w14:paraId="2885DF68" w14:textId="6DAA07AD" w:rsidR="00EC49AF" w:rsidRPr="008B13A5" w:rsidRDefault="00EC49AF">
            <w:pPr>
              <w:spacing w:after="0"/>
              <w:jc w:val="left"/>
              <w:rPr>
                <w:noProof/>
                <w:szCs w:val="22"/>
              </w:rPr>
            </w:pPr>
            <w:r w:rsidRPr="008B13A5">
              <w:rPr>
                <w:noProof/>
                <w:szCs w:val="22"/>
              </w:rPr>
              <w:t xml:space="preserve">2023: &lt;1 % </w:t>
            </w:r>
          </w:p>
          <w:p w14:paraId="32D86CB4" w14:textId="3A8A4E5F" w:rsidR="00EC49AF" w:rsidRPr="008B13A5" w:rsidRDefault="00EC49AF">
            <w:pPr>
              <w:spacing w:after="0"/>
              <w:jc w:val="left"/>
              <w:rPr>
                <w:noProof/>
                <w:szCs w:val="22"/>
              </w:rPr>
            </w:pPr>
            <w:r w:rsidRPr="008B13A5">
              <w:rPr>
                <w:noProof/>
                <w:szCs w:val="22"/>
              </w:rPr>
              <w:t xml:space="preserve">2030: &lt;1 % </w:t>
            </w:r>
          </w:p>
          <w:p w14:paraId="33CEF9A7" w14:textId="3EF21864" w:rsidR="00EC49AF" w:rsidRPr="008B13A5" w:rsidRDefault="00EC49AF">
            <w:pPr>
              <w:spacing w:after="0"/>
              <w:jc w:val="left"/>
              <w:rPr>
                <w:noProof/>
                <w:szCs w:val="22"/>
              </w:rPr>
            </w:pPr>
            <w:r w:rsidRPr="008B13A5">
              <w:rPr>
                <w:noProof/>
                <w:szCs w:val="22"/>
              </w:rPr>
              <w:t>2035: stable</w:t>
            </w:r>
          </w:p>
        </w:tc>
        <w:tc>
          <w:tcPr>
            <w:tcW w:w="0" w:type="auto"/>
          </w:tcPr>
          <w:p w14:paraId="264C415A" w14:textId="596402E8" w:rsidR="00EC49AF" w:rsidRPr="008B13A5" w:rsidRDefault="00EC49AF">
            <w:pPr>
              <w:spacing w:after="0"/>
              <w:jc w:val="left"/>
              <w:rPr>
                <w:noProof/>
                <w:szCs w:val="22"/>
              </w:rPr>
            </w:pPr>
            <w:r w:rsidRPr="008B13A5">
              <w:rPr>
                <w:noProof/>
                <w:szCs w:val="22"/>
              </w:rPr>
              <w:t xml:space="preserve">2023: ~64 %  </w:t>
            </w:r>
          </w:p>
          <w:p w14:paraId="5673F0B0" w14:textId="461F03B0" w:rsidR="00EC49AF" w:rsidRPr="008B13A5" w:rsidRDefault="00EC49AF">
            <w:pPr>
              <w:spacing w:after="0"/>
              <w:jc w:val="left"/>
              <w:rPr>
                <w:noProof/>
                <w:szCs w:val="22"/>
              </w:rPr>
            </w:pPr>
            <w:r w:rsidRPr="008B13A5">
              <w:rPr>
                <w:noProof/>
                <w:szCs w:val="22"/>
              </w:rPr>
              <w:t xml:space="preserve">2030: stable </w:t>
            </w:r>
          </w:p>
          <w:p w14:paraId="38E5655B" w14:textId="48269A41" w:rsidR="00EC49AF" w:rsidRPr="008B13A5" w:rsidRDefault="00EC49AF">
            <w:pPr>
              <w:spacing w:after="0"/>
              <w:jc w:val="left"/>
              <w:rPr>
                <w:noProof/>
                <w:szCs w:val="22"/>
              </w:rPr>
            </w:pPr>
            <w:r w:rsidRPr="008B13A5">
              <w:rPr>
                <w:noProof/>
                <w:szCs w:val="22"/>
              </w:rPr>
              <w:t>2035: slow decline</w:t>
            </w:r>
          </w:p>
        </w:tc>
        <w:tc>
          <w:tcPr>
            <w:tcW w:w="0" w:type="auto"/>
          </w:tcPr>
          <w:p w14:paraId="536E3098" w14:textId="54AC5CDA" w:rsidR="00EC49AF" w:rsidRPr="008B13A5" w:rsidRDefault="00EC49AF">
            <w:pPr>
              <w:spacing w:after="0"/>
              <w:jc w:val="left"/>
              <w:rPr>
                <w:noProof/>
                <w:szCs w:val="22"/>
              </w:rPr>
            </w:pPr>
            <w:r w:rsidRPr="008B13A5">
              <w:rPr>
                <w:noProof/>
                <w:szCs w:val="22"/>
              </w:rPr>
              <w:t>Low → Moderate (↑)</w:t>
            </w:r>
          </w:p>
        </w:tc>
        <w:tc>
          <w:tcPr>
            <w:tcW w:w="0" w:type="auto"/>
          </w:tcPr>
          <w:p w14:paraId="454B1D92" w14:textId="4D47C8D0" w:rsidR="00EC49AF" w:rsidRPr="008B13A5" w:rsidRDefault="00EC49AF">
            <w:pPr>
              <w:spacing w:after="0"/>
              <w:jc w:val="left"/>
              <w:rPr>
                <w:noProof/>
                <w:szCs w:val="22"/>
              </w:rPr>
            </w:pPr>
            <w:r w:rsidRPr="008B13A5">
              <w:rPr>
                <w:noProof/>
                <w:szCs w:val="22"/>
              </w:rPr>
              <w:t>Limited reshoring for automotive and SiC; Asia maintains dominance.</w:t>
            </w:r>
          </w:p>
        </w:tc>
      </w:tr>
      <w:tr w:rsidR="008B750D" w:rsidRPr="008B13A5" w14:paraId="4F82235F" w14:textId="77777777">
        <w:tc>
          <w:tcPr>
            <w:tcW w:w="0" w:type="auto"/>
          </w:tcPr>
          <w:p w14:paraId="1E7D1865" w14:textId="1B0B48B6" w:rsidR="00EC49AF" w:rsidRPr="008B13A5" w:rsidRDefault="00F82118">
            <w:pPr>
              <w:spacing w:after="0"/>
              <w:jc w:val="left"/>
              <w:rPr>
                <w:noProof/>
                <w:szCs w:val="22"/>
              </w:rPr>
            </w:pPr>
            <w:r>
              <w:rPr>
                <w:b/>
                <w:noProof/>
                <w:szCs w:val="22"/>
              </w:rPr>
              <w:t>IDMs</w:t>
            </w:r>
            <w:r w:rsidRPr="008B13A5">
              <w:rPr>
                <w:b/>
                <w:noProof/>
                <w:szCs w:val="22"/>
              </w:rPr>
              <w:t xml:space="preserve"> </w:t>
            </w:r>
            <w:r w:rsidR="00EC49AF" w:rsidRPr="008B13A5">
              <w:rPr>
                <w:b/>
                <w:noProof/>
                <w:szCs w:val="22"/>
              </w:rPr>
              <w:t>and fabless</w:t>
            </w:r>
          </w:p>
        </w:tc>
        <w:tc>
          <w:tcPr>
            <w:tcW w:w="0" w:type="auto"/>
          </w:tcPr>
          <w:p w14:paraId="401D9AC1" w14:textId="6211EA57" w:rsidR="00EC49AF" w:rsidRPr="008B13A5" w:rsidRDefault="00EC49AF">
            <w:pPr>
              <w:spacing w:after="0"/>
              <w:jc w:val="left"/>
              <w:rPr>
                <w:noProof/>
                <w:szCs w:val="22"/>
              </w:rPr>
            </w:pPr>
            <w:r w:rsidRPr="008B13A5">
              <w:rPr>
                <w:noProof/>
                <w:szCs w:val="22"/>
              </w:rPr>
              <w:t xml:space="preserve">2023: 10 % </w:t>
            </w:r>
          </w:p>
          <w:p w14:paraId="4AC6C391" w14:textId="4DAA333A" w:rsidR="00EC49AF" w:rsidRPr="008B13A5" w:rsidRDefault="00EC49AF">
            <w:pPr>
              <w:spacing w:after="0"/>
              <w:jc w:val="left"/>
              <w:rPr>
                <w:noProof/>
                <w:szCs w:val="22"/>
              </w:rPr>
            </w:pPr>
            <w:r w:rsidRPr="008B13A5">
              <w:rPr>
                <w:noProof/>
                <w:szCs w:val="22"/>
              </w:rPr>
              <w:t xml:space="preserve">2030: 10 % </w:t>
            </w:r>
          </w:p>
          <w:p w14:paraId="46496944" w14:textId="51D3D6D2" w:rsidR="00EC49AF" w:rsidRPr="008B13A5" w:rsidRDefault="00EC49AF">
            <w:pPr>
              <w:spacing w:after="0"/>
              <w:jc w:val="left"/>
              <w:rPr>
                <w:noProof/>
                <w:szCs w:val="22"/>
              </w:rPr>
            </w:pPr>
            <w:r w:rsidRPr="008B13A5">
              <w:rPr>
                <w:noProof/>
                <w:szCs w:val="22"/>
              </w:rPr>
              <w:t>2035: stable</w:t>
            </w:r>
          </w:p>
        </w:tc>
        <w:tc>
          <w:tcPr>
            <w:tcW w:w="0" w:type="auto"/>
          </w:tcPr>
          <w:p w14:paraId="09583C82" w14:textId="1FA7D871" w:rsidR="00EC49AF" w:rsidRPr="008B13A5" w:rsidRDefault="00EC49AF">
            <w:pPr>
              <w:spacing w:after="0"/>
              <w:jc w:val="left"/>
              <w:rPr>
                <w:noProof/>
                <w:szCs w:val="22"/>
              </w:rPr>
            </w:pPr>
            <w:r w:rsidRPr="008B13A5">
              <w:rPr>
                <w:noProof/>
                <w:szCs w:val="22"/>
              </w:rPr>
              <w:t xml:space="preserve">2023: ~50 %  </w:t>
            </w:r>
          </w:p>
          <w:p w14:paraId="191602CC" w14:textId="1959E674" w:rsidR="00EC49AF" w:rsidRPr="008B13A5" w:rsidRDefault="00EC49AF">
            <w:pPr>
              <w:spacing w:after="0"/>
              <w:jc w:val="left"/>
              <w:rPr>
                <w:noProof/>
                <w:szCs w:val="22"/>
              </w:rPr>
            </w:pPr>
            <w:r w:rsidRPr="008B13A5">
              <w:rPr>
                <w:noProof/>
                <w:szCs w:val="22"/>
              </w:rPr>
              <w:t xml:space="preserve">2030: stable </w:t>
            </w:r>
          </w:p>
          <w:p w14:paraId="7C760F18" w14:textId="4C51990B" w:rsidR="00EC49AF" w:rsidRPr="008B13A5" w:rsidRDefault="00EC49AF">
            <w:pPr>
              <w:spacing w:after="0"/>
              <w:jc w:val="left"/>
              <w:rPr>
                <w:noProof/>
                <w:szCs w:val="22"/>
              </w:rPr>
            </w:pPr>
            <w:r w:rsidRPr="008B13A5">
              <w:rPr>
                <w:noProof/>
                <w:szCs w:val="22"/>
              </w:rPr>
              <w:t>2035: stable</w:t>
            </w:r>
          </w:p>
        </w:tc>
        <w:tc>
          <w:tcPr>
            <w:tcW w:w="0" w:type="auto"/>
          </w:tcPr>
          <w:p w14:paraId="582DF464" w14:textId="69F4A905" w:rsidR="00EC49AF" w:rsidRPr="008B13A5" w:rsidRDefault="00EC49AF">
            <w:pPr>
              <w:spacing w:after="0"/>
              <w:jc w:val="left"/>
              <w:rPr>
                <w:noProof/>
                <w:szCs w:val="22"/>
              </w:rPr>
            </w:pPr>
            <w:r w:rsidRPr="008B13A5">
              <w:rPr>
                <w:noProof/>
                <w:szCs w:val="22"/>
              </w:rPr>
              <w:t>Moderate (→)</w:t>
            </w:r>
          </w:p>
        </w:tc>
        <w:tc>
          <w:tcPr>
            <w:tcW w:w="0" w:type="auto"/>
          </w:tcPr>
          <w:p w14:paraId="76059716" w14:textId="6C2E9D9E" w:rsidR="00EC49AF" w:rsidRPr="008B13A5" w:rsidRDefault="00EC49AF">
            <w:pPr>
              <w:spacing w:after="0"/>
              <w:jc w:val="left"/>
              <w:rPr>
                <w:noProof/>
                <w:szCs w:val="22"/>
              </w:rPr>
            </w:pPr>
            <w:r w:rsidRPr="008B13A5">
              <w:rPr>
                <w:noProof/>
                <w:szCs w:val="22"/>
              </w:rPr>
              <w:t>Mature-node strength supports stability; limited exposure to AI logic caps growth.</w:t>
            </w:r>
            <w:r w:rsidR="00137D94">
              <w:rPr>
                <w:noProof/>
                <w:szCs w:val="22"/>
              </w:rPr>
              <w:t xml:space="preserve"> Very high dependency when it comes to advanced logic </w:t>
            </w:r>
            <w:r w:rsidR="005F4B9C">
              <w:rPr>
                <w:noProof/>
                <w:szCs w:val="22"/>
              </w:rPr>
              <w:t xml:space="preserve">and memory </w:t>
            </w:r>
            <w:r w:rsidR="00137D94">
              <w:rPr>
                <w:noProof/>
                <w:szCs w:val="22"/>
              </w:rPr>
              <w:t xml:space="preserve">that in the dependency figure is masked by </w:t>
            </w:r>
            <w:r w:rsidR="008B750D">
              <w:rPr>
                <w:noProof/>
                <w:szCs w:val="22"/>
              </w:rPr>
              <w:t xml:space="preserve">significant capacity targeting automotive and industrial automation end users. </w:t>
            </w:r>
          </w:p>
        </w:tc>
      </w:tr>
      <w:tr w:rsidR="008B750D" w:rsidRPr="008B13A5" w14:paraId="3F47B970" w14:textId="77777777">
        <w:tc>
          <w:tcPr>
            <w:tcW w:w="0" w:type="auto"/>
          </w:tcPr>
          <w:p w14:paraId="4E93E16E" w14:textId="77777777" w:rsidR="00EC49AF" w:rsidRPr="008B13A5" w:rsidRDefault="00EC49AF">
            <w:pPr>
              <w:spacing w:after="0"/>
              <w:jc w:val="left"/>
              <w:rPr>
                <w:noProof/>
                <w:szCs w:val="22"/>
              </w:rPr>
            </w:pPr>
            <w:r w:rsidRPr="008B13A5">
              <w:rPr>
                <w:b/>
                <w:noProof/>
                <w:szCs w:val="22"/>
              </w:rPr>
              <w:t>Materials</w:t>
            </w:r>
          </w:p>
        </w:tc>
        <w:tc>
          <w:tcPr>
            <w:tcW w:w="0" w:type="auto"/>
          </w:tcPr>
          <w:p w14:paraId="1A3C24B6" w14:textId="7C792217" w:rsidR="00EC49AF" w:rsidRPr="008B13A5" w:rsidRDefault="00EC49AF">
            <w:pPr>
              <w:spacing w:after="0"/>
              <w:jc w:val="left"/>
              <w:rPr>
                <w:noProof/>
                <w:szCs w:val="22"/>
              </w:rPr>
            </w:pPr>
            <w:r w:rsidRPr="008B13A5">
              <w:rPr>
                <w:noProof/>
                <w:szCs w:val="22"/>
              </w:rPr>
              <w:t xml:space="preserve">2023: 17 % </w:t>
            </w:r>
          </w:p>
          <w:p w14:paraId="1059153D" w14:textId="78F1A2C4" w:rsidR="00EC49AF" w:rsidRPr="008B13A5" w:rsidRDefault="00EC49AF">
            <w:pPr>
              <w:spacing w:after="0"/>
              <w:jc w:val="left"/>
              <w:rPr>
                <w:noProof/>
                <w:szCs w:val="22"/>
              </w:rPr>
            </w:pPr>
            <w:r w:rsidRPr="008B13A5">
              <w:rPr>
                <w:noProof/>
                <w:szCs w:val="22"/>
              </w:rPr>
              <w:t xml:space="preserve">2030: 19 % </w:t>
            </w:r>
          </w:p>
          <w:p w14:paraId="449084B3" w14:textId="42A33EFF" w:rsidR="00EC49AF" w:rsidRPr="008B13A5" w:rsidRDefault="00EC49AF">
            <w:pPr>
              <w:spacing w:after="0"/>
              <w:jc w:val="left"/>
              <w:rPr>
                <w:noProof/>
                <w:szCs w:val="22"/>
              </w:rPr>
            </w:pPr>
            <w:r w:rsidRPr="008B13A5">
              <w:rPr>
                <w:noProof/>
                <w:szCs w:val="22"/>
              </w:rPr>
              <w:t>2035: slow growth</w:t>
            </w:r>
          </w:p>
        </w:tc>
        <w:tc>
          <w:tcPr>
            <w:tcW w:w="0" w:type="auto"/>
          </w:tcPr>
          <w:p w14:paraId="773FA210" w14:textId="3611EB15" w:rsidR="00EC49AF" w:rsidRPr="008B13A5" w:rsidRDefault="00EC49AF">
            <w:pPr>
              <w:spacing w:after="0"/>
              <w:jc w:val="left"/>
              <w:rPr>
                <w:noProof/>
                <w:szCs w:val="22"/>
              </w:rPr>
            </w:pPr>
            <w:r w:rsidRPr="008B13A5">
              <w:rPr>
                <w:noProof/>
                <w:szCs w:val="22"/>
              </w:rPr>
              <w:t xml:space="preserve">2023: ~29–47 %   </w:t>
            </w:r>
          </w:p>
          <w:p w14:paraId="5F393440" w14:textId="4A752425" w:rsidR="00EC49AF" w:rsidRPr="008B13A5" w:rsidRDefault="00EC49AF">
            <w:pPr>
              <w:spacing w:after="0"/>
              <w:jc w:val="left"/>
              <w:rPr>
                <w:noProof/>
                <w:szCs w:val="22"/>
              </w:rPr>
            </w:pPr>
            <w:r w:rsidRPr="008B13A5">
              <w:rPr>
                <w:noProof/>
                <w:szCs w:val="22"/>
              </w:rPr>
              <w:t>2030: slow decline</w:t>
            </w:r>
          </w:p>
          <w:p w14:paraId="30965F95" w14:textId="13B2A253" w:rsidR="00EC49AF" w:rsidRPr="008B13A5" w:rsidRDefault="00EC49AF">
            <w:pPr>
              <w:spacing w:after="0"/>
              <w:jc w:val="left"/>
              <w:rPr>
                <w:noProof/>
                <w:szCs w:val="22"/>
              </w:rPr>
            </w:pPr>
            <w:r w:rsidRPr="008B13A5">
              <w:rPr>
                <w:noProof/>
                <w:szCs w:val="22"/>
              </w:rPr>
              <w:t>2035: slow decline</w:t>
            </w:r>
          </w:p>
        </w:tc>
        <w:tc>
          <w:tcPr>
            <w:tcW w:w="0" w:type="auto"/>
          </w:tcPr>
          <w:p w14:paraId="13DD92ED" w14:textId="2F583B3D" w:rsidR="00EC49AF" w:rsidRPr="008B13A5" w:rsidRDefault="00EC49AF">
            <w:pPr>
              <w:spacing w:after="0"/>
              <w:jc w:val="left"/>
              <w:rPr>
                <w:noProof/>
                <w:szCs w:val="22"/>
              </w:rPr>
            </w:pPr>
            <w:r w:rsidRPr="008B13A5">
              <w:rPr>
                <w:noProof/>
                <w:szCs w:val="22"/>
              </w:rPr>
              <w:t>Moderate → Moderately high (↑)</w:t>
            </w:r>
          </w:p>
        </w:tc>
        <w:tc>
          <w:tcPr>
            <w:tcW w:w="0" w:type="auto"/>
          </w:tcPr>
          <w:p w14:paraId="365A3FA0" w14:textId="3863FB91" w:rsidR="00EC49AF" w:rsidRPr="008B13A5" w:rsidRDefault="00EC49AF">
            <w:pPr>
              <w:spacing w:after="0"/>
              <w:jc w:val="left"/>
              <w:rPr>
                <w:noProof/>
                <w:szCs w:val="22"/>
              </w:rPr>
            </w:pPr>
            <w:r w:rsidRPr="008B13A5">
              <w:rPr>
                <w:noProof/>
                <w:szCs w:val="22"/>
              </w:rPr>
              <w:t>C</w:t>
            </w:r>
            <w:r w:rsidR="00C0312C">
              <w:rPr>
                <w:noProof/>
                <w:szCs w:val="22"/>
              </w:rPr>
              <w:t xml:space="preserve">ritical </w:t>
            </w:r>
            <w:r w:rsidRPr="008B13A5">
              <w:rPr>
                <w:noProof/>
                <w:szCs w:val="22"/>
              </w:rPr>
              <w:t>R</w:t>
            </w:r>
            <w:r w:rsidR="00C0312C">
              <w:rPr>
                <w:noProof/>
                <w:szCs w:val="22"/>
              </w:rPr>
              <w:t xml:space="preserve">aw </w:t>
            </w:r>
            <w:r w:rsidRPr="008B13A5">
              <w:rPr>
                <w:noProof/>
                <w:szCs w:val="22"/>
              </w:rPr>
              <w:t>M</w:t>
            </w:r>
            <w:r w:rsidR="00C0312C">
              <w:rPr>
                <w:noProof/>
                <w:szCs w:val="22"/>
              </w:rPr>
              <w:t xml:space="preserve">aterials </w:t>
            </w:r>
            <w:r w:rsidRPr="008B13A5">
              <w:rPr>
                <w:noProof/>
                <w:szCs w:val="22"/>
              </w:rPr>
              <w:t>A</w:t>
            </w:r>
            <w:r w:rsidR="00C0312C">
              <w:rPr>
                <w:noProof/>
                <w:szCs w:val="22"/>
              </w:rPr>
              <w:t>ct</w:t>
            </w:r>
            <w:r w:rsidRPr="008B13A5">
              <w:rPr>
                <w:noProof/>
                <w:szCs w:val="22"/>
              </w:rPr>
              <w:t xml:space="preserve"> reduces dependency; risks persist for Chinese-controlled gallium/germanium supply.</w:t>
            </w:r>
          </w:p>
        </w:tc>
      </w:tr>
      <w:tr w:rsidR="008B750D" w:rsidRPr="008B13A5" w14:paraId="1F2BE075" w14:textId="77777777">
        <w:tc>
          <w:tcPr>
            <w:tcW w:w="0" w:type="auto"/>
          </w:tcPr>
          <w:p w14:paraId="6859D443" w14:textId="44F13594" w:rsidR="00EC49AF" w:rsidRPr="008B13A5" w:rsidRDefault="00EC49AF">
            <w:pPr>
              <w:spacing w:after="0"/>
              <w:jc w:val="left"/>
              <w:rPr>
                <w:b/>
                <w:noProof/>
                <w:szCs w:val="22"/>
              </w:rPr>
            </w:pPr>
            <w:r w:rsidRPr="008B13A5">
              <w:rPr>
                <w:b/>
                <w:noProof/>
                <w:szCs w:val="22"/>
              </w:rPr>
              <w:t>End-Use Applications</w:t>
            </w:r>
          </w:p>
        </w:tc>
        <w:tc>
          <w:tcPr>
            <w:tcW w:w="0" w:type="auto"/>
          </w:tcPr>
          <w:p w14:paraId="5930F896" w14:textId="3166E337" w:rsidR="00EC49AF" w:rsidRPr="008B13A5" w:rsidRDefault="00EC49AF">
            <w:pPr>
              <w:spacing w:after="0"/>
              <w:jc w:val="left"/>
              <w:rPr>
                <w:noProof/>
                <w:szCs w:val="22"/>
              </w:rPr>
            </w:pPr>
            <w:r w:rsidRPr="008B13A5">
              <w:rPr>
                <w:noProof/>
                <w:szCs w:val="22"/>
              </w:rPr>
              <w:t>2023: Automotive represents more than 37% of semiconductor shipments to Europe</w:t>
            </w:r>
          </w:p>
          <w:p w14:paraId="46BD820F" w14:textId="5832FC93" w:rsidR="00EC49AF" w:rsidRPr="008B13A5" w:rsidRDefault="00EC49AF">
            <w:pPr>
              <w:spacing w:after="0"/>
              <w:jc w:val="left"/>
              <w:rPr>
                <w:noProof/>
                <w:szCs w:val="22"/>
              </w:rPr>
            </w:pPr>
            <w:r w:rsidRPr="008B13A5">
              <w:rPr>
                <w:noProof/>
                <w:szCs w:val="22"/>
              </w:rPr>
              <w:t>2030: slow decline</w:t>
            </w:r>
          </w:p>
          <w:p w14:paraId="6F33650B" w14:textId="3A804D18" w:rsidR="00EC49AF" w:rsidRPr="008B13A5" w:rsidRDefault="00EC49AF">
            <w:pPr>
              <w:spacing w:after="0"/>
              <w:jc w:val="left"/>
              <w:rPr>
                <w:noProof/>
                <w:szCs w:val="22"/>
              </w:rPr>
            </w:pPr>
            <w:r w:rsidRPr="008B13A5">
              <w:rPr>
                <w:noProof/>
                <w:szCs w:val="22"/>
              </w:rPr>
              <w:t>2035: slow decline</w:t>
            </w:r>
          </w:p>
        </w:tc>
        <w:tc>
          <w:tcPr>
            <w:tcW w:w="0" w:type="auto"/>
          </w:tcPr>
          <w:p w14:paraId="21B850E8" w14:textId="21F0626D" w:rsidR="00EC49AF" w:rsidRPr="008B13A5" w:rsidRDefault="00EC49AF">
            <w:pPr>
              <w:spacing w:after="0"/>
              <w:jc w:val="left"/>
              <w:rPr>
                <w:noProof/>
                <w:szCs w:val="22"/>
              </w:rPr>
            </w:pPr>
            <w:r w:rsidRPr="008B13A5">
              <w:rPr>
                <w:i/>
                <w:noProof/>
                <w:szCs w:val="22"/>
              </w:rPr>
              <w:t>Not applicable (demand-side)</w:t>
            </w:r>
          </w:p>
        </w:tc>
        <w:tc>
          <w:tcPr>
            <w:tcW w:w="0" w:type="auto"/>
          </w:tcPr>
          <w:p w14:paraId="37049C23" w14:textId="36158645" w:rsidR="00EC49AF" w:rsidRPr="008B13A5" w:rsidRDefault="00EC49AF">
            <w:pPr>
              <w:spacing w:after="0"/>
              <w:jc w:val="left"/>
              <w:rPr>
                <w:noProof/>
                <w:szCs w:val="22"/>
              </w:rPr>
            </w:pPr>
            <w:r w:rsidRPr="008B13A5">
              <w:rPr>
                <w:noProof/>
                <w:szCs w:val="22"/>
              </w:rPr>
              <w:t>Moderate but uneven (→)</w:t>
            </w:r>
          </w:p>
        </w:tc>
        <w:tc>
          <w:tcPr>
            <w:tcW w:w="0" w:type="auto"/>
          </w:tcPr>
          <w:p w14:paraId="46E6CBF9" w14:textId="7AE48F95" w:rsidR="00EC49AF" w:rsidRPr="008B13A5" w:rsidRDefault="00EC49AF">
            <w:pPr>
              <w:spacing w:after="0"/>
              <w:jc w:val="left"/>
              <w:rPr>
                <w:noProof/>
                <w:szCs w:val="22"/>
              </w:rPr>
            </w:pPr>
            <w:r w:rsidRPr="008B13A5">
              <w:rPr>
                <w:noProof/>
                <w:szCs w:val="22"/>
              </w:rPr>
              <w:t>EU demand grows in automotive and industrial sectors; supply reliance remains high.</w:t>
            </w:r>
          </w:p>
        </w:tc>
      </w:tr>
    </w:tbl>
    <w:p w14:paraId="09FAD372" w14:textId="77777777" w:rsidR="00C0312C" w:rsidRDefault="00C0312C" w:rsidP="00EC49AF">
      <w:pPr>
        <w:rPr>
          <w:b/>
          <w:bCs/>
          <w:noProof/>
          <w:szCs w:val="22"/>
        </w:rPr>
      </w:pPr>
    </w:p>
    <w:p w14:paraId="714EA98A" w14:textId="267FA572" w:rsidR="00EC49AF" w:rsidRPr="008B13A5" w:rsidRDefault="00EC49AF" w:rsidP="00EC49AF">
      <w:pPr>
        <w:rPr>
          <w:noProof/>
          <w:szCs w:val="22"/>
        </w:rPr>
      </w:pPr>
      <w:r w:rsidRPr="008B13A5">
        <w:rPr>
          <w:b/>
          <w:bCs/>
          <w:noProof/>
          <w:szCs w:val="22"/>
        </w:rPr>
        <w:t>Justification for the assumptions above</w:t>
      </w:r>
      <w:r w:rsidRPr="008B13A5">
        <w:rPr>
          <w:noProof/>
          <w:szCs w:val="22"/>
        </w:rPr>
        <w:t>:</w:t>
      </w:r>
    </w:p>
    <w:p w14:paraId="71CB0672" w14:textId="28CB52CE" w:rsidR="00EC49AF" w:rsidRPr="008B13A5" w:rsidRDefault="00EC49AF" w:rsidP="00EC49AF">
      <w:pPr>
        <w:pStyle w:val="NormalWeb"/>
        <w:jc w:val="both"/>
        <w:rPr>
          <w:noProof/>
        </w:rPr>
      </w:pPr>
      <w:r w:rsidRPr="008B13A5">
        <w:rPr>
          <w:noProof/>
        </w:rPr>
        <w:t xml:space="preserve">The baseline and forward-looking indicators presented </w:t>
      </w:r>
      <w:r w:rsidR="00C02ABA">
        <w:rPr>
          <w:noProof/>
        </w:rPr>
        <w:t>above</w:t>
      </w:r>
      <w:r w:rsidRPr="008B13A5">
        <w:rPr>
          <w:noProof/>
        </w:rPr>
        <w:t xml:space="preserve"> are derived from a triangulation of official statistics, Joint Research Centre (JRC) analys</w:t>
      </w:r>
      <w:r w:rsidR="00373C6E">
        <w:rPr>
          <w:noProof/>
        </w:rPr>
        <w:t>i</w:t>
      </w:r>
      <w:r w:rsidRPr="008B13A5">
        <w:rPr>
          <w:noProof/>
        </w:rPr>
        <w:t>s, industry forecasts, and academic and policy literature. Each segment of the semiconductor global value chain (GVC) draws on a combination of quantitative trade data, capacity benchmarks, and qualitative assessments of resilience and dependency.</w:t>
      </w:r>
    </w:p>
    <w:p w14:paraId="14C3323C" w14:textId="74483B45" w:rsidR="00EC49AF" w:rsidRPr="007928E6" w:rsidRDefault="00EC49AF" w:rsidP="00EC49AF">
      <w:pPr>
        <w:pStyle w:val="NormalWeb"/>
        <w:jc w:val="both"/>
        <w:rPr>
          <w:rStyle w:val="Strong"/>
          <w:rFonts w:eastAsia="MS Gothic"/>
          <w:b w:val="0"/>
          <w:bCs w:val="0"/>
          <w:noProof/>
        </w:rPr>
      </w:pPr>
      <w:r w:rsidRPr="00BD008E">
        <w:rPr>
          <w:rStyle w:val="Strong"/>
          <w:rFonts w:eastAsia="MS Gothic"/>
          <w:b w:val="0"/>
          <w:noProof/>
        </w:rPr>
        <w:t>For the Intellectual Property (IP) segment, the 2023 baseline reflects Europe’s marginal global footprint (below 1 %), consistent with IDC reporting (2023) as well as McKinsey (2024)</w:t>
      </w:r>
      <w:r w:rsidRPr="007928E6">
        <w:rPr>
          <w:rStyle w:val="FootnoteReference"/>
          <w:b/>
          <w:noProof/>
        </w:rPr>
        <w:t xml:space="preserve"> </w:t>
      </w:r>
      <w:r w:rsidR="00F274DD" w:rsidRPr="007928E6">
        <w:rPr>
          <w:b/>
          <w:noProof/>
        </w:rPr>
        <w:t xml:space="preserve"> </w:t>
      </w:r>
      <w:r w:rsidRPr="007928E6">
        <w:rPr>
          <w:b/>
          <w:noProof/>
        </w:rPr>
        <w:t>(</w:t>
      </w:r>
      <w:r w:rsidRPr="007928E6">
        <w:rPr>
          <w:rStyle w:val="FootnoteReference"/>
          <w:b/>
          <w:noProof/>
        </w:rPr>
        <w:footnoteReference w:id="117"/>
      </w:r>
      <w:r w:rsidRPr="007928E6">
        <w:rPr>
          <w:b/>
          <w:noProof/>
        </w:rPr>
        <w:t>)</w:t>
      </w:r>
      <w:r w:rsidRPr="00BD008E">
        <w:rPr>
          <w:rStyle w:val="Strong"/>
          <w:rFonts w:eastAsia="MS Gothic"/>
          <w:b w:val="0"/>
          <w:noProof/>
        </w:rPr>
        <w:t xml:space="preserve"> and IFRI (2024)</w:t>
      </w:r>
      <w:r w:rsidRPr="007928E6">
        <w:rPr>
          <w:rStyle w:val="FootnoteReference"/>
          <w:b/>
          <w:noProof/>
        </w:rPr>
        <w:t xml:space="preserve"> </w:t>
      </w:r>
      <w:r w:rsidR="00F274DD" w:rsidRPr="007928E6">
        <w:rPr>
          <w:b/>
          <w:noProof/>
        </w:rPr>
        <w:t xml:space="preserve"> </w:t>
      </w:r>
      <w:r w:rsidRPr="007928E6">
        <w:rPr>
          <w:b/>
          <w:noProof/>
        </w:rPr>
        <w:t>(</w:t>
      </w:r>
      <w:r w:rsidRPr="007928E6">
        <w:rPr>
          <w:rStyle w:val="FootnoteReference"/>
          <w:b/>
          <w:noProof/>
        </w:rPr>
        <w:footnoteReference w:id="118"/>
      </w:r>
      <w:r w:rsidRPr="007928E6">
        <w:rPr>
          <w:b/>
          <w:noProof/>
        </w:rPr>
        <w:t>)</w:t>
      </w:r>
      <w:r w:rsidRPr="00BD008E">
        <w:rPr>
          <w:rStyle w:val="Strong"/>
          <w:rFonts w:eastAsia="MS Gothic"/>
          <w:b w:val="0"/>
          <w:noProof/>
        </w:rPr>
        <w:t>, which highlight the structural dominance of US IP licensors. Since IP does not map onto trade flows, no import dependency metric is reported, and resilience is assessed as remaining low and stable over the baseline period</w:t>
      </w:r>
    </w:p>
    <w:p w14:paraId="1F6AF427" w14:textId="23F192FA" w:rsidR="00EC49AF" w:rsidRPr="007928E6" w:rsidRDefault="00EC49AF" w:rsidP="00EC49AF">
      <w:pPr>
        <w:pStyle w:val="NormalWeb"/>
        <w:jc w:val="both"/>
        <w:rPr>
          <w:rStyle w:val="Strong"/>
          <w:rFonts w:eastAsia="MS Gothic"/>
          <w:b w:val="0"/>
          <w:bCs w:val="0"/>
          <w:noProof/>
        </w:rPr>
      </w:pPr>
      <w:r w:rsidRPr="00BD008E">
        <w:rPr>
          <w:rStyle w:val="Strong"/>
          <w:rFonts w:eastAsia="MS Gothic"/>
          <w:b w:val="0"/>
          <w:noProof/>
        </w:rPr>
        <w:t xml:space="preserve">For Electronic Design Automation (EDA), Europe’s 2023 market share (around 21 %) follows IDC’s reporting but is projected to decline modestly toward 2030. Dependency cannot be measured through trade statistics, yet qualitative evidence from </w:t>
      </w:r>
      <w:r w:rsidRPr="007928E6">
        <w:rPr>
          <w:b/>
          <w:noProof/>
        </w:rPr>
        <w:t>BCG–SIA (2024)</w:t>
      </w:r>
      <w:r w:rsidR="00F274DD" w:rsidRPr="007928E6">
        <w:rPr>
          <w:b/>
          <w:noProof/>
        </w:rPr>
        <w:t xml:space="preserve"> </w:t>
      </w:r>
      <w:r w:rsidRPr="007928E6">
        <w:rPr>
          <w:b/>
          <w:noProof/>
        </w:rPr>
        <w:t>(</w:t>
      </w:r>
      <w:r w:rsidRPr="007928E6">
        <w:rPr>
          <w:rStyle w:val="FootnoteReference"/>
          <w:b/>
          <w:noProof/>
        </w:rPr>
        <w:footnoteReference w:id="119"/>
      </w:r>
      <w:r w:rsidRPr="007928E6">
        <w:rPr>
          <w:b/>
          <w:noProof/>
        </w:rPr>
        <w:t xml:space="preserve">) </w:t>
      </w:r>
      <w:r w:rsidRPr="00BD008E">
        <w:rPr>
          <w:rStyle w:val="Strong"/>
          <w:rFonts w:eastAsia="MS Gothic"/>
          <w:b w:val="0"/>
          <w:noProof/>
        </w:rPr>
        <w:t xml:space="preserve">and </w:t>
      </w:r>
      <w:r w:rsidRPr="007928E6">
        <w:rPr>
          <w:b/>
          <w:noProof/>
        </w:rPr>
        <w:t>Interface (2024)</w:t>
      </w:r>
      <w:r w:rsidR="00F274DD" w:rsidRPr="007928E6">
        <w:rPr>
          <w:b/>
          <w:noProof/>
        </w:rPr>
        <w:t xml:space="preserve"> </w:t>
      </w:r>
      <w:r w:rsidRPr="007928E6">
        <w:rPr>
          <w:b/>
          <w:noProof/>
        </w:rPr>
        <w:t>(</w:t>
      </w:r>
      <w:r w:rsidRPr="007928E6">
        <w:rPr>
          <w:rStyle w:val="FootnoteReference"/>
          <w:b/>
          <w:noProof/>
        </w:rPr>
        <w:footnoteReference w:id="120"/>
      </w:r>
      <w:r w:rsidRPr="007928E6">
        <w:rPr>
          <w:b/>
          <w:noProof/>
        </w:rPr>
        <w:t xml:space="preserve">) </w:t>
      </w:r>
      <w:r w:rsidRPr="00BD008E">
        <w:rPr>
          <w:rStyle w:val="Strong"/>
          <w:rFonts w:eastAsia="MS Gothic"/>
          <w:b w:val="0"/>
          <w:noProof/>
        </w:rPr>
        <w:t xml:space="preserve">suggests that Europe remains heavily reliant on US EDA vendors. </w:t>
      </w:r>
    </w:p>
    <w:p w14:paraId="6525332A" w14:textId="57ED8D35" w:rsidR="00EC49AF" w:rsidRPr="008B13A5" w:rsidRDefault="00EC49AF" w:rsidP="00EC49AF">
      <w:pPr>
        <w:pStyle w:val="NormalWeb"/>
        <w:jc w:val="both"/>
        <w:rPr>
          <w:noProof/>
        </w:rPr>
      </w:pPr>
      <w:r w:rsidRPr="008B13A5">
        <w:rPr>
          <w:noProof/>
        </w:rPr>
        <w:t xml:space="preserve">For </w:t>
      </w:r>
      <w:r w:rsidRPr="008B13A5">
        <w:rPr>
          <w:rStyle w:val="Strong"/>
          <w:noProof/>
        </w:rPr>
        <w:t>semiconductor manufacturing equipment</w:t>
      </w:r>
      <w:r w:rsidRPr="008B13A5">
        <w:rPr>
          <w:noProof/>
        </w:rPr>
        <w:t xml:space="preserve">, the baseline EU market share </w:t>
      </w:r>
      <w:bookmarkStart w:id="214" w:name="_Hlk216341492"/>
      <w:r w:rsidRPr="008B13A5">
        <w:rPr>
          <w:rStyle w:val="Strong"/>
          <w:rFonts w:eastAsia="MS Gothic"/>
          <w:noProof/>
        </w:rPr>
        <w:t>of 28 % in 2023, rising toward 34 % in 2030</w:t>
      </w:r>
      <w:bookmarkEnd w:id="214"/>
      <w:r w:rsidRPr="008B13A5">
        <w:rPr>
          <w:rStyle w:val="Strong"/>
          <w:rFonts w:eastAsia="MS Gothic"/>
          <w:noProof/>
        </w:rPr>
        <w:t xml:space="preserve"> is captured by IDC, BCG (2021), and McKinsey (2024)</w:t>
      </w:r>
      <w:r w:rsidR="00F274DD" w:rsidRPr="008B13A5">
        <w:rPr>
          <w:rStyle w:val="Strong"/>
          <w:rFonts w:eastAsia="MS Gothic"/>
          <w:noProof/>
        </w:rPr>
        <w:t xml:space="preserve"> </w:t>
      </w:r>
      <w:r w:rsidRPr="008B13A5">
        <w:rPr>
          <w:rStyle w:val="Strong"/>
          <w:rFonts w:eastAsia="MS Gothic"/>
          <w:noProof/>
        </w:rPr>
        <w:t>(</w:t>
      </w:r>
      <w:r w:rsidRPr="008B13A5">
        <w:rPr>
          <w:rStyle w:val="FootnoteReference"/>
          <w:noProof/>
        </w:rPr>
        <w:footnoteReference w:id="121"/>
      </w:r>
      <w:r w:rsidRPr="008B13A5">
        <w:rPr>
          <w:rStyle w:val="Strong"/>
          <w:rFonts w:eastAsia="MS Gothic"/>
          <w:noProof/>
        </w:rPr>
        <w:t>)</w:t>
      </w:r>
      <w:r w:rsidRPr="008B13A5">
        <w:rPr>
          <w:noProof/>
        </w:rPr>
        <w:t>. These sources identify Europe’s enduring leadership in lithography (ASML) and metrology, balanced by continuing reliance on non-EU suppliers for other critical equipment categories, including etching, deposition, and ion implantation tools from the US, as well as mask exposure equipment and EUV light sources from Japan. While the lithography segment is expected to remain a structural strength for Europe, the broader equipment landscape continues to exhibit significant dependencies on US and Japanese technologies.</w:t>
      </w:r>
    </w:p>
    <w:p w14:paraId="5F28B889" w14:textId="1D92478B" w:rsidR="00EC49AF" w:rsidRPr="00A51102" w:rsidRDefault="00EC49AF" w:rsidP="00EC49AF">
      <w:pPr>
        <w:pStyle w:val="NormalWeb"/>
        <w:jc w:val="both"/>
        <w:rPr>
          <w:b/>
          <w:noProof/>
        </w:rPr>
      </w:pPr>
      <w:r w:rsidRPr="00BD008E">
        <w:rPr>
          <w:rStyle w:val="Strong"/>
          <w:rFonts w:eastAsia="MS Gothic"/>
          <w:b w:val="0"/>
          <w:noProof/>
        </w:rPr>
        <w:t xml:space="preserve">For foundry services, Europe’s market share remains small (around 1 %), consistent with IDC and BCG–SIA </w:t>
      </w:r>
      <w:r w:rsidRPr="00BD008E">
        <w:rPr>
          <w:noProof/>
        </w:rPr>
        <w:t>(2024)</w:t>
      </w:r>
      <w:r w:rsidR="00F274DD" w:rsidRPr="00A51102">
        <w:rPr>
          <w:b/>
          <w:noProof/>
        </w:rPr>
        <w:t xml:space="preserve"> </w:t>
      </w:r>
      <w:r w:rsidR="00A51102" w:rsidRPr="00BD008E">
        <w:rPr>
          <w:noProof/>
        </w:rPr>
        <w:t>data</w:t>
      </w:r>
      <w:r w:rsidRPr="00A51102">
        <w:rPr>
          <w:b/>
          <w:noProof/>
        </w:rPr>
        <w:t>(</w:t>
      </w:r>
      <w:r w:rsidRPr="00A51102">
        <w:rPr>
          <w:rStyle w:val="FootnoteReference"/>
          <w:b/>
          <w:noProof/>
        </w:rPr>
        <w:footnoteReference w:id="122"/>
      </w:r>
      <w:r w:rsidRPr="00A51102">
        <w:rPr>
          <w:b/>
          <w:noProof/>
        </w:rPr>
        <w:t>)</w:t>
      </w:r>
      <w:r w:rsidRPr="00BD008E">
        <w:rPr>
          <w:rStyle w:val="Strong"/>
          <w:rFonts w:eastAsia="MS Gothic"/>
          <w:b w:val="0"/>
          <w:noProof/>
        </w:rPr>
        <w:t>. The dependency rate (~24 %) reflects Europe’s continued need for advanced-node and leading-edge wafer capacity located mainly in Taiwan, South Korea, and the US. New European fabs stabilise capacity but do not materially change global share or structural dependence.</w:t>
      </w:r>
    </w:p>
    <w:p w14:paraId="383C3749" w14:textId="0B01460F" w:rsidR="00EC49AF" w:rsidRPr="008B13A5" w:rsidRDefault="00EC49AF" w:rsidP="00EC49AF">
      <w:pPr>
        <w:pStyle w:val="NormalWeb"/>
        <w:jc w:val="both"/>
        <w:rPr>
          <w:noProof/>
        </w:rPr>
      </w:pPr>
      <w:r w:rsidRPr="008B13A5">
        <w:rPr>
          <w:noProof/>
        </w:rPr>
        <w:t xml:space="preserve">For </w:t>
      </w:r>
      <w:r w:rsidRPr="008B13A5">
        <w:rPr>
          <w:rStyle w:val="Strong"/>
          <w:noProof/>
        </w:rPr>
        <w:t>assembly, test, and packaging (ATP)</w:t>
      </w:r>
      <w:r w:rsidRPr="008B13A5">
        <w:rPr>
          <w:noProof/>
        </w:rPr>
        <w:t>, the baseline dependency of around 64% is derived from the same JRC (2023)</w:t>
      </w:r>
      <w:r w:rsidR="00F274DD" w:rsidRPr="008B13A5">
        <w:rPr>
          <w:noProof/>
        </w:rPr>
        <w:t xml:space="preserve"> </w:t>
      </w:r>
      <w:r w:rsidRPr="008B13A5">
        <w:rPr>
          <w:noProof/>
        </w:rPr>
        <w:t>(</w:t>
      </w:r>
      <w:r w:rsidRPr="008B13A5">
        <w:rPr>
          <w:rStyle w:val="FootnoteReference"/>
          <w:noProof/>
        </w:rPr>
        <w:footnoteReference w:id="123"/>
      </w:r>
      <w:r w:rsidRPr="008B13A5">
        <w:rPr>
          <w:noProof/>
        </w:rPr>
        <w:t xml:space="preserve">) “chips” category after disaggregation. IDC reporting shows that that </w:t>
      </w:r>
      <w:r w:rsidRPr="008B13A5">
        <w:rPr>
          <w:rStyle w:val="Strong"/>
          <w:rFonts w:eastAsia="MS Gothic"/>
          <w:noProof/>
        </w:rPr>
        <w:t>Europe’s market share remains negligible (&lt;1 %)</w:t>
      </w:r>
      <w:r w:rsidRPr="008B13A5">
        <w:rPr>
          <w:noProof/>
        </w:rPr>
        <w:t>, while McKinsey (2024)</w:t>
      </w:r>
      <w:r w:rsidR="00F274DD" w:rsidRPr="008B13A5">
        <w:rPr>
          <w:noProof/>
        </w:rPr>
        <w:t xml:space="preserve"> </w:t>
      </w:r>
      <w:r w:rsidRPr="008B13A5">
        <w:rPr>
          <w:noProof/>
        </w:rPr>
        <w:t>(</w:t>
      </w:r>
      <w:r w:rsidRPr="008B13A5">
        <w:rPr>
          <w:rStyle w:val="FootnoteReference"/>
          <w:noProof/>
        </w:rPr>
        <w:footnoteReference w:id="124"/>
      </w:r>
      <w:r w:rsidRPr="008B13A5">
        <w:rPr>
          <w:noProof/>
        </w:rPr>
        <w:t>) estimates that 85–90 percent of global packaging value is located in Asia. IFRI (2024)</w:t>
      </w:r>
      <w:r w:rsidR="00F274DD" w:rsidRPr="008B13A5">
        <w:rPr>
          <w:noProof/>
        </w:rPr>
        <w:t xml:space="preserve"> </w:t>
      </w:r>
      <w:r w:rsidRPr="008B13A5">
        <w:rPr>
          <w:noProof/>
        </w:rPr>
        <w:t>(</w:t>
      </w:r>
      <w:r w:rsidRPr="008B13A5">
        <w:rPr>
          <w:rStyle w:val="FootnoteReference"/>
          <w:noProof/>
        </w:rPr>
        <w:footnoteReference w:id="125"/>
      </w:r>
      <w:r w:rsidRPr="008B13A5">
        <w:rPr>
          <w:noProof/>
        </w:rPr>
        <w:t>) and SIA (2024)</w:t>
      </w:r>
      <w:r w:rsidRPr="008B13A5">
        <w:rPr>
          <w:rStyle w:val="FootnoteReference"/>
          <w:noProof/>
        </w:rPr>
        <w:t xml:space="preserve"> </w:t>
      </w:r>
      <w:r w:rsidR="00F274DD" w:rsidRPr="008B13A5">
        <w:rPr>
          <w:noProof/>
        </w:rPr>
        <w:t xml:space="preserve"> </w:t>
      </w:r>
      <w:r w:rsidRPr="008B13A5">
        <w:rPr>
          <w:noProof/>
        </w:rPr>
        <w:t>(</w:t>
      </w:r>
      <w:r w:rsidRPr="008B13A5">
        <w:rPr>
          <w:rStyle w:val="FootnoteReference"/>
          <w:noProof/>
        </w:rPr>
        <w:footnoteReference w:id="126"/>
      </w:r>
      <w:r w:rsidRPr="008B13A5">
        <w:rPr>
          <w:noProof/>
        </w:rPr>
        <w:t>) note limited reshoring of ATP for automotive and SiC devices, suggesting marginal gains in European share to 5–6 percent by 2035. Nonetheless, McKinsey (2025)</w:t>
      </w:r>
      <w:r w:rsidR="00F274DD" w:rsidRPr="008B13A5">
        <w:rPr>
          <w:noProof/>
        </w:rPr>
        <w:t xml:space="preserve"> </w:t>
      </w:r>
      <w:r w:rsidRPr="008B13A5">
        <w:rPr>
          <w:noProof/>
        </w:rPr>
        <w:t>(</w:t>
      </w:r>
      <w:r w:rsidRPr="008B13A5">
        <w:rPr>
          <w:rStyle w:val="FootnoteReference"/>
          <w:noProof/>
        </w:rPr>
        <w:footnoteReference w:id="127"/>
      </w:r>
      <w:r w:rsidRPr="008B13A5">
        <w:rPr>
          <w:noProof/>
        </w:rPr>
        <w:t>) emphasises that Europe’s back-end gap will remain its most persistent vulnerability.</w:t>
      </w:r>
    </w:p>
    <w:p w14:paraId="7921CB5A" w14:textId="79473BEB" w:rsidR="00EC49AF" w:rsidRPr="00570145" w:rsidRDefault="00EC49AF" w:rsidP="00EC49AF">
      <w:pPr>
        <w:pStyle w:val="NormalWeb"/>
        <w:jc w:val="both"/>
        <w:rPr>
          <w:b/>
          <w:noProof/>
        </w:rPr>
      </w:pPr>
      <w:bookmarkStart w:id="215" w:name="_Hlk216341801"/>
      <w:r w:rsidRPr="00BD008E">
        <w:rPr>
          <w:rStyle w:val="Strong"/>
          <w:rFonts w:eastAsia="MS Gothic"/>
          <w:b w:val="0"/>
          <w:noProof/>
        </w:rPr>
        <w:t xml:space="preserve">For </w:t>
      </w:r>
      <w:r w:rsidR="00462252">
        <w:rPr>
          <w:rStyle w:val="Strong"/>
          <w:rFonts w:eastAsia="MS Gothic"/>
          <w:b w:val="0"/>
          <w:bCs w:val="0"/>
          <w:noProof/>
        </w:rPr>
        <w:t>semiconductor vendors</w:t>
      </w:r>
      <w:r w:rsidRPr="00BD008E">
        <w:rPr>
          <w:rStyle w:val="Strong"/>
          <w:rFonts w:eastAsia="MS Gothic"/>
          <w:b w:val="0"/>
          <w:noProof/>
        </w:rPr>
        <w:t xml:space="preserve"> </w:t>
      </w:r>
      <w:r w:rsidR="00462252">
        <w:rPr>
          <w:rStyle w:val="Strong"/>
          <w:rFonts w:eastAsia="MS Gothic"/>
          <w:b w:val="0"/>
          <w:bCs w:val="0"/>
          <w:noProof/>
        </w:rPr>
        <w:t>(including f</w:t>
      </w:r>
      <w:r w:rsidRPr="00BD008E">
        <w:rPr>
          <w:rStyle w:val="Strong"/>
          <w:rFonts w:eastAsia="MS Gothic"/>
          <w:b w:val="0"/>
          <w:bCs w:val="0"/>
          <w:noProof/>
        </w:rPr>
        <w:t>abless</w:t>
      </w:r>
      <w:r w:rsidDel="00462252">
        <w:rPr>
          <w:rStyle w:val="Strong"/>
          <w:rFonts w:eastAsia="MS Gothic"/>
          <w:b w:val="0"/>
          <w:noProof/>
        </w:rPr>
        <w:t>),</w:t>
      </w:r>
      <w:r w:rsidRPr="00BD008E">
        <w:rPr>
          <w:rStyle w:val="Strong"/>
          <w:rFonts w:eastAsia="MS Gothic"/>
          <w:b w:val="0"/>
          <w:noProof/>
        </w:rPr>
        <w:t xml:space="preserve"> the baseline market share (~10 %) is drawn from IDC’s semiconductor device estimates, while the import dependency figure (~50 %) derives from the </w:t>
      </w:r>
      <w:r w:rsidRPr="00570145">
        <w:rPr>
          <w:b/>
          <w:noProof/>
        </w:rPr>
        <w:t>JRC (2023)</w:t>
      </w:r>
      <w:r w:rsidR="00F274DD" w:rsidRPr="00570145">
        <w:rPr>
          <w:b/>
          <w:noProof/>
        </w:rPr>
        <w:t xml:space="preserve"> </w:t>
      </w:r>
      <w:r w:rsidRPr="00570145">
        <w:rPr>
          <w:b/>
          <w:noProof/>
        </w:rPr>
        <w:t>(</w:t>
      </w:r>
      <w:r w:rsidRPr="00570145">
        <w:rPr>
          <w:rStyle w:val="FootnoteReference"/>
          <w:b/>
          <w:noProof/>
        </w:rPr>
        <w:footnoteReference w:id="128"/>
      </w:r>
      <w:r w:rsidRPr="00570145">
        <w:rPr>
          <w:b/>
          <w:noProof/>
        </w:rPr>
        <w:t xml:space="preserve">) </w:t>
      </w:r>
      <w:r w:rsidRPr="00BD008E">
        <w:rPr>
          <w:rStyle w:val="Strong"/>
          <w:rFonts w:eastAsia="MS Gothic"/>
          <w:b w:val="0"/>
          <w:noProof/>
        </w:rPr>
        <w:t xml:space="preserve">“chips” dependency measure, adjusted to isolate front-end manufacturing. These values align with </w:t>
      </w:r>
      <w:r w:rsidRPr="00570145">
        <w:rPr>
          <w:rFonts w:eastAsia="MS Gothic"/>
          <w:b/>
          <w:noProof/>
        </w:rPr>
        <w:t>BCG–SIA (2024)</w:t>
      </w:r>
      <w:r w:rsidR="00F274DD" w:rsidRPr="00570145">
        <w:rPr>
          <w:rFonts w:eastAsia="MS Gothic"/>
          <w:b/>
          <w:noProof/>
        </w:rPr>
        <w:t xml:space="preserve"> </w:t>
      </w:r>
      <w:r w:rsidRPr="00570145">
        <w:rPr>
          <w:rFonts w:eastAsia="MS Gothic"/>
          <w:b/>
          <w:noProof/>
        </w:rPr>
        <w:t>(</w:t>
      </w:r>
      <w:r w:rsidRPr="00570145">
        <w:rPr>
          <w:rStyle w:val="FootnoteReference"/>
          <w:b/>
          <w:noProof/>
        </w:rPr>
        <w:footnoteReference w:id="129"/>
      </w:r>
      <w:r w:rsidRPr="00570145">
        <w:rPr>
          <w:rFonts w:eastAsia="MS Gothic"/>
          <w:b/>
          <w:noProof/>
        </w:rPr>
        <w:t xml:space="preserve">) </w:t>
      </w:r>
      <w:r w:rsidRPr="00BD008E">
        <w:rPr>
          <w:rStyle w:val="Strong"/>
          <w:rFonts w:eastAsia="MS Gothic"/>
          <w:b w:val="0"/>
          <w:noProof/>
        </w:rPr>
        <w:t>findings that Europe holds only 9–10 % of global wafer capacity. Resilience is assessed as moderate, supported by Europe’s strong position in mature nodes but limited by minimal participation in leading-edge logic.</w:t>
      </w:r>
    </w:p>
    <w:p w14:paraId="208321C0" w14:textId="3CD2AEF7" w:rsidR="00EC49AF" w:rsidRPr="00570145" w:rsidRDefault="00EC49AF" w:rsidP="00EC49AF">
      <w:pPr>
        <w:pStyle w:val="NormalWeb"/>
        <w:jc w:val="both"/>
        <w:rPr>
          <w:b/>
          <w:noProof/>
        </w:rPr>
      </w:pPr>
      <w:r w:rsidRPr="00BD008E">
        <w:rPr>
          <w:rStyle w:val="Strong"/>
          <w:rFonts w:eastAsia="MS Gothic"/>
          <w:b w:val="0"/>
          <w:noProof/>
        </w:rPr>
        <w:t xml:space="preserve">For </w:t>
      </w:r>
      <w:r w:rsidR="00D30049">
        <w:rPr>
          <w:rStyle w:val="Strong"/>
          <w:rFonts w:eastAsia="MS Gothic"/>
          <w:b w:val="0"/>
          <w:bCs w:val="0"/>
          <w:noProof/>
        </w:rPr>
        <w:t>m</w:t>
      </w:r>
      <w:r w:rsidRPr="00BD008E">
        <w:rPr>
          <w:rStyle w:val="Strong"/>
          <w:rFonts w:eastAsia="MS Gothic"/>
          <w:b w:val="0"/>
          <w:bCs w:val="0"/>
          <w:noProof/>
        </w:rPr>
        <w:t>aterials</w:t>
      </w:r>
      <w:r w:rsidRPr="00BD008E">
        <w:rPr>
          <w:rStyle w:val="Strong"/>
          <w:rFonts w:eastAsia="MS Gothic"/>
          <w:b w:val="0"/>
          <w:noProof/>
        </w:rPr>
        <w:t xml:space="preserve"> (including gases, chemicals, and wafer substrates), Europe’s baseline market share (17 % in 2023, rising to 19 % in 2030) follows IDC segmentation, with import dependency values (29–47 %) derived from </w:t>
      </w:r>
      <w:r w:rsidRPr="00570145">
        <w:rPr>
          <w:b/>
          <w:noProof/>
        </w:rPr>
        <w:t>JRC (2023)</w:t>
      </w:r>
      <w:r w:rsidR="00F274DD" w:rsidRPr="00570145">
        <w:rPr>
          <w:b/>
          <w:noProof/>
        </w:rPr>
        <w:t xml:space="preserve"> </w:t>
      </w:r>
      <w:r w:rsidRPr="00570145">
        <w:rPr>
          <w:b/>
          <w:noProof/>
        </w:rPr>
        <w:t>(</w:t>
      </w:r>
      <w:r w:rsidRPr="00570145">
        <w:rPr>
          <w:rStyle w:val="FootnoteReference"/>
          <w:b/>
          <w:noProof/>
        </w:rPr>
        <w:footnoteReference w:id="130"/>
      </w:r>
      <w:r w:rsidRPr="00570145">
        <w:rPr>
          <w:b/>
          <w:noProof/>
        </w:rPr>
        <w:t xml:space="preserve">) </w:t>
      </w:r>
      <w:r w:rsidRPr="00BD008E">
        <w:rPr>
          <w:rStyle w:val="Strong"/>
          <w:rFonts w:eastAsia="MS Gothic"/>
          <w:b w:val="0"/>
          <w:noProof/>
        </w:rPr>
        <w:t>estimates for chemicals, precursors, and wafers. Dependency is projected to decline slowly due to CRMA-driven diversification and expanded SiC and GaN substrate production, although structural reliance on Chinese-controlled gallium and germanium continues to constrain resilience.</w:t>
      </w:r>
    </w:p>
    <w:bookmarkEnd w:id="215"/>
    <w:p w14:paraId="61B28582" w14:textId="59CED6F8" w:rsidR="00EC49AF" w:rsidRPr="008B13A5" w:rsidRDefault="00EC49AF" w:rsidP="00EC49AF">
      <w:pPr>
        <w:pStyle w:val="NormalWeb"/>
        <w:jc w:val="both"/>
        <w:rPr>
          <w:noProof/>
        </w:rPr>
      </w:pPr>
      <w:r w:rsidRPr="008B13A5">
        <w:rPr>
          <w:noProof/>
        </w:rPr>
        <w:t xml:space="preserve">The </w:t>
      </w:r>
      <w:r w:rsidRPr="008B13A5">
        <w:rPr>
          <w:rStyle w:val="Strong"/>
          <w:noProof/>
        </w:rPr>
        <w:t>downstream integration</w:t>
      </w:r>
      <w:r w:rsidRPr="008B13A5">
        <w:rPr>
          <w:noProof/>
        </w:rPr>
        <w:t xml:space="preserve"> segment (system assembly and electronic manufacturing services) is characterised by high import dependency of around 70% in 2023. This figure is based on Eurostat COMEXT trade statistics, BCG–SIA (2024)</w:t>
      </w:r>
      <w:r w:rsidR="00F274DD" w:rsidRPr="008B13A5">
        <w:rPr>
          <w:noProof/>
        </w:rPr>
        <w:t xml:space="preserve"> </w:t>
      </w:r>
      <w:r w:rsidRPr="008B13A5">
        <w:rPr>
          <w:noProof/>
        </w:rPr>
        <w:t>(</w:t>
      </w:r>
      <w:r w:rsidRPr="008B13A5">
        <w:rPr>
          <w:rStyle w:val="FootnoteReference"/>
          <w:noProof/>
        </w:rPr>
        <w:footnoteReference w:id="131"/>
      </w:r>
      <w:r w:rsidRPr="008B13A5">
        <w:rPr>
          <w:noProof/>
        </w:rPr>
        <w:t>) global supply chain analysis, and DGE (2024)</w:t>
      </w:r>
      <w:r w:rsidR="00F274DD" w:rsidRPr="008B13A5">
        <w:rPr>
          <w:noProof/>
        </w:rPr>
        <w:t xml:space="preserve"> </w:t>
      </w:r>
      <w:r w:rsidRPr="008B13A5">
        <w:rPr>
          <w:noProof/>
        </w:rPr>
        <w:t>(</w:t>
      </w:r>
      <w:r w:rsidRPr="008B13A5">
        <w:rPr>
          <w:rStyle w:val="FootnoteReference"/>
          <w:noProof/>
        </w:rPr>
        <w:footnoteReference w:id="132"/>
      </w:r>
      <w:r w:rsidRPr="008B13A5">
        <w:rPr>
          <w:noProof/>
        </w:rPr>
        <w:t>). Minor reductions in dependency are consistent with McKinsey (2025)</w:t>
      </w:r>
      <w:r w:rsidR="00F274DD" w:rsidRPr="008B13A5">
        <w:rPr>
          <w:noProof/>
        </w:rPr>
        <w:t xml:space="preserve"> </w:t>
      </w:r>
      <w:r w:rsidRPr="008B13A5">
        <w:rPr>
          <w:noProof/>
        </w:rPr>
        <w:t>(</w:t>
      </w:r>
      <w:r w:rsidRPr="008B13A5">
        <w:rPr>
          <w:rStyle w:val="FootnoteReference"/>
          <w:noProof/>
        </w:rPr>
        <w:footnoteReference w:id="133"/>
      </w:r>
      <w:r w:rsidRPr="008B13A5">
        <w:rPr>
          <w:noProof/>
        </w:rPr>
        <w:t>)  projections of near-shoring in industrial automation and IFRI (2024)</w:t>
      </w:r>
      <w:r w:rsidR="00F274DD" w:rsidRPr="008B13A5">
        <w:rPr>
          <w:noProof/>
        </w:rPr>
        <w:t xml:space="preserve"> </w:t>
      </w:r>
      <w:r w:rsidRPr="008B13A5">
        <w:rPr>
          <w:noProof/>
        </w:rPr>
        <w:t>(</w:t>
      </w:r>
      <w:r w:rsidRPr="008B13A5">
        <w:rPr>
          <w:rStyle w:val="FootnoteReference"/>
          <w:noProof/>
        </w:rPr>
        <w:footnoteReference w:id="134"/>
      </w:r>
      <w:r w:rsidRPr="008B13A5">
        <w:rPr>
          <w:noProof/>
        </w:rPr>
        <w:t>) evidence of increased localisation in defence electronics and power systems.</w:t>
      </w:r>
    </w:p>
    <w:p w14:paraId="18B8C65D" w14:textId="15EE69DF" w:rsidR="00EC49AF" w:rsidRPr="008B13A5" w:rsidRDefault="00EC49AF" w:rsidP="00EC49AF">
      <w:pPr>
        <w:pStyle w:val="NormalWeb"/>
        <w:jc w:val="both"/>
        <w:rPr>
          <w:noProof/>
        </w:rPr>
      </w:pPr>
      <w:r w:rsidRPr="008B13A5">
        <w:rPr>
          <w:noProof/>
        </w:rPr>
        <w:t xml:space="preserve">Finally, </w:t>
      </w:r>
      <w:r w:rsidRPr="008B13A5">
        <w:rPr>
          <w:rStyle w:val="Strong"/>
          <w:noProof/>
        </w:rPr>
        <w:t>end-use applications</w:t>
      </w:r>
      <w:r w:rsidRPr="008B13A5">
        <w:rPr>
          <w:noProof/>
        </w:rPr>
        <w:t xml:space="preserve"> </w:t>
      </w:r>
      <w:r w:rsidRPr="008B13A5" w:rsidDel="007D28DB">
        <w:rPr>
          <w:noProof/>
        </w:rPr>
        <w:t>rely on WSTS (2024–2025) market data</w:t>
      </w:r>
      <w:r w:rsidRPr="008B13A5">
        <w:rPr>
          <w:noProof/>
        </w:rPr>
        <w:t xml:space="preserve"> showing that semiconductor shipments to Europe amounted to about EUR 50 billion in 2023, with the automotive sector alone accounting for more than 37% of the semiconductors shipped to the region</w:t>
      </w:r>
      <w:r w:rsidR="00F274DD" w:rsidRPr="008B13A5">
        <w:rPr>
          <w:noProof/>
        </w:rPr>
        <w:t xml:space="preserve"> </w:t>
      </w:r>
      <w:r w:rsidRPr="008B13A5">
        <w:rPr>
          <w:noProof/>
        </w:rPr>
        <w:t>(</w:t>
      </w:r>
      <w:r w:rsidRPr="008B13A5">
        <w:rPr>
          <w:rStyle w:val="FootnoteReference"/>
          <w:noProof/>
        </w:rPr>
        <w:footnoteReference w:id="135"/>
      </w:r>
      <w:r w:rsidRPr="008B13A5">
        <w:rPr>
          <w:noProof/>
        </w:rPr>
        <w:t>). The WSTS Spring 2025 forecast, together with DGE (2024)</w:t>
      </w:r>
      <w:r w:rsidR="00F274DD" w:rsidRPr="008B13A5">
        <w:rPr>
          <w:noProof/>
        </w:rPr>
        <w:t xml:space="preserve"> </w:t>
      </w:r>
      <w:r w:rsidRPr="008B13A5">
        <w:rPr>
          <w:noProof/>
        </w:rPr>
        <w:t>(</w:t>
      </w:r>
      <w:r w:rsidRPr="008B13A5">
        <w:rPr>
          <w:rStyle w:val="FootnoteReference"/>
          <w:noProof/>
        </w:rPr>
        <w:footnoteReference w:id="136"/>
      </w:r>
      <w:r w:rsidRPr="008B13A5">
        <w:rPr>
          <w:noProof/>
        </w:rPr>
        <w:t>) and IFRI (2024)</w:t>
      </w:r>
      <w:r w:rsidR="00F274DD" w:rsidRPr="008B13A5">
        <w:rPr>
          <w:noProof/>
        </w:rPr>
        <w:t xml:space="preserve"> </w:t>
      </w:r>
      <w:r w:rsidRPr="008B13A5">
        <w:rPr>
          <w:noProof/>
        </w:rPr>
        <w:t>(</w:t>
      </w:r>
      <w:r w:rsidRPr="008B13A5">
        <w:rPr>
          <w:rStyle w:val="FootnoteReference"/>
          <w:noProof/>
        </w:rPr>
        <w:footnoteReference w:id="137"/>
      </w:r>
      <w:r w:rsidRPr="008B13A5">
        <w:rPr>
          <w:noProof/>
        </w:rPr>
        <w:t>), indicates that European semiconductor demand will continue expanding at 5–6% annually, with the automotive segment growing particularly fast at roughly 8.2% CAGR between 2023 and 2026. McKinsey (2025)</w:t>
      </w:r>
      <w:r w:rsidR="00F274DD" w:rsidRPr="008B13A5">
        <w:rPr>
          <w:noProof/>
        </w:rPr>
        <w:t xml:space="preserve"> </w:t>
      </w:r>
      <w:r w:rsidRPr="008B13A5">
        <w:rPr>
          <w:noProof/>
        </w:rPr>
        <w:t>(</w:t>
      </w:r>
      <w:r w:rsidRPr="008B13A5">
        <w:rPr>
          <w:rStyle w:val="FootnoteReference"/>
          <w:noProof/>
        </w:rPr>
        <w:footnoteReference w:id="138"/>
      </w:r>
      <w:r w:rsidRPr="008B13A5">
        <w:rPr>
          <w:noProof/>
        </w:rPr>
        <w:t>) and SIA (2024)</w:t>
      </w:r>
      <w:r w:rsidR="00F274DD" w:rsidRPr="008B13A5">
        <w:rPr>
          <w:noProof/>
        </w:rPr>
        <w:t xml:space="preserve"> </w:t>
      </w:r>
      <w:r w:rsidRPr="008B13A5">
        <w:rPr>
          <w:noProof/>
        </w:rPr>
        <w:t>(</w:t>
      </w:r>
      <w:r w:rsidRPr="008B13A5">
        <w:rPr>
          <w:rStyle w:val="FootnoteReference"/>
          <w:noProof/>
        </w:rPr>
        <w:footnoteReference w:id="139"/>
      </w:r>
      <w:r w:rsidRPr="008B13A5">
        <w:rPr>
          <w:noProof/>
        </w:rPr>
        <w:t>) imply that demand in embedded sectors will continue to rise faster than Europe’s domestic production capacity, reinforcing persistent import dependence.</w:t>
      </w:r>
    </w:p>
    <w:p w14:paraId="039E941D" w14:textId="2C713AF9" w:rsidR="00EC49AF" w:rsidRPr="008B13A5" w:rsidRDefault="00EC49AF" w:rsidP="0005276B">
      <w:pPr>
        <w:pStyle w:val="Heading2"/>
        <w:rPr>
          <w:noProof/>
        </w:rPr>
      </w:pPr>
      <w:r w:rsidRPr="008B13A5">
        <w:rPr>
          <w:noProof/>
        </w:rPr>
        <w:t xml:space="preserve"> </w:t>
      </w:r>
      <w:bookmarkStart w:id="216" w:name="_Toc217394775"/>
      <w:bookmarkStart w:id="217" w:name="_Toc217395620"/>
      <w:bookmarkStart w:id="218" w:name="_Toc217396469"/>
      <w:bookmarkStart w:id="219" w:name="_Toc2067291106"/>
      <w:bookmarkStart w:id="220" w:name="_Toc223620630"/>
      <w:bookmarkStart w:id="221" w:name="_Toc230010450"/>
      <w:r w:rsidRPr="008B13A5">
        <w:rPr>
          <w:noProof/>
        </w:rPr>
        <w:t>The cost (price) competitiveness of the EU industry</w:t>
      </w:r>
      <w:bookmarkEnd w:id="216"/>
      <w:bookmarkEnd w:id="217"/>
      <w:bookmarkEnd w:id="218"/>
      <w:bookmarkEnd w:id="219"/>
      <w:bookmarkEnd w:id="220"/>
      <w:bookmarkEnd w:id="221"/>
    </w:p>
    <w:p w14:paraId="75A4C418" w14:textId="63C78297" w:rsidR="00EC49AF" w:rsidRPr="008B13A5" w:rsidRDefault="00EC49AF" w:rsidP="00EC49AF">
      <w:pPr>
        <w:rPr>
          <w:noProof/>
          <w:szCs w:val="22"/>
        </w:rPr>
      </w:pPr>
      <w:r w:rsidRPr="008B13A5">
        <w:rPr>
          <w:noProof/>
          <w:szCs w:val="22"/>
        </w:rPr>
        <w:t>In line with the Better Regulation Guidelines and the Better Regulation Toolbox (notably Tool #24 on Competition and Tool #21 on Competitiveness), the analysis distinguishes between two interrelated but distinct perspectives: intra-EU competition and extra-EU competitiveness. Here we focus on extra-EU competitiveness.</w:t>
      </w:r>
    </w:p>
    <w:p w14:paraId="4D03C953" w14:textId="6873E846" w:rsidR="00EC49AF" w:rsidRPr="008B13A5" w:rsidRDefault="00EC49AF" w:rsidP="00EC49AF">
      <w:pPr>
        <w:rPr>
          <w:noProof/>
          <w:szCs w:val="22"/>
          <w:highlight w:val="yellow"/>
        </w:rPr>
      </w:pPr>
      <w:r w:rsidRPr="008B13A5">
        <w:rPr>
          <w:noProof/>
          <w:szCs w:val="22"/>
        </w:rPr>
        <w:t xml:space="preserve">The extra-EU competitiveness perspective focuses on the cost and price competitiveness of EU semiconductor production in relation to global competitors. To assess Europe’s cost and price competitiveness in the global semiconductor industry, the analysis focuses on the </w:t>
      </w:r>
      <w:r w:rsidRPr="008B13A5">
        <w:rPr>
          <w:rStyle w:val="Strong"/>
          <w:noProof/>
          <w:szCs w:val="22"/>
        </w:rPr>
        <w:t>relative cost of production</w:t>
      </w:r>
      <w:r w:rsidRPr="008B13A5">
        <w:rPr>
          <w:noProof/>
          <w:szCs w:val="22"/>
        </w:rPr>
        <w:t xml:space="preserve"> in the EU compared with global benchmarks (Asian countries and U.S.), and on the </w:t>
      </w:r>
      <w:r w:rsidRPr="008B13A5">
        <w:rPr>
          <w:rStyle w:val="Strong"/>
          <w:noProof/>
          <w:szCs w:val="22"/>
        </w:rPr>
        <w:t>key cost drivers</w:t>
      </w:r>
      <w:r w:rsidRPr="008B13A5">
        <w:rPr>
          <w:noProof/>
          <w:szCs w:val="22"/>
        </w:rPr>
        <w:t xml:space="preserve"> that shape this gap.</w:t>
      </w:r>
    </w:p>
    <w:p w14:paraId="254F51B1" w14:textId="4616A3B0" w:rsidR="00EC49AF" w:rsidRPr="008B13A5" w:rsidRDefault="00EC49AF" w:rsidP="0005276B">
      <w:pPr>
        <w:pStyle w:val="Heading3"/>
        <w:rPr>
          <w:noProof/>
        </w:rPr>
      </w:pPr>
      <w:bookmarkStart w:id="222" w:name="_Toc217395621"/>
      <w:bookmarkStart w:id="223" w:name="_Toc217396470"/>
      <w:bookmarkStart w:id="224" w:name="_Toc866461041"/>
      <w:bookmarkStart w:id="225" w:name="_Toc223620631"/>
      <w:bookmarkStart w:id="226" w:name="_Toc230010451"/>
      <w:r w:rsidRPr="008B13A5">
        <w:rPr>
          <w:noProof/>
        </w:rPr>
        <w:t>Establishing a starting point for BAU scenario</w:t>
      </w:r>
      <w:bookmarkEnd w:id="222"/>
      <w:bookmarkEnd w:id="223"/>
      <w:bookmarkEnd w:id="224"/>
      <w:bookmarkEnd w:id="225"/>
      <w:bookmarkEnd w:id="226"/>
    </w:p>
    <w:p w14:paraId="6EFDB349" w14:textId="47C63A1E" w:rsidR="00EC49AF" w:rsidRPr="008B13A5" w:rsidRDefault="00EC49AF" w:rsidP="00EC49AF">
      <w:pPr>
        <w:rPr>
          <w:noProof/>
          <w:szCs w:val="22"/>
        </w:rPr>
      </w:pPr>
      <w:r w:rsidRPr="008B13A5">
        <w:rPr>
          <w:noProof/>
          <w:szCs w:val="22"/>
        </w:rPr>
        <w:t xml:space="preserve">Semiconductor manufacturing in the EU faces a </w:t>
      </w:r>
      <w:r w:rsidRPr="008B13A5">
        <w:rPr>
          <w:rStyle w:val="Strong"/>
          <w:noProof/>
          <w:szCs w:val="22"/>
        </w:rPr>
        <w:t>structurally higher cost base</w:t>
      </w:r>
      <w:r w:rsidRPr="008B13A5">
        <w:rPr>
          <w:noProof/>
          <w:szCs w:val="22"/>
        </w:rPr>
        <w:t xml:space="preserve"> than in leading East Asian hubs, with total fab production costs around 40–50% higher than in Taiwan, South Korea and China.</w:t>
      </w:r>
      <w:r w:rsidR="00F274DD" w:rsidRPr="008B13A5">
        <w:rPr>
          <w:noProof/>
          <w:szCs w:val="22"/>
        </w:rPr>
        <w:t xml:space="preserve"> </w:t>
      </w:r>
      <w:r w:rsidRPr="008B13A5">
        <w:rPr>
          <w:noProof/>
          <w:szCs w:val="22"/>
        </w:rPr>
        <w:t>(</w:t>
      </w:r>
      <w:r w:rsidRPr="008B13A5">
        <w:rPr>
          <w:rStyle w:val="FootnoteReference"/>
          <w:noProof/>
          <w:szCs w:val="22"/>
        </w:rPr>
        <w:footnoteReference w:id="140"/>
      </w:r>
      <w:r w:rsidRPr="008B13A5">
        <w:rPr>
          <w:noProof/>
          <w:szCs w:val="22"/>
        </w:rPr>
        <w:t>) Capital expenditure (CapEx) is the largest cost component, and capital efficiency in Europe is lower: producing a given manufacturing facility requires significantly more investment than in Taiwan, partly because fabs tend to be smaller on average and project lead times longer. Energy prices for industrial users are a major obstacle to investment, with electricity and gas costs well above US and Asian levels. Labour costs are also high</w:t>
      </w:r>
      <w:r w:rsidR="00D01A0B">
        <w:rPr>
          <w:noProof/>
          <w:szCs w:val="22"/>
        </w:rPr>
        <w:t xml:space="preserve"> when compared to other major regions</w:t>
      </w:r>
      <w:r w:rsidRPr="008B13A5">
        <w:rPr>
          <w:noProof/>
          <w:szCs w:val="22"/>
        </w:rPr>
        <w:t>: unit labour costs in EU fabs exceed those of major competitors, and estimates suggest that fab labour in Europe can be two to three times more expensive than in East Asia, alongside specific bottlenecks in skilled construction trades and some technical roles. At the same time, the semiconductor industry is highly R&amp;D-intensive globally, investing around 22% of revenues in R&amp;D and 26% in capital expenditure. Finally, the EU is heavily reliant on imports of many specialty materials, gases and chemicals, which, despite a strong domestic supplier base in some segments, exposes the European semiconductor ecosystem to supply disruptions and price volatility.</w:t>
      </w:r>
    </w:p>
    <w:p w14:paraId="15D3FC5F" w14:textId="1AB06B0A" w:rsidR="00EC49AF" w:rsidRPr="008B13A5" w:rsidRDefault="00EC49AF" w:rsidP="00EC49AF">
      <w:pPr>
        <w:rPr>
          <w:noProof/>
          <w:szCs w:val="22"/>
        </w:rPr>
      </w:pPr>
      <w:r w:rsidRPr="008B13A5">
        <w:rPr>
          <w:noProof/>
          <w:szCs w:val="22"/>
        </w:rPr>
        <w:t>The newly available evidence(</w:t>
      </w:r>
      <w:r w:rsidRPr="008B13A5">
        <w:rPr>
          <w:rStyle w:val="FootnoteReference"/>
          <w:noProof/>
          <w:szCs w:val="22"/>
        </w:rPr>
        <w:footnoteReference w:id="141"/>
      </w:r>
      <w:r w:rsidRPr="008B13A5">
        <w:rPr>
          <w:noProof/>
          <w:szCs w:val="22"/>
        </w:rPr>
        <w:t>) confirms and strengthens these patterns. Recent benchmarking of fab-level cost structures shows that total semiconductor production costs in the EU remain structurally above those of all major competitors: EU = 100 (baseline), US = 84, Japan = 84, China = 61, Taiwan = 53, and South Korea = 50. This implies that, on average, EU fabs operate at a 16% cost premium relative to the US and at a 40–50 % premium relative to leading Asian hubs.</w:t>
      </w:r>
    </w:p>
    <w:p w14:paraId="00857DF1" w14:textId="1AEC451B" w:rsidR="00EC49AF" w:rsidRPr="008B13A5" w:rsidRDefault="00EC49AF" w:rsidP="0005276B">
      <w:pPr>
        <w:spacing w:after="0"/>
        <w:rPr>
          <w:noProof/>
        </w:rPr>
      </w:pPr>
      <w:r w:rsidRPr="008B13A5">
        <w:rPr>
          <w:noProof/>
        </w:rPr>
        <w:t>Two additional structural factors further widen the EU cost base</w:t>
      </w:r>
      <w:r w:rsidR="00F274DD" w:rsidRPr="008B13A5">
        <w:rPr>
          <w:noProof/>
        </w:rPr>
        <w:t xml:space="preserve"> </w:t>
      </w:r>
      <w:r w:rsidRPr="008B13A5">
        <w:rPr>
          <w:noProof/>
        </w:rPr>
        <w:t>(</w:t>
      </w:r>
      <w:r w:rsidRPr="008B13A5">
        <w:rPr>
          <w:rStyle w:val="FootnoteReference"/>
          <w:noProof/>
        </w:rPr>
        <w:footnoteReference w:id="142"/>
      </w:r>
      <w:r w:rsidRPr="008B13A5">
        <w:rPr>
          <w:noProof/>
        </w:rPr>
        <w:t>):</w:t>
      </w:r>
    </w:p>
    <w:p w14:paraId="1C3D2739" w14:textId="11EFF04B" w:rsidR="00EC49AF" w:rsidRPr="008B13A5" w:rsidRDefault="00EC49AF" w:rsidP="00F47256">
      <w:pPr>
        <w:pStyle w:val="ListParagraph"/>
        <w:numPr>
          <w:ilvl w:val="0"/>
          <w:numId w:val="41"/>
        </w:numPr>
        <w:spacing w:after="120"/>
        <w:rPr>
          <w:noProof/>
        </w:rPr>
      </w:pPr>
      <w:r w:rsidRPr="008B13A5">
        <w:rPr>
          <w:noProof/>
        </w:rPr>
        <w:t>First, the cost of capital is considerably higher in the EU than in competing regions. The weighted average cost of capital (WACC) for semiconductor manufacturers operating in the</w:t>
      </w:r>
      <w:r w:rsidRPr="008B13A5">
        <w:rPr>
          <w:noProof/>
          <w:sz w:val="28"/>
          <w:szCs w:val="28"/>
        </w:rPr>
        <w:t xml:space="preserve"> </w:t>
      </w:r>
      <w:r w:rsidRPr="008B13A5">
        <w:rPr>
          <w:noProof/>
        </w:rPr>
        <w:t>EU is 8.3 %, exceeding that of the US (7.3 %), Japan (8.2 %), China (6.1 %), Taiwan (4.8 %), and South Korea (4.4 %). Higher equity risk premia in Europe, lower market capitalisation of EU-based semiconductor firms, and high exposure to cyclical automotive markets contribute to elevated financing costs.</w:t>
      </w:r>
    </w:p>
    <w:p w14:paraId="711670AD" w14:textId="1BE97082" w:rsidR="00EC49AF" w:rsidRPr="008B13A5" w:rsidRDefault="00EC49AF" w:rsidP="00F47256">
      <w:pPr>
        <w:pStyle w:val="ListParagraph"/>
        <w:numPr>
          <w:ilvl w:val="0"/>
          <w:numId w:val="41"/>
        </w:numPr>
        <w:spacing w:after="120"/>
        <w:rPr>
          <w:noProof/>
        </w:rPr>
      </w:pPr>
      <w:r w:rsidRPr="008B13A5">
        <w:rPr>
          <w:noProof/>
        </w:rPr>
        <w:t>Second, unit labour costs in EU manufacturing fabs (0.38 in PPP terms) remain noticeably higher than in the US (0.35) and significantly above levels in China (0.15), Taiwan (0.12), Japan (0.16), and South Korea (0.11). Crucially, this gap is not driven by nominal wages but by lower labour productivity in EU fabs combined with considerably higher employers’ social contributions, which in several EU Member States are among the highest in the OECD.</w:t>
      </w:r>
    </w:p>
    <w:p w14:paraId="04ED8052" w14:textId="132EBCD1" w:rsidR="00EC49AF" w:rsidRPr="008B13A5" w:rsidRDefault="00EC49AF" w:rsidP="00EC49AF">
      <w:pPr>
        <w:rPr>
          <w:noProof/>
          <w:szCs w:val="22"/>
        </w:rPr>
      </w:pPr>
      <w:r w:rsidRPr="008B13A5">
        <w:rPr>
          <w:noProof/>
          <w:szCs w:val="22"/>
        </w:rPr>
        <w:t xml:space="preserve">In the table below we outline the available evidence from the literature on the key cost components and possible benchmark figures in comparison to EU’s global competitors such as USA, China and Taiwan. </w:t>
      </w:r>
    </w:p>
    <w:p w14:paraId="26606F08" w14:textId="7D0725D0" w:rsidR="00EC49AF" w:rsidRPr="008B13A5" w:rsidRDefault="00EC49AF" w:rsidP="00EC49AF">
      <w:pPr>
        <w:rPr>
          <w:b/>
          <w:bCs/>
          <w:noProof/>
        </w:rPr>
      </w:pPr>
      <w:r w:rsidRPr="008B13A5">
        <w:rPr>
          <w:b/>
          <w:bCs/>
          <w:noProof/>
        </w:rPr>
        <w:t xml:space="preserve">Table </w:t>
      </w:r>
      <w:r w:rsidR="00C02ABA">
        <w:rPr>
          <w:b/>
          <w:bCs/>
          <w:noProof/>
        </w:rPr>
        <w:t>11</w:t>
      </w:r>
      <w:r w:rsidRPr="008B13A5">
        <w:rPr>
          <w:b/>
          <w:bCs/>
          <w:noProof/>
        </w:rPr>
        <w:t xml:space="preserve">. Key cost drivers in the Chips industry. </w:t>
      </w:r>
      <w:r w:rsidRPr="008B13A5">
        <w:rPr>
          <w:i/>
          <w:iCs/>
          <w:noProof/>
        </w:rPr>
        <w:t xml:space="preserve">Source: compiled by the </w:t>
      </w:r>
      <w:r w:rsidRPr="008B13A5">
        <w:rPr>
          <w:i/>
          <w:iCs/>
          <w:noProof/>
          <w:lang w:eastAsia="en-GB"/>
        </w:rPr>
        <w:t>authors</w:t>
      </w:r>
      <w:r w:rsidRPr="008B13A5">
        <w:rPr>
          <w:i/>
          <w:iCs/>
          <w:noProof/>
        </w:rPr>
        <w:t>.</w:t>
      </w:r>
      <w:r w:rsidRPr="008B13A5">
        <w:rPr>
          <w:b/>
          <w:bCs/>
          <w:noProof/>
        </w:rPr>
        <w:t xml:space="preserve"> </w:t>
      </w:r>
    </w:p>
    <w:tbl>
      <w:tblPr>
        <w:tblStyle w:val="TableGrid"/>
        <w:tblW w:w="0" w:type="auto"/>
        <w:tblInd w:w="-116" w:type="dxa"/>
        <w:tblLook w:val="04A0" w:firstRow="1" w:lastRow="0" w:firstColumn="1" w:lastColumn="0" w:noHBand="0" w:noVBand="1"/>
      </w:tblPr>
      <w:tblGrid>
        <w:gridCol w:w="1563"/>
        <w:gridCol w:w="2381"/>
        <w:gridCol w:w="5458"/>
      </w:tblGrid>
      <w:tr w:rsidR="00EC49AF" w:rsidRPr="008B13A5" w14:paraId="06A1171C" w14:textId="77777777" w:rsidTr="00B52FD3">
        <w:tc>
          <w:tcPr>
            <w:tcW w:w="1338" w:type="dxa"/>
          </w:tcPr>
          <w:p w14:paraId="5C9043F2" w14:textId="77777777" w:rsidR="00EC49AF" w:rsidRPr="008B13A5" w:rsidRDefault="00EC49AF">
            <w:pPr>
              <w:jc w:val="center"/>
              <w:rPr>
                <w:b/>
                <w:noProof/>
                <w:szCs w:val="22"/>
              </w:rPr>
            </w:pPr>
            <w:r w:rsidRPr="008B13A5">
              <w:rPr>
                <w:b/>
                <w:noProof/>
                <w:szCs w:val="22"/>
              </w:rPr>
              <w:t>Driver</w:t>
            </w:r>
          </w:p>
        </w:tc>
        <w:tc>
          <w:tcPr>
            <w:tcW w:w="2503" w:type="dxa"/>
          </w:tcPr>
          <w:p w14:paraId="258B840A" w14:textId="77777777" w:rsidR="00EC49AF" w:rsidRPr="008B13A5" w:rsidRDefault="00EC49AF">
            <w:pPr>
              <w:jc w:val="center"/>
              <w:rPr>
                <w:b/>
                <w:noProof/>
                <w:szCs w:val="22"/>
              </w:rPr>
            </w:pPr>
            <w:r w:rsidRPr="008B13A5">
              <w:rPr>
                <w:b/>
                <w:noProof/>
                <w:szCs w:val="22"/>
              </w:rPr>
              <w:t>Description</w:t>
            </w:r>
          </w:p>
        </w:tc>
        <w:tc>
          <w:tcPr>
            <w:tcW w:w="5987" w:type="dxa"/>
          </w:tcPr>
          <w:p w14:paraId="74554766" w14:textId="74602E1E" w:rsidR="00EC49AF" w:rsidRPr="008B13A5" w:rsidRDefault="00EC49AF">
            <w:pPr>
              <w:jc w:val="center"/>
              <w:rPr>
                <w:b/>
                <w:noProof/>
                <w:szCs w:val="22"/>
              </w:rPr>
            </w:pPr>
            <w:r w:rsidRPr="008B13A5">
              <w:rPr>
                <w:b/>
                <w:noProof/>
                <w:szCs w:val="22"/>
              </w:rPr>
              <w:t>Knowledge base from the literature and additional details</w:t>
            </w:r>
          </w:p>
        </w:tc>
      </w:tr>
      <w:tr w:rsidR="00EC49AF" w:rsidRPr="008B13A5" w14:paraId="3C1FA8EB" w14:textId="77777777" w:rsidTr="00B52FD3">
        <w:tc>
          <w:tcPr>
            <w:tcW w:w="1338" w:type="dxa"/>
          </w:tcPr>
          <w:p w14:paraId="6D0034CE" w14:textId="5B2BBEF8" w:rsidR="00EC49AF" w:rsidRPr="008B13A5" w:rsidRDefault="00EC49AF">
            <w:pPr>
              <w:jc w:val="left"/>
              <w:rPr>
                <w:b/>
                <w:noProof/>
                <w:szCs w:val="22"/>
              </w:rPr>
            </w:pPr>
            <w:r w:rsidRPr="008B13A5">
              <w:rPr>
                <w:b/>
                <w:noProof/>
                <w:szCs w:val="22"/>
              </w:rPr>
              <w:t>Capital intensity and scale</w:t>
            </w:r>
          </w:p>
        </w:tc>
        <w:tc>
          <w:tcPr>
            <w:tcW w:w="2503" w:type="dxa"/>
          </w:tcPr>
          <w:p w14:paraId="3BF6C669" w14:textId="78BB831C" w:rsidR="00EC49AF" w:rsidRPr="008B13A5" w:rsidRDefault="00EC49AF">
            <w:pPr>
              <w:rPr>
                <w:noProof/>
                <w:szCs w:val="22"/>
              </w:rPr>
            </w:pPr>
            <w:r w:rsidRPr="008B13A5">
              <w:rPr>
                <w:noProof/>
                <w:szCs w:val="22"/>
              </w:rPr>
              <w:t>High construction and equipment costs per wafer capacity. Smaller average fab size</w:t>
            </w:r>
            <w:r w:rsidR="00F274DD" w:rsidRPr="008B13A5">
              <w:rPr>
                <w:noProof/>
                <w:szCs w:val="22"/>
              </w:rPr>
              <w:t xml:space="preserve"> </w:t>
            </w:r>
            <w:r w:rsidRPr="008B13A5">
              <w:rPr>
                <w:noProof/>
                <w:szCs w:val="22"/>
              </w:rPr>
              <w:t>(</w:t>
            </w:r>
            <w:r w:rsidRPr="008B13A5">
              <w:rPr>
                <w:rStyle w:val="FootnoteReference"/>
                <w:noProof/>
                <w:szCs w:val="22"/>
              </w:rPr>
              <w:footnoteReference w:id="143"/>
            </w:r>
            <w:r w:rsidRPr="008B13A5">
              <w:rPr>
                <w:noProof/>
                <w:szCs w:val="22"/>
              </w:rPr>
              <w:t>) and higher compliance costs inflate EU unit costs.</w:t>
            </w:r>
          </w:p>
        </w:tc>
        <w:tc>
          <w:tcPr>
            <w:tcW w:w="5987" w:type="dxa"/>
          </w:tcPr>
          <w:p w14:paraId="0526827D" w14:textId="6CD12DD1" w:rsidR="00EC49AF" w:rsidRPr="008B13A5" w:rsidRDefault="00EC49AF">
            <w:pPr>
              <w:rPr>
                <w:noProof/>
                <w:szCs w:val="22"/>
              </w:rPr>
            </w:pPr>
            <w:r w:rsidRPr="008B13A5">
              <w:rPr>
                <w:noProof/>
                <w:szCs w:val="22"/>
              </w:rPr>
              <w:t>Constructing a new, state-of-the-art facility is expensive, with location-specific construction and equipment costs being significant drivers of investment decisions</w:t>
            </w:r>
            <w:r w:rsidR="00F274DD" w:rsidRPr="008B13A5">
              <w:rPr>
                <w:noProof/>
                <w:szCs w:val="22"/>
              </w:rPr>
              <w:t xml:space="preserve"> </w:t>
            </w:r>
            <w:r w:rsidRPr="008B13A5">
              <w:rPr>
                <w:noProof/>
                <w:szCs w:val="22"/>
              </w:rPr>
              <w:t>(</w:t>
            </w:r>
            <w:r w:rsidRPr="008B13A5">
              <w:rPr>
                <w:rStyle w:val="FootnoteReference"/>
                <w:noProof/>
                <w:szCs w:val="22"/>
              </w:rPr>
              <w:footnoteReference w:id="144"/>
            </w:r>
            <w:r w:rsidRPr="008B13A5">
              <w:rPr>
                <w:noProof/>
                <w:szCs w:val="22"/>
              </w:rPr>
              <w:t xml:space="preserve">). </w:t>
            </w:r>
          </w:p>
          <w:p w14:paraId="3168AECE" w14:textId="5AB9C708" w:rsidR="00EC49AF" w:rsidRPr="008B13A5" w:rsidRDefault="00EC49AF">
            <w:pPr>
              <w:rPr>
                <w:noProof/>
                <w:szCs w:val="22"/>
              </w:rPr>
            </w:pPr>
            <w:r w:rsidRPr="008B13A5">
              <w:rPr>
                <w:noProof/>
                <w:szCs w:val="22"/>
              </w:rPr>
              <w:t>Wafer fabrication, or front-end manufacturing, accounts for 64% of the industry</w:t>
            </w:r>
            <w:r w:rsidR="00497125" w:rsidRPr="008B13A5">
              <w:rPr>
                <w:noProof/>
                <w:szCs w:val="22"/>
              </w:rPr>
              <w:t>’</w:t>
            </w:r>
            <w:r w:rsidRPr="008B13A5">
              <w:rPr>
                <w:noProof/>
                <w:szCs w:val="22"/>
              </w:rPr>
              <w:t>s capital expenditure</w:t>
            </w:r>
            <w:r w:rsidR="00F274DD" w:rsidRPr="008B13A5">
              <w:rPr>
                <w:noProof/>
                <w:szCs w:val="22"/>
              </w:rPr>
              <w:t xml:space="preserve"> </w:t>
            </w:r>
            <w:r w:rsidRPr="008B13A5">
              <w:rPr>
                <w:noProof/>
                <w:szCs w:val="22"/>
              </w:rPr>
              <w:t>(</w:t>
            </w:r>
            <w:r w:rsidRPr="008B13A5">
              <w:rPr>
                <w:rStyle w:val="FootnoteReference"/>
                <w:noProof/>
                <w:szCs w:val="22"/>
              </w:rPr>
              <w:footnoteReference w:id="145"/>
            </w:r>
            <w:r w:rsidRPr="008B13A5">
              <w:rPr>
                <w:noProof/>
                <w:szCs w:val="22"/>
              </w:rPr>
              <w:t xml:space="preserve">). </w:t>
            </w:r>
          </w:p>
          <w:p w14:paraId="1806F3EC" w14:textId="6DF3BB58" w:rsidR="00EC49AF" w:rsidRPr="008B13A5" w:rsidRDefault="00EC49AF">
            <w:pPr>
              <w:rPr>
                <w:noProof/>
                <w:szCs w:val="22"/>
              </w:rPr>
            </w:pPr>
            <w:r w:rsidRPr="008B13A5">
              <w:rPr>
                <w:noProof/>
                <w:szCs w:val="22"/>
              </w:rPr>
              <w:t xml:space="preserve">A state-of-the-art semiconductor fab can require roughly </w:t>
            </w:r>
            <w:r w:rsidR="002D29E4">
              <w:rPr>
                <w:noProof/>
                <w:szCs w:val="22"/>
              </w:rPr>
              <w:t xml:space="preserve">USD </w:t>
            </w:r>
            <w:r w:rsidRPr="008B13A5">
              <w:rPr>
                <w:noProof/>
                <w:szCs w:val="22"/>
              </w:rPr>
              <w:t xml:space="preserve">5 billion for </w:t>
            </w:r>
            <w:r w:rsidR="002D29E4">
              <w:rPr>
                <w:noProof/>
                <w:szCs w:val="22"/>
              </w:rPr>
              <w:t xml:space="preserve"> mature node</w:t>
            </w:r>
            <w:r w:rsidR="002D29E4" w:rsidRPr="008B13A5">
              <w:rPr>
                <w:noProof/>
                <w:szCs w:val="22"/>
              </w:rPr>
              <w:t xml:space="preserve"> </w:t>
            </w:r>
            <w:r w:rsidRPr="008B13A5">
              <w:rPr>
                <w:noProof/>
                <w:szCs w:val="22"/>
              </w:rPr>
              <w:t xml:space="preserve">fabs to </w:t>
            </w:r>
            <w:r w:rsidR="002D29E4">
              <w:rPr>
                <w:noProof/>
                <w:szCs w:val="22"/>
              </w:rPr>
              <w:t xml:space="preserve">USD </w:t>
            </w:r>
            <w:r w:rsidRPr="008B13A5">
              <w:rPr>
                <w:noProof/>
                <w:szCs w:val="22"/>
              </w:rPr>
              <w:t>20 billion for advanced logic and memory fabs in capital expenditure, including land, building, and equipment</w:t>
            </w:r>
            <w:r w:rsidR="00F274DD" w:rsidRPr="008B13A5">
              <w:rPr>
                <w:noProof/>
                <w:szCs w:val="22"/>
              </w:rPr>
              <w:t xml:space="preserve"> </w:t>
            </w:r>
            <w:r w:rsidRPr="008B13A5">
              <w:rPr>
                <w:noProof/>
                <w:szCs w:val="22"/>
              </w:rPr>
              <w:t>(</w:t>
            </w:r>
            <w:r w:rsidRPr="008B13A5">
              <w:rPr>
                <w:rStyle w:val="FootnoteReference"/>
                <w:noProof/>
                <w:szCs w:val="22"/>
              </w:rPr>
              <w:footnoteReference w:id="146"/>
            </w:r>
            <w:r w:rsidRPr="008B13A5">
              <w:rPr>
                <w:noProof/>
                <w:szCs w:val="22"/>
              </w:rPr>
              <w:t xml:space="preserve">). </w:t>
            </w:r>
          </w:p>
          <w:p w14:paraId="5DC86B77" w14:textId="5D461A8B" w:rsidR="00EC49AF" w:rsidRPr="008B13A5" w:rsidRDefault="00EC49AF">
            <w:pPr>
              <w:rPr>
                <w:noProof/>
                <w:szCs w:val="22"/>
              </w:rPr>
            </w:pPr>
            <w:r w:rsidRPr="008B13A5">
              <w:rPr>
                <w:noProof/>
                <w:szCs w:val="22"/>
              </w:rPr>
              <w:t>Evidence by Decision &amp; Yole</w:t>
            </w:r>
            <w:r w:rsidR="00F274DD" w:rsidRPr="008B13A5">
              <w:rPr>
                <w:noProof/>
                <w:szCs w:val="22"/>
              </w:rPr>
              <w:t xml:space="preserve"> </w:t>
            </w:r>
            <w:r w:rsidRPr="008B13A5">
              <w:rPr>
                <w:noProof/>
                <w:szCs w:val="22"/>
              </w:rPr>
              <w:t>(</w:t>
            </w:r>
            <w:r w:rsidRPr="008B13A5">
              <w:rPr>
                <w:rStyle w:val="FootnoteReference"/>
                <w:noProof/>
                <w:szCs w:val="22"/>
              </w:rPr>
              <w:footnoteReference w:id="147"/>
            </w:r>
            <w:r w:rsidRPr="008B13A5">
              <w:rPr>
                <w:noProof/>
                <w:szCs w:val="22"/>
              </w:rPr>
              <w:t>) shows that this effect is compounded in the EU by higher financing costs: semiconductor firms operating in Europe face an average WACC of 8.3 %, substantially higher than in Korea (4.4 %), Taiwan (4.8 %), or China (6.1 %).</w:t>
            </w:r>
          </w:p>
          <w:p w14:paraId="6CCFA00D" w14:textId="1D97559A" w:rsidR="00EC49AF" w:rsidRPr="008B13A5" w:rsidRDefault="00EC49AF">
            <w:pPr>
              <w:rPr>
                <w:noProof/>
                <w:szCs w:val="22"/>
              </w:rPr>
            </w:pPr>
            <w:r w:rsidRPr="008B13A5">
              <w:rPr>
                <w:noProof/>
                <w:szCs w:val="22"/>
              </w:rPr>
              <w:t>The industry and its supply chain depend on high utili</w:t>
            </w:r>
            <w:r w:rsidR="00D64A05">
              <w:rPr>
                <w:noProof/>
                <w:szCs w:val="22"/>
              </w:rPr>
              <w:t>s</w:t>
            </w:r>
            <w:r w:rsidRPr="008B13A5">
              <w:rPr>
                <w:noProof/>
                <w:szCs w:val="22"/>
              </w:rPr>
              <w:t>ation (typically more than 75%) for favourable economics, subsidies, and lower capital utili</w:t>
            </w:r>
            <w:r w:rsidR="00D64A05">
              <w:rPr>
                <w:noProof/>
                <w:szCs w:val="22"/>
              </w:rPr>
              <w:t>s</w:t>
            </w:r>
            <w:r w:rsidRPr="008B13A5">
              <w:rPr>
                <w:noProof/>
                <w:szCs w:val="22"/>
              </w:rPr>
              <w:t>ation could lead to further boom and bust cycles</w:t>
            </w:r>
            <w:r w:rsidR="00F274DD" w:rsidRPr="008B13A5">
              <w:rPr>
                <w:noProof/>
                <w:szCs w:val="22"/>
              </w:rPr>
              <w:t xml:space="preserve"> </w:t>
            </w:r>
            <w:r w:rsidRPr="008B13A5">
              <w:rPr>
                <w:noProof/>
                <w:szCs w:val="22"/>
              </w:rPr>
              <w:t>(</w:t>
            </w:r>
            <w:r w:rsidRPr="008B13A5">
              <w:rPr>
                <w:rStyle w:val="FootnoteReference"/>
                <w:noProof/>
                <w:szCs w:val="22"/>
              </w:rPr>
              <w:footnoteReference w:id="148"/>
            </w:r>
            <w:r w:rsidRPr="008B13A5">
              <w:rPr>
                <w:noProof/>
                <w:szCs w:val="22"/>
              </w:rPr>
              <w:t xml:space="preserve">). </w:t>
            </w:r>
          </w:p>
          <w:p w14:paraId="743BFB2B" w14:textId="70B57F35" w:rsidR="00EC49AF" w:rsidRPr="008B13A5" w:rsidRDefault="00EC49AF">
            <w:pPr>
              <w:rPr>
                <w:noProof/>
                <w:szCs w:val="22"/>
              </w:rPr>
            </w:pPr>
            <w:r w:rsidRPr="008B13A5">
              <w:rPr>
                <w:noProof/>
                <w:szCs w:val="22"/>
              </w:rPr>
              <w:t>Large-scale operations can significantly reduce costs at fabs</w:t>
            </w:r>
            <w:r w:rsidR="00F274DD" w:rsidRPr="008B13A5">
              <w:rPr>
                <w:noProof/>
                <w:szCs w:val="22"/>
              </w:rPr>
              <w:t xml:space="preserve"> </w:t>
            </w:r>
            <w:r w:rsidRPr="008B13A5">
              <w:rPr>
                <w:noProof/>
                <w:szCs w:val="22"/>
              </w:rPr>
              <w:t>(</w:t>
            </w:r>
            <w:r w:rsidRPr="008B13A5">
              <w:rPr>
                <w:rStyle w:val="FootnoteReference"/>
                <w:noProof/>
                <w:szCs w:val="22"/>
              </w:rPr>
              <w:footnoteReference w:id="149"/>
            </w:r>
            <w:r w:rsidRPr="008B13A5">
              <w:rPr>
                <w:noProof/>
                <w:szCs w:val="22"/>
              </w:rPr>
              <w:t>).</w:t>
            </w:r>
          </w:p>
        </w:tc>
      </w:tr>
      <w:tr w:rsidR="00EC49AF" w:rsidRPr="008B13A5" w14:paraId="655B2F90" w14:textId="77777777" w:rsidTr="00B52FD3">
        <w:tc>
          <w:tcPr>
            <w:tcW w:w="1338" w:type="dxa"/>
          </w:tcPr>
          <w:p w14:paraId="25A0026F" w14:textId="4C47E3D7" w:rsidR="00EC49AF" w:rsidRPr="008B13A5" w:rsidRDefault="00EC49AF">
            <w:pPr>
              <w:jc w:val="left"/>
              <w:rPr>
                <w:noProof/>
                <w:szCs w:val="22"/>
              </w:rPr>
            </w:pPr>
            <w:r w:rsidRPr="008B13A5">
              <w:rPr>
                <w:b/>
                <w:noProof/>
                <w:szCs w:val="22"/>
              </w:rPr>
              <w:t>Energy costs</w:t>
            </w:r>
          </w:p>
        </w:tc>
        <w:tc>
          <w:tcPr>
            <w:tcW w:w="2503" w:type="dxa"/>
          </w:tcPr>
          <w:p w14:paraId="068A259C" w14:textId="64F8FED9" w:rsidR="00EC49AF" w:rsidRPr="008B13A5" w:rsidRDefault="00EC49AF">
            <w:pPr>
              <w:rPr>
                <w:noProof/>
                <w:szCs w:val="22"/>
              </w:rPr>
            </w:pPr>
            <w:r w:rsidRPr="008B13A5">
              <w:rPr>
                <w:noProof/>
                <w:szCs w:val="22"/>
              </w:rPr>
              <w:t>Electricity and gas prices for large industrial consumers; Europe’s exposure to volatile energy markets increases operational expenditure per wafer.</w:t>
            </w:r>
          </w:p>
        </w:tc>
        <w:tc>
          <w:tcPr>
            <w:tcW w:w="5987" w:type="dxa"/>
          </w:tcPr>
          <w:p w14:paraId="7CD17782" w14:textId="76279B22" w:rsidR="00EC49AF" w:rsidRPr="008B13A5" w:rsidRDefault="00EC49AF">
            <w:pPr>
              <w:rPr>
                <w:noProof/>
                <w:szCs w:val="22"/>
              </w:rPr>
            </w:pPr>
            <w:r w:rsidRPr="008B13A5">
              <w:rPr>
                <w:noProof/>
                <w:szCs w:val="22"/>
              </w:rPr>
              <w:t>Energy prices in Europe are two to three times higher than in the US</w:t>
            </w:r>
            <w:r w:rsidR="00F274DD" w:rsidRPr="008B13A5">
              <w:rPr>
                <w:noProof/>
                <w:szCs w:val="22"/>
              </w:rPr>
              <w:t xml:space="preserve"> </w:t>
            </w:r>
            <w:r w:rsidRPr="008B13A5">
              <w:rPr>
                <w:noProof/>
                <w:szCs w:val="22"/>
              </w:rPr>
              <w:t>(</w:t>
            </w:r>
            <w:r w:rsidRPr="008B13A5">
              <w:rPr>
                <w:rStyle w:val="FootnoteReference"/>
                <w:noProof/>
                <w:szCs w:val="22"/>
              </w:rPr>
              <w:footnoteReference w:id="150"/>
            </w:r>
            <w:r w:rsidRPr="008B13A5">
              <w:rPr>
                <w:noProof/>
                <w:szCs w:val="22"/>
              </w:rPr>
              <w:t>).</w:t>
            </w:r>
          </w:p>
          <w:p w14:paraId="0AE2AC04" w14:textId="3276B595" w:rsidR="00EC49AF" w:rsidRPr="008B13A5" w:rsidRDefault="00EC49AF">
            <w:pPr>
              <w:rPr>
                <w:noProof/>
                <w:szCs w:val="22"/>
              </w:rPr>
            </w:pPr>
            <w:r w:rsidRPr="008B13A5">
              <w:rPr>
                <w:noProof/>
                <w:szCs w:val="22"/>
              </w:rPr>
              <w:t>Subsidies for utilities can also differ, with Mainland China offering up to 70% and Taiwan 30%</w:t>
            </w:r>
            <w:r w:rsidR="00F274DD" w:rsidRPr="008B13A5">
              <w:rPr>
                <w:noProof/>
                <w:szCs w:val="22"/>
              </w:rPr>
              <w:t xml:space="preserve"> </w:t>
            </w:r>
            <w:r w:rsidRPr="008B13A5">
              <w:rPr>
                <w:noProof/>
                <w:szCs w:val="22"/>
              </w:rPr>
              <w:t>(</w:t>
            </w:r>
            <w:r w:rsidRPr="008B13A5">
              <w:rPr>
                <w:rStyle w:val="FootnoteReference"/>
                <w:noProof/>
                <w:szCs w:val="22"/>
              </w:rPr>
              <w:footnoteReference w:id="151"/>
            </w:r>
            <w:r w:rsidRPr="008B13A5">
              <w:rPr>
                <w:noProof/>
                <w:szCs w:val="22"/>
              </w:rPr>
              <w:t>).</w:t>
            </w:r>
          </w:p>
          <w:p w14:paraId="34EDDD9C" w14:textId="7FE7031A" w:rsidR="00EC49AF" w:rsidRPr="008B13A5" w:rsidRDefault="00EC49AF">
            <w:pPr>
              <w:rPr>
                <w:noProof/>
                <w:szCs w:val="22"/>
              </w:rPr>
            </w:pPr>
            <w:r w:rsidRPr="008B13A5">
              <w:rPr>
                <w:noProof/>
                <w:szCs w:val="22"/>
              </w:rPr>
              <w:t>Some regions, like Germany, may offer caps on energy costs as part of subsidy packages for new fabs</w:t>
            </w:r>
            <w:r w:rsidR="00F274DD" w:rsidRPr="008B13A5">
              <w:rPr>
                <w:noProof/>
                <w:szCs w:val="22"/>
              </w:rPr>
              <w:t xml:space="preserve"> </w:t>
            </w:r>
            <w:r w:rsidRPr="008B13A5">
              <w:rPr>
                <w:noProof/>
                <w:szCs w:val="22"/>
              </w:rPr>
              <w:t>(</w:t>
            </w:r>
            <w:r w:rsidRPr="008B13A5">
              <w:rPr>
                <w:rStyle w:val="FootnoteReference"/>
                <w:noProof/>
                <w:szCs w:val="22"/>
              </w:rPr>
              <w:footnoteReference w:id="152"/>
            </w:r>
            <w:r w:rsidRPr="008B13A5">
              <w:rPr>
                <w:noProof/>
                <w:szCs w:val="22"/>
              </w:rPr>
              <w:t>).</w:t>
            </w:r>
          </w:p>
          <w:p w14:paraId="245B8071" w14:textId="577ADF8A" w:rsidR="00EC49AF" w:rsidRPr="008B13A5" w:rsidRDefault="00EC49AF">
            <w:pPr>
              <w:rPr>
                <w:noProof/>
                <w:szCs w:val="22"/>
              </w:rPr>
            </w:pPr>
            <w:r w:rsidRPr="008B13A5">
              <w:rPr>
                <w:noProof/>
                <w:szCs w:val="22"/>
              </w:rPr>
              <w:t>The updated 2025 data show that wholesale gas prices in the EU are around 2.8 times higher than in the US, directly translating into industrial electricity prices that are 137 % above US levels because of Europe</w:t>
            </w:r>
            <w:r w:rsidR="00497125" w:rsidRPr="008B13A5">
              <w:rPr>
                <w:noProof/>
                <w:szCs w:val="22"/>
              </w:rPr>
              <w:t>’</w:t>
            </w:r>
            <w:r w:rsidRPr="008B13A5">
              <w:rPr>
                <w:noProof/>
                <w:szCs w:val="22"/>
              </w:rPr>
              <w:t>s marginal pricing system</w:t>
            </w:r>
            <w:r w:rsidR="00F274DD" w:rsidRPr="008B13A5">
              <w:rPr>
                <w:noProof/>
                <w:szCs w:val="22"/>
              </w:rPr>
              <w:t xml:space="preserve"> </w:t>
            </w:r>
            <w:r w:rsidRPr="008B13A5">
              <w:rPr>
                <w:noProof/>
                <w:szCs w:val="22"/>
              </w:rPr>
              <w:t>(</w:t>
            </w:r>
            <w:r w:rsidRPr="008B13A5">
              <w:rPr>
                <w:rStyle w:val="FootnoteReference"/>
                <w:noProof/>
                <w:szCs w:val="22"/>
              </w:rPr>
              <w:footnoteReference w:id="153"/>
            </w:r>
            <w:r w:rsidRPr="008B13A5">
              <w:rPr>
                <w:noProof/>
                <w:szCs w:val="22"/>
              </w:rPr>
              <w:t>).</w:t>
            </w:r>
          </w:p>
        </w:tc>
      </w:tr>
      <w:tr w:rsidR="00EC49AF" w:rsidRPr="008B13A5" w14:paraId="42F6EE0F" w14:textId="77777777" w:rsidTr="00B52FD3">
        <w:tc>
          <w:tcPr>
            <w:tcW w:w="1338" w:type="dxa"/>
          </w:tcPr>
          <w:p w14:paraId="763C9036" w14:textId="6E5383AA" w:rsidR="00EC49AF" w:rsidRPr="008B13A5" w:rsidRDefault="00EC49AF">
            <w:pPr>
              <w:jc w:val="left"/>
              <w:rPr>
                <w:noProof/>
                <w:szCs w:val="22"/>
              </w:rPr>
            </w:pPr>
            <w:r w:rsidRPr="008B13A5">
              <w:rPr>
                <w:b/>
                <w:noProof/>
                <w:szCs w:val="22"/>
              </w:rPr>
              <w:t>Labour and productivity</w:t>
            </w:r>
          </w:p>
        </w:tc>
        <w:tc>
          <w:tcPr>
            <w:tcW w:w="2503" w:type="dxa"/>
          </w:tcPr>
          <w:p w14:paraId="0C754CD9" w14:textId="7A4EE0CD" w:rsidR="00EC49AF" w:rsidRPr="008B13A5" w:rsidRDefault="00EC49AF">
            <w:pPr>
              <w:rPr>
                <w:noProof/>
                <w:szCs w:val="22"/>
              </w:rPr>
            </w:pPr>
            <w:r w:rsidRPr="008B13A5">
              <w:rPr>
                <w:noProof/>
                <w:szCs w:val="22"/>
              </w:rPr>
              <w:t>Labour costs and productivity in semiconductor manufacturing and equipment operation.</w:t>
            </w:r>
          </w:p>
        </w:tc>
        <w:tc>
          <w:tcPr>
            <w:tcW w:w="5987" w:type="dxa"/>
          </w:tcPr>
          <w:p w14:paraId="0B11E399" w14:textId="1A63FCC6" w:rsidR="00EC49AF" w:rsidRPr="008B13A5" w:rsidRDefault="00EC49AF">
            <w:pPr>
              <w:rPr>
                <w:noProof/>
                <w:szCs w:val="22"/>
              </w:rPr>
            </w:pPr>
            <w:r w:rsidRPr="008B13A5">
              <w:rPr>
                <w:noProof/>
                <w:szCs w:val="22"/>
              </w:rPr>
              <w:t>Labo</w:t>
            </w:r>
            <w:r w:rsidR="0071623F">
              <w:rPr>
                <w:noProof/>
                <w:szCs w:val="22"/>
              </w:rPr>
              <w:t>u</w:t>
            </w:r>
            <w:r w:rsidRPr="008B13A5">
              <w:rPr>
                <w:noProof/>
                <w:szCs w:val="22"/>
              </w:rPr>
              <w:t>r costs are a major factor in construction cost differences. Labo</w:t>
            </w:r>
            <w:r w:rsidR="0083785A">
              <w:rPr>
                <w:noProof/>
                <w:szCs w:val="22"/>
              </w:rPr>
              <w:t>u</w:t>
            </w:r>
            <w:r w:rsidRPr="008B13A5">
              <w:rPr>
                <w:noProof/>
                <w:szCs w:val="22"/>
              </w:rPr>
              <w:t>r costs in Europe can be two to three times more expensive than in Asia</w:t>
            </w:r>
            <w:r w:rsidR="00F274DD" w:rsidRPr="008B13A5">
              <w:rPr>
                <w:noProof/>
                <w:szCs w:val="22"/>
              </w:rPr>
              <w:t xml:space="preserve"> </w:t>
            </w:r>
            <w:r w:rsidRPr="008B13A5">
              <w:rPr>
                <w:noProof/>
                <w:szCs w:val="22"/>
              </w:rPr>
              <w:t>(</w:t>
            </w:r>
            <w:r w:rsidRPr="008B13A5">
              <w:rPr>
                <w:rStyle w:val="FootnoteReference"/>
                <w:noProof/>
                <w:szCs w:val="22"/>
              </w:rPr>
              <w:footnoteReference w:id="154"/>
            </w:r>
            <w:r w:rsidRPr="008B13A5">
              <w:rPr>
                <w:noProof/>
                <w:szCs w:val="22"/>
              </w:rPr>
              <w:t>).</w:t>
            </w:r>
          </w:p>
          <w:p w14:paraId="485511FD" w14:textId="51BBACD7" w:rsidR="00EC49AF" w:rsidRPr="008B13A5" w:rsidRDefault="0083785A">
            <w:pPr>
              <w:rPr>
                <w:noProof/>
                <w:szCs w:val="22"/>
              </w:rPr>
            </w:pPr>
            <w:r>
              <w:rPr>
                <w:noProof/>
                <w:szCs w:val="22"/>
              </w:rPr>
              <w:t>Furthermore, l</w:t>
            </w:r>
            <w:r w:rsidR="00EC49AF" w:rsidRPr="008B13A5">
              <w:rPr>
                <w:noProof/>
                <w:szCs w:val="22"/>
              </w:rPr>
              <w:t>abour productivity in major US fabs (Intel, Texas Instruments, GlobalFoundries) is roughly twice the level observed in leading EU fabs (Infineon, STMicroelectronics, Bosch), resulting in higher unit labour costs despite comparable nominal wages. Moreover, EU employers’ social contributions, often double those in the US, further elevate total labour costs</w:t>
            </w:r>
            <w:r w:rsidR="00F274DD" w:rsidRPr="008B13A5">
              <w:rPr>
                <w:noProof/>
                <w:szCs w:val="22"/>
              </w:rPr>
              <w:t xml:space="preserve"> </w:t>
            </w:r>
            <w:r w:rsidR="00EC49AF" w:rsidRPr="008B13A5">
              <w:rPr>
                <w:noProof/>
                <w:szCs w:val="22"/>
              </w:rPr>
              <w:t>(</w:t>
            </w:r>
            <w:r w:rsidR="00EC49AF" w:rsidRPr="008B13A5">
              <w:rPr>
                <w:rStyle w:val="FootnoteReference"/>
                <w:noProof/>
                <w:szCs w:val="22"/>
              </w:rPr>
              <w:footnoteReference w:id="155"/>
            </w:r>
            <w:r w:rsidR="00EC49AF" w:rsidRPr="008B13A5">
              <w:rPr>
                <w:noProof/>
                <w:szCs w:val="22"/>
              </w:rPr>
              <w:t>).</w:t>
            </w:r>
          </w:p>
          <w:p w14:paraId="029FF39A" w14:textId="1EA57D6E" w:rsidR="00EC49AF" w:rsidRPr="008B13A5" w:rsidRDefault="00EC49AF">
            <w:pPr>
              <w:rPr>
                <w:noProof/>
                <w:szCs w:val="22"/>
              </w:rPr>
            </w:pPr>
            <w:r w:rsidRPr="008B13A5">
              <w:rPr>
                <w:noProof/>
                <w:szCs w:val="22"/>
              </w:rPr>
              <w:t>Maintenance costs, heavily influenced by labour rates and overtime, can be up to 50% higher in the US and 30% higher in Europe compared to East Asia</w:t>
            </w:r>
            <w:r w:rsidR="00F274DD" w:rsidRPr="008B13A5">
              <w:rPr>
                <w:noProof/>
                <w:szCs w:val="22"/>
              </w:rPr>
              <w:t xml:space="preserve"> </w:t>
            </w:r>
            <w:r w:rsidRPr="008B13A5">
              <w:rPr>
                <w:noProof/>
                <w:szCs w:val="22"/>
              </w:rPr>
              <w:t>(</w:t>
            </w:r>
            <w:r w:rsidRPr="008B13A5">
              <w:rPr>
                <w:rStyle w:val="FootnoteReference"/>
                <w:noProof/>
                <w:szCs w:val="22"/>
              </w:rPr>
              <w:footnoteReference w:id="156"/>
            </w:r>
            <w:r w:rsidRPr="008B13A5">
              <w:rPr>
                <w:noProof/>
                <w:szCs w:val="22"/>
              </w:rPr>
              <w:t>).</w:t>
            </w:r>
          </w:p>
          <w:p w14:paraId="4D510282" w14:textId="6027AB86" w:rsidR="00EC49AF" w:rsidRPr="008B13A5" w:rsidRDefault="00EC49AF">
            <w:pPr>
              <w:rPr>
                <w:noProof/>
                <w:szCs w:val="22"/>
              </w:rPr>
            </w:pPr>
            <w:r w:rsidRPr="008B13A5">
              <w:rPr>
                <w:noProof/>
                <w:szCs w:val="22"/>
              </w:rPr>
              <w:t>The increased demand for skilled craft workers means projects often use less experienced workforces, exacerbating productivity issues and extending project timelines</w:t>
            </w:r>
            <w:r w:rsidR="00F274DD" w:rsidRPr="008B13A5">
              <w:rPr>
                <w:noProof/>
                <w:szCs w:val="22"/>
              </w:rPr>
              <w:t xml:space="preserve"> </w:t>
            </w:r>
            <w:r w:rsidRPr="008B13A5">
              <w:rPr>
                <w:noProof/>
                <w:szCs w:val="22"/>
              </w:rPr>
              <w:t>(</w:t>
            </w:r>
            <w:r w:rsidRPr="008B13A5">
              <w:rPr>
                <w:rStyle w:val="FootnoteReference"/>
                <w:noProof/>
                <w:szCs w:val="22"/>
              </w:rPr>
              <w:footnoteReference w:id="157"/>
            </w:r>
            <w:r w:rsidRPr="008B13A5">
              <w:rPr>
                <w:noProof/>
                <w:szCs w:val="22"/>
              </w:rPr>
              <w:t>).</w:t>
            </w:r>
          </w:p>
          <w:p w14:paraId="37DA0B79" w14:textId="4AA695C7" w:rsidR="00EC49AF" w:rsidRPr="008B13A5" w:rsidRDefault="00EC49AF">
            <w:pPr>
              <w:rPr>
                <w:noProof/>
                <w:szCs w:val="22"/>
              </w:rPr>
            </w:pPr>
            <w:r w:rsidRPr="008B13A5">
              <w:rPr>
                <w:noProof/>
                <w:szCs w:val="22"/>
              </w:rPr>
              <w:t>The industry faces a massive talent gap for engineers, estimated at over 100,000 each in the US and Europe, and upward of 200,000 in Asia–Pacific (excluding China). This talent challenge extends across the entire semiconductor value chain, including equipment design and manufacturing</w:t>
            </w:r>
            <w:r w:rsidR="00F274DD" w:rsidRPr="008B13A5">
              <w:rPr>
                <w:noProof/>
                <w:szCs w:val="22"/>
              </w:rPr>
              <w:t xml:space="preserve"> </w:t>
            </w:r>
            <w:r w:rsidRPr="008B13A5">
              <w:rPr>
                <w:noProof/>
                <w:szCs w:val="22"/>
              </w:rPr>
              <w:t>(</w:t>
            </w:r>
            <w:r w:rsidRPr="008B13A5">
              <w:rPr>
                <w:rStyle w:val="FootnoteReference"/>
                <w:noProof/>
                <w:szCs w:val="22"/>
              </w:rPr>
              <w:footnoteReference w:id="158"/>
            </w:r>
            <w:r w:rsidRPr="008B13A5">
              <w:rPr>
                <w:noProof/>
                <w:szCs w:val="22"/>
              </w:rPr>
              <w:t>).</w:t>
            </w:r>
          </w:p>
        </w:tc>
      </w:tr>
      <w:tr w:rsidR="00EC49AF" w:rsidRPr="008B13A5" w14:paraId="492EDF4A" w14:textId="77777777" w:rsidTr="00B52FD3">
        <w:tc>
          <w:tcPr>
            <w:tcW w:w="1338" w:type="dxa"/>
          </w:tcPr>
          <w:p w14:paraId="16178BC5" w14:textId="36C6EF18" w:rsidR="00EC49AF" w:rsidRPr="00BD008E" w:rsidRDefault="00EC49AF">
            <w:pPr>
              <w:jc w:val="left"/>
              <w:rPr>
                <w:b/>
                <w:noProof/>
                <w:szCs w:val="22"/>
              </w:rPr>
            </w:pPr>
            <w:r w:rsidRPr="008B13A5">
              <w:rPr>
                <w:b/>
                <w:noProof/>
                <w:szCs w:val="22"/>
              </w:rPr>
              <w:t xml:space="preserve">Research and Development (R&amp;D) and design costs </w:t>
            </w:r>
          </w:p>
        </w:tc>
        <w:tc>
          <w:tcPr>
            <w:tcW w:w="2503" w:type="dxa"/>
          </w:tcPr>
          <w:p w14:paraId="2059C1A3" w14:textId="7B39775D" w:rsidR="00EC49AF" w:rsidRPr="008B13A5" w:rsidRDefault="00EC49AF">
            <w:pPr>
              <w:rPr>
                <w:noProof/>
                <w:szCs w:val="22"/>
              </w:rPr>
            </w:pPr>
            <w:r w:rsidRPr="008B13A5">
              <w:rPr>
                <w:noProof/>
                <w:szCs w:val="22"/>
              </w:rPr>
              <w:t>Continuous innovation in chip design, materials, and manufacturing processes requires sustained high R&amp;D spending. Advanced-node development drive significant fixed costs, while limited EU design scale raises per-project expenditure.</w:t>
            </w:r>
          </w:p>
        </w:tc>
        <w:tc>
          <w:tcPr>
            <w:tcW w:w="5987" w:type="dxa"/>
          </w:tcPr>
          <w:p w14:paraId="2E663F1E" w14:textId="27E2A147" w:rsidR="00EC49AF" w:rsidRPr="008B13A5" w:rsidRDefault="00EC49AF">
            <w:pPr>
              <w:rPr>
                <w:noProof/>
                <w:szCs w:val="22"/>
              </w:rPr>
            </w:pPr>
            <w:r w:rsidRPr="008B13A5">
              <w:rPr>
                <w:noProof/>
                <w:szCs w:val="22"/>
              </w:rPr>
              <w:t xml:space="preserve">Designing a new state-of-the-art system-on-chip (SoC) for a flagship smartphone can exceed </w:t>
            </w:r>
            <w:r w:rsidR="008A31A4">
              <w:rPr>
                <w:noProof/>
                <w:szCs w:val="22"/>
              </w:rPr>
              <w:t xml:space="preserve">USD </w:t>
            </w:r>
            <w:r w:rsidRPr="008B13A5">
              <w:rPr>
                <w:noProof/>
                <w:szCs w:val="22"/>
              </w:rPr>
              <w:t>1 billion</w:t>
            </w:r>
            <w:r w:rsidR="00F274DD" w:rsidRPr="008B13A5">
              <w:rPr>
                <w:noProof/>
                <w:szCs w:val="22"/>
              </w:rPr>
              <w:t xml:space="preserve"> </w:t>
            </w:r>
            <w:r w:rsidRPr="008B13A5">
              <w:rPr>
                <w:noProof/>
                <w:szCs w:val="22"/>
              </w:rPr>
              <w:t>(</w:t>
            </w:r>
            <w:r w:rsidRPr="008B13A5">
              <w:rPr>
                <w:rStyle w:val="FootnoteReference"/>
                <w:noProof/>
                <w:szCs w:val="22"/>
              </w:rPr>
              <w:footnoteReference w:id="159"/>
            </w:r>
            <w:r w:rsidRPr="008B13A5">
              <w:rPr>
                <w:noProof/>
                <w:szCs w:val="22"/>
              </w:rPr>
              <w:t>)</w:t>
            </w:r>
            <w:r w:rsidRPr="008B13A5">
              <w:rPr>
                <w:noProof/>
                <w:szCs w:val="22"/>
                <w:vertAlign w:val="superscript"/>
              </w:rPr>
              <w:t>,</w:t>
            </w:r>
            <w:r w:rsidR="00F274DD" w:rsidRPr="008B13A5">
              <w:rPr>
                <w:noProof/>
                <w:szCs w:val="22"/>
                <w:vertAlign w:val="superscript"/>
              </w:rPr>
              <w:t xml:space="preserve"> </w:t>
            </w:r>
            <w:r w:rsidRPr="008B13A5">
              <w:rPr>
                <w:noProof/>
                <w:szCs w:val="22"/>
                <w:vertAlign w:val="superscript"/>
              </w:rPr>
              <w:t>(</w:t>
            </w:r>
            <w:r w:rsidRPr="008B13A5">
              <w:rPr>
                <w:rStyle w:val="FootnoteReference"/>
                <w:noProof/>
                <w:szCs w:val="22"/>
              </w:rPr>
              <w:footnoteReference w:id="160"/>
            </w:r>
            <w:r w:rsidRPr="008B13A5">
              <w:rPr>
                <w:noProof/>
                <w:szCs w:val="22"/>
                <w:vertAlign w:val="superscript"/>
              </w:rPr>
              <w:t>)</w:t>
            </w:r>
            <w:r w:rsidRPr="008B13A5">
              <w:rPr>
                <w:noProof/>
                <w:szCs w:val="22"/>
              </w:rPr>
              <w:t>.</w:t>
            </w:r>
          </w:p>
          <w:p w14:paraId="23901E84" w14:textId="45DDE5A4" w:rsidR="00EC49AF" w:rsidRPr="008B13A5" w:rsidRDefault="00EC49AF">
            <w:pPr>
              <w:rPr>
                <w:noProof/>
                <w:szCs w:val="22"/>
              </w:rPr>
            </w:pPr>
            <w:r w:rsidRPr="008B13A5">
              <w:rPr>
                <w:noProof/>
                <w:szCs w:val="22"/>
              </w:rPr>
              <w:t xml:space="preserve">For a 5nm chip, design costs, including validation and IP qualification, are about </w:t>
            </w:r>
            <w:r w:rsidR="008A31A4">
              <w:rPr>
                <w:noProof/>
                <w:szCs w:val="22"/>
              </w:rPr>
              <w:t xml:space="preserve">USD </w:t>
            </w:r>
            <w:r w:rsidRPr="008B13A5">
              <w:rPr>
                <w:noProof/>
                <w:szCs w:val="22"/>
              </w:rPr>
              <w:t xml:space="preserve">540 million, significantly higher than the </w:t>
            </w:r>
            <w:r w:rsidR="008A31A4">
              <w:rPr>
                <w:noProof/>
                <w:szCs w:val="22"/>
              </w:rPr>
              <w:t xml:space="preserve">USD </w:t>
            </w:r>
            <w:r w:rsidRPr="008B13A5">
              <w:rPr>
                <w:noProof/>
                <w:szCs w:val="22"/>
              </w:rPr>
              <w:t xml:space="preserve">175 million for a 10 nm chip or </w:t>
            </w:r>
            <w:r w:rsidR="008A31A4">
              <w:rPr>
                <w:noProof/>
                <w:szCs w:val="22"/>
              </w:rPr>
              <w:t xml:space="preserve">USD </w:t>
            </w:r>
            <w:r w:rsidRPr="008B13A5">
              <w:rPr>
                <w:noProof/>
                <w:szCs w:val="22"/>
              </w:rPr>
              <w:t>300 million for a seven nm chip</w:t>
            </w:r>
            <w:r w:rsidR="00F274DD" w:rsidRPr="008B13A5">
              <w:rPr>
                <w:noProof/>
                <w:szCs w:val="22"/>
              </w:rPr>
              <w:t xml:space="preserve"> </w:t>
            </w:r>
            <w:r w:rsidRPr="008B13A5">
              <w:rPr>
                <w:noProof/>
                <w:szCs w:val="22"/>
              </w:rPr>
              <w:t>(</w:t>
            </w:r>
            <w:r w:rsidRPr="008B13A5">
              <w:rPr>
                <w:rStyle w:val="FootnoteReference"/>
                <w:noProof/>
                <w:szCs w:val="22"/>
              </w:rPr>
              <w:footnoteReference w:id="161"/>
            </w:r>
            <w:r w:rsidRPr="008B13A5">
              <w:rPr>
                <w:noProof/>
                <w:szCs w:val="22"/>
              </w:rPr>
              <w:t xml:space="preserve">). </w:t>
            </w:r>
          </w:p>
          <w:p w14:paraId="6AEF85C4" w14:textId="799EC0A9" w:rsidR="00EC49AF" w:rsidRPr="008B13A5" w:rsidRDefault="00EC49AF">
            <w:pPr>
              <w:rPr>
                <w:noProof/>
                <w:szCs w:val="22"/>
              </w:rPr>
            </w:pPr>
            <w:r w:rsidRPr="008B13A5">
              <w:rPr>
                <w:noProof/>
                <w:szCs w:val="22"/>
              </w:rPr>
              <w:t>The semiconductor industry has a high level of intensity in R&amp;D, accounting for 22% of annual final chip revenues</w:t>
            </w:r>
            <w:r w:rsidR="00F274DD" w:rsidRPr="008B13A5">
              <w:rPr>
                <w:noProof/>
                <w:szCs w:val="22"/>
              </w:rPr>
              <w:t xml:space="preserve"> </w:t>
            </w:r>
            <w:r w:rsidRPr="008B13A5">
              <w:rPr>
                <w:noProof/>
                <w:szCs w:val="22"/>
              </w:rPr>
              <w:t>(</w:t>
            </w:r>
            <w:r w:rsidRPr="008B13A5">
              <w:rPr>
                <w:rStyle w:val="FootnoteReference"/>
                <w:noProof/>
                <w:szCs w:val="22"/>
              </w:rPr>
              <w:footnoteReference w:id="162"/>
            </w:r>
            <w:r w:rsidRPr="008B13A5">
              <w:rPr>
                <w:noProof/>
                <w:szCs w:val="22"/>
              </w:rPr>
              <w:t xml:space="preserve">). </w:t>
            </w:r>
          </w:p>
          <w:p w14:paraId="01EBABEA" w14:textId="2C0D4654" w:rsidR="00EC49AF" w:rsidRPr="008B13A5" w:rsidRDefault="00EC49AF">
            <w:pPr>
              <w:rPr>
                <w:noProof/>
                <w:szCs w:val="22"/>
              </w:rPr>
            </w:pPr>
            <w:r w:rsidRPr="008B13A5">
              <w:rPr>
                <w:noProof/>
                <w:szCs w:val="22"/>
              </w:rPr>
              <w:t>Design activities account for 65% of the total industry R&amp;D</w:t>
            </w:r>
            <w:r w:rsidR="00F274DD" w:rsidRPr="008B13A5">
              <w:rPr>
                <w:noProof/>
                <w:szCs w:val="22"/>
              </w:rPr>
              <w:t xml:space="preserve"> </w:t>
            </w:r>
            <w:r w:rsidRPr="008B13A5">
              <w:rPr>
                <w:noProof/>
                <w:szCs w:val="22"/>
              </w:rPr>
              <w:t>(</w:t>
            </w:r>
            <w:r w:rsidRPr="008B13A5">
              <w:rPr>
                <w:rStyle w:val="FootnoteReference"/>
                <w:noProof/>
                <w:szCs w:val="22"/>
              </w:rPr>
              <w:footnoteReference w:id="163"/>
            </w:r>
            <w:r w:rsidRPr="008B13A5">
              <w:rPr>
                <w:noProof/>
                <w:szCs w:val="22"/>
              </w:rPr>
              <w:t>).</w:t>
            </w:r>
          </w:p>
        </w:tc>
      </w:tr>
      <w:tr w:rsidR="00EC49AF" w:rsidRPr="008B13A5" w14:paraId="5E4986BF" w14:textId="77777777" w:rsidTr="00B52FD3">
        <w:tc>
          <w:tcPr>
            <w:tcW w:w="1338" w:type="dxa"/>
          </w:tcPr>
          <w:p w14:paraId="2638E4F7" w14:textId="1B8DFB82" w:rsidR="00EC49AF" w:rsidRPr="008B13A5" w:rsidRDefault="00EC49AF">
            <w:pPr>
              <w:jc w:val="left"/>
              <w:rPr>
                <w:noProof/>
                <w:szCs w:val="22"/>
              </w:rPr>
            </w:pPr>
            <w:r w:rsidRPr="008B13A5">
              <w:rPr>
                <w:b/>
                <w:noProof/>
                <w:szCs w:val="22"/>
              </w:rPr>
              <w:t>Materials and inputs</w:t>
            </w:r>
          </w:p>
        </w:tc>
        <w:tc>
          <w:tcPr>
            <w:tcW w:w="2503" w:type="dxa"/>
          </w:tcPr>
          <w:p w14:paraId="6FB4A25B" w14:textId="0F4BE2F7" w:rsidR="00EC49AF" w:rsidRPr="008B13A5" w:rsidRDefault="00EC49AF">
            <w:pPr>
              <w:rPr>
                <w:noProof/>
                <w:szCs w:val="22"/>
              </w:rPr>
            </w:pPr>
            <w:r w:rsidRPr="008B13A5">
              <w:rPr>
                <w:noProof/>
                <w:szCs w:val="22"/>
              </w:rPr>
              <w:t>Speciality gases, wafers, and chemicals’ import dependency adds cost and risk premiums.</w:t>
            </w:r>
          </w:p>
        </w:tc>
        <w:tc>
          <w:tcPr>
            <w:tcW w:w="5987" w:type="dxa"/>
          </w:tcPr>
          <w:p w14:paraId="7FC579F6" w14:textId="2D72925A" w:rsidR="00EC49AF" w:rsidRPr="008B13A5" w:rsidRDefault="00EC49AF">
            <w:pPr>
              <w:rPr>
                <w:noProof/>
                <w:szCs w:val="22"/>
              </w:rPr>
            </w:pPr>
            <w:r w:rsidRPr="008B13A5">
              <w:rPr>
                <w:noProof/>
                <w:szCs w:val="22"/>
              </w:rPr>
              <w:t>Specialty gases, chemicals, metals, and other materials are identified as a top cost item in the semiconductor industry</w:t>
            </w:r>
            <w:r w:rsidR="00F274DD" w:rsidRPr="008B13A5">
              <w:rPr>
                <w:noProof/>
                <w:szCs w:val="22"/>
              </w:rPr>
              <w:t xml:space="preserve"> </w:t>
            </w:r>
            <w:r w:rsidRPr="008B13A5">
              <w:rPr>
                <w:noProof/>
                <w:szCs w:val="22"/>
              </w:rPr>
              <w:t>(</w:t>
            </w:r>
            <w:r w:rsidRPr="008B13A5">
              <w:rPr>
                <w:rStyle w:val="FootnoteReference"/>
                <w:noProof/>
                <w:szCs w:val="22"/>
              </w:rPr>
              <w:footnoteReference w:id="164"/>
            </w:r>
            <w:r w:rsidRPr="008B13A5">
              <w:rPr>
                <w:noProof/>
                <w:szCs w:val="22"/>
              </w:rPr>
              <w:t>).</w:t>
            </w:r>
          </w:p>
          <w:p w14:paraId="55E4CAC7" w14:textId="6CBF9C77" w:rsidR="00EC49AF" w:rsidRPr="008B13A5" w:rsidRDefault="00EC49AF">
            <w:pPr>
              <w:rPr>
                <w:noProof/>
                <w:szCs w:val="22"/>
              </w:rPr>
            </w:pPr>
            <w:r w:rsidRPr="008B13A5">
              <w:rPr>
                <w:noProof/>
                <w:szCs w:val="22"/>
              </w:rPr>
              <w:t xml:space="preserve">Many essential raw materials, such as gallium, germanium, copper, and tungsten, are concentrated in a few locations globally. This concentration increases the dependence of intermediary chemical producers </w:t>
            </w:r>
            <w:r w:rsidR="00A83FE9">
              <w:rPr>
                <w:noProof/>
                <w:szCs w:val="22"/>
              </w:rPr>
              <w:t>in</w:t>
            </w:r>
            <w:r w:rsidR="00A83FE9" w:rsidRPr="008B13A5">
              <w:rPr>
                <w:noProof/>
                <w:szCs w:val="22"/>
              </w:rPr>
              <w:t xml:space="preserve"> </w:t>
            </w:r>
            <w:r w:rsidRPr="008B13A5">
              <w:rPr>
                <w:noProof/>
                <w:szCs w:val="22"/>
              </w:rPr>
              <w:t>these specific locations, some of which are geopolitically sensitive. This characteristic makes the supply chain vulnerable to disruptions or necessitates sourcing more expensive alternatives. It may also potentially lead to higher costs if trade restrictions are imposed</w:t>
            </w:r>
            <w:r w:rsidR="00F274DD" w:rsidRPr="008B13A5">
              <w:rPr>
                <w:noProof/>
                <w:szCs w:val="22"/>
              </w:rPr>
              <w:t xml:space="preserve"> </w:t>
            </w:r>
            <w:r w:rsidRPr="008B13A5">
              <w:rPr>
                <w:noProof/>
                <w:szCs w:val="22"/>
              </w:rPr>
              <w:t>(</w:t>
            </w:r>
            <w:r w:rsidRPr="008B13A5">
              <w:rPr>
                <w:rStyle w:val="FootnoteReference"/>
                <w:noProof/>
                <w:szCs w:val="22"/>
              </w:rPr>
              <w:footnoteReference w:id="165"/>
            </w:r>
            <w:r w:rsidRPr="008B13A5">
              <w:rPr>
                <w:noProof/>
                <w:szCs w:val="22"/>
              </w:rPr>
              <w:t>).</w:t>
            </w:r>
          </w:p>
          <w:p w14:paraId="45440A3C" w14:textId="59EF34E1" w:rsidR="00EC49AF" w:rsidRPr="008B13A5" w:rsidRDefault="00EC49AF">
            <w:pPr>
              <w:rPr>
                <w:noProof/>
                <w:szCs w:val="22"/>
              </w:rPr>
            </w:pPr>
            <w:r w:rsidRPr="008B13A5">
              <w:rPr>
                <w:noProof/>
                <w:szCs w:val="22"/>
              </w:rPr>
              <w:t>Since companies often import many materials, border costs such as tariffs, fees, customs clearance, and regulatory approvals are decisive factors in cost assessments</w:t>
            </w:r>
            <w:r w:rsidR="00F274DD" w:rsidRPr="008B13A5">
              <w:rPr>
                <w:noProof/>
                <w:szCs w:val="22"/>
              </w:rPr>
              <w:t xml:space="preserve"> </w:t>
            </w:r>
            <w:r w:rsidRPr="008B13A5">
              <w:rPr>
                <w:noProof/>
                <w:szCs w:val="22"/>
              </w:rPr>
              <w:t>(</w:t>
            </w:r>
            <w:r w:rsidRPr="008B13A5">
              <w:rPr>
                <w:rStyle w:val="FootnoteReference"/>
                <w:noProof/>
                <w:szCs w:val="22"/>
              </w:rPr>
              <w:footnoteReference w:id="166"/>
            </w:r>
            <w:r w:rsidRPr="008B13A5">
              <w:rPr>
                <w:noProof/>
                <w:szCs w:val="22"/>
              </w:rPr>
              <w:t xml:space="preserve">). </w:t>
            </w:r>
          </w:p>
        </w:tc>
      </w:tr>
    </w:tbl>
    <w:p w14:paraId="45C33D41" w14:textId="7F858263" w:rsidR="00EC49AF" w:rsidRPr="008B13A5" w:rsidRDefault="00EC49AF" w:rsidP="00EC49AF">
      <w:pPr>
        <w:rPr>
          <w:noProof/>
          <w:highlight w:val="yellow"/>
        </w:rPr>
      </w:pPr>
      <w:r w:rsidRPr="008B13A5">
        <w:rPr>
          <w:noProof/>
        </w:rPr>
        <w:t xml:space="preserve">Overall, we see that </w:t>
      </w:r>
      <w:r w:rsidRPr="008B13A5">
        <w:rPr>
          <w:rStyle w:val="Strong"/>
          <w:noProof/>
        </w:rPr>
        <w:t>capital intensity and scale</w:t>
      </w:r>
      <w:r w:rsidRPr="008B13A5">
        <w:rPr>
          <w:noProof/>
        </w:rPr>
        <w:t xml:space="preserve"> remain the dominant driver: building and equipping a state-of-the-art fab can require between </w:t>
      </w:r>
      <w:r w:rsidRPr="008B13A5">
        <w:rPr>
          <w:rStyle w:val="Strong"/>
          <w:noProof/>
        </w:rPr>
        <w:t>USD 4 billion and USD 20 billion</w:t>
      </w:r>
      <w:r w:rsidR="00F274DD" w:rsidRPr="008B13A5">
        <w:rPr>
          <w:rStyle w:val="Strong"/>
          <w:noProof/>
        </w:rPr>
        <w:t xml:space="preserve"> </w:t>
      </w:r>
      <w:r w:rsidRPr="008B13A5">
        <w:rPr>
          <w:rStyle w:val="Strong"/>
          <w:noProof/>
        </w:rPr>
        <w:t>(</w:t>
      </w:r>
      <w:r w:rsidRPr="008B13A5">
        <w:rPr>
          <w:rStyle w:val="FootnoteReference"/>
          <w:noProof/>
        </w:rPr>
        <w:footnoteReference w:id="167"/>
      </w:r>
      <w:r w:rsidRPr="008B13A5">
        <w:rPr>
          <w:rStyle w:val="Strong"/>
          <w:noProof/>
        </w:rPr>
        <w:t>)</w:t>
      </w:r>
      <w:r w:rsidRPr="008B13A5">
        <w:rPr>
          <w:noProof/>
        </w:rPr>
        <w:t xml:space="preserve">, with </w:t>
      </w:r>
      <w:r w:rsidRPr="008B13A5">
        <w:rPr>
          <w:rStyle w:val="Strong"/>
          <w:noProof/>
        </w:rPr>
        <w:t>wafer fabrication alone accounting for around 64 % of total capital expenditure</w:t>
      </w:r>
      <w:r w:rsidRPr="008B13A5">
        <w:rPr>
          <w:noProof/>
        </w:rPr>
        <w:t>. Smaller average fab sizes and higher compliance costs in Europe inflate per-wafer unit costs compared with Asia, where large-scale operations achieve substantial economies of scale.</w:t>
      </w:r>
    </w:p>
    <w:p w14:paraId="3B27C745" w14:textId="69EF79A0" w:rsidR="00EC49AF" w:rsidRPr="008B13A5" w:rsidRDefault="00EC49AF" w:rsidP="00EC49AF">
      <w:pPr>
        <w:rPr>
          <w:noProof/>
          <w:highlight w:val="yellow"/>
        </w:rPr>
      </w:pPr>
      <w:r w:rsidRPr="008B13A5">
        <w:rPr>
          <w:noProof/>
        </w:rPr>
        <w:t>When all major components (capital, labour, energy, land) are combined, EU fabs remain 16% more expensive than US fabs and up to 50% more expensive than leading Asian fabs</w:t>
      </w:r>
      <w:r w:rsidR="00F274DD" w:rsidRPr="008B13A5">
        <w:rPr>
          <w:noProof/>
        </w:rPr>
        <w:t xml:space="preserve"> </w:t>
      </w:r>
      <w:r w:rsidRPr="008B13A5">
        <w:rPr>
          <w:noProof/>
        </w:rPr>
        <w:t>(</w:t>
      </w:r>
      <w:r w:rsidRPr="008B13A5">
        <w:rPr>
          <w:rStyle w:val="FootnoteReference"/>
          <w:noProof/>
        </w:rPr>
        <w:footnoteReference w:id="168"/>
      </w:r>
      <w:r w:rsidRPr="008B13A5">
        <w:rPr>
          <w:noProof/>
        </w:rPr>
        <w:t>).</w:t>
      </w:r>
    </w:p>
    <w:p w14:paraId="00146B6D" w14:textId="6E84A4CC" w:rsidR="00EC49AF" w:rsidRPr="008B13A5" w:rsidRDefault="00EC49AF" w:rsidP="0005276B">
      <w:pPr>
        <w:pStyle w:val="Heading3"/>
        <w:rPr>
          <w:noProof/>
        </w:rPr>
      </w:pPr>
      <w:bookmarkStart w:id="227" w:name="_Toc217395622"/>
      <w:bookmarkStart w:id="228" w:name="_Toc217396471"/>
      <w:bookmarkStart w:id="229" w:name="_Toc1950944614"/>
      <w:bookmarkStart w:id="230" w:name="_Toc223620632"/>
      <w:bookmarkStart w:id="231" w:name="_Toc230010452"/>
      <w:r w:rsidRPr="008B13A5">
        <w:rPr>
          <w:noProof/>
        </w:rPr>
        <w:t>Modelling the BAU scenario</w:t>
      </w:r>
      <w:bookmarkEnd w:id="227"/>
      <w:bookmarkEnd w:id="228"/>
      <w:bookmarkEnd w:id="229"/>
      <w:bookmarkEnd w:id="230"/>
      <w:bookmarkEnd w:id="231"/>
    </w:p>
    <w:p w14:paraId="2A69E168" w14:textId="34155E33" w:rsidR="00EC49AF" w:rsidRPr="008B13A5" w:rsidRDefault="00EC49AF" w:rsidP="00EC49AF">
      <w:pPr>
        <w:rPr>
          <w:noProof/>
          <w:lang w:eastAsia="en-GB"/>
        </w:rPr>
      </w:pPr>
      <w:r w:rsidRPr="008B13A5">
        <w:rPr>
          <w:noProof/>
          <w:lang w:eastAsia="en-GB"/>
        </w:rPr>
        <w:t xml:space="preserve">Building on the state of play overview above we provide a logical inference on how EU </w:t>
      </w:r>
    </w:p>
    <w:tbl>
      <w:tblPr>
        <w:tblStyle w:val="TableGrid"/>
        <w:tblW w:w="0" w:type="auto"/>
        <w:tblInd w:w="-108" w:type="dxa"/>
        <w:tblCellMar>
          <w:left w:w="0" w:type="dxa"/>
          <w:right w:w="0" w:type="dxa"/>
        </w:tblCellMar>
        <w:tblLook w:val="04A0" w:firstRow="1" w:lastRow="0" w:firstColumn="1" w:lastColumn="0" w:noHBand="0" w:noVBand="1"/>
      </w:tblPr>
      <w:tblGrid>
        <w:gridCol w:w="9188"/>
      </w:tblGrid>
      <w:tr w:rsidR="00EC49AF" w:rsidRPr="008B13A5" w14:paraId="24B5ED1B" w14:textId="77777777">
        <w:tc>
          <w:tcPr>
            <w:tcW w:w="9628" w:type="dxa"/>
            <w:shd w:val="clear" w:color="auto" w:fill="FDE9D9"/>
          </w:tcPr>
          <w:p w14:paraId="3AF91E16" w14:textId="4659DF41" w:rsidR="00EC49AF" w:rsidRPr="008B13A5" w:rsidRDefault="00EC49AF" w:rsidP="0005276B">
            <w:pPr>
              <w:spacing w:before="100" w:beforeAutospacing="1" w:after="100" w:afterAutospacing="1"/>
              <w:jc w:val="center"/>
              <w:rPr>
                <w:b/>
                <w:bCs/>
                <w:noProof/>
              </w:rPr>
            </w:pPr>
            <w:r w:rsidRPr="008B13A5">
              <w:rPr>
                <w:b/>
                <w:bCs/>
                <w:noProof/>
              </w:rPr>
              <w:t>Information anchors</w:t>
            </w:r>
          </w:p>
          <w:p w14:paraId="0204082A" w14:textId="5E80359E" w:rsidR="00EC49AF" w:rsidRPr="008B13A5" w:rsidRDefault="00EC49AF" w:rsidP="0005276B">
            <w:pPr>
              <w:pStyle w:val="NormalWeb"/>
              <w:jc w:val="both"/>
              <w:rPr>
                <w:noProof/>
              </w:rPr>
            </w:pPr>
            <w:r w:rsidRPr="008B13A5">
              <w:rPr>
                <w:b/>
                <w:bCs/>
                <w:noProof/>
              </w:rPr>
              <w:t>Global investment and cost structure</w:t>
            </w:r>
            <w:r w:rsidRPr="008B13A5">
              <w:rPr>
                <w:noProof/>
              </w:rPr>
              <w:t>: Industry plans roughly USD 1 trillion of new fabs by 2030</w:t>
            </w:r>
            <w:r w:rsidR="00F274DD" w:rsidRPr="008B13A5">
              <w:rPr>
                <w:noProof/>
              </w:rPr>
              <w:t xml:space="preserve"> </w:t>
            </w:r>
            <w:r w:rsidRPr="008B13A5">
              <w:rPr>
                <w:noProof/>
              </w:rPr>
              <w:t>(</w:t>
            </w:r>
            <w:r w:rsidRPr="008B13A5">
              <w:rPr>
                <w:rStyle w:val="FootnoteReference"/>
                <w:noProof/>
              </w:rPr>
              <w:footnoteReference w:id="169"/>
            </w:r>
            <w:r w:rsidRPr="008B13A5">
              <w:rPr>
                <w:noProof/>
              </w:rPr>
              <w:t>), but structural cost gaps remain due to site productivity, logistics, and cluster effects. Europe faces higher construction and operating costs and slower ramp-ups compared with leading Asian sites. Build-and-commission timelines for EU based fabs are around 34 months, compared to 19 months in Taiwan.</w:t>
            </w:r>
            <w:r w:rsidR="00F274DD" w:rsidRPr="008B13A5">
              <w:rPr>
                <w:noProof/>
              </w:rPr>
              <w:t xml:space="preserve"> </w:t>
            </w:r>
            <w:r w:rsidRPr="008B13A5">
              <w:rPr>
                <w:noProof/>
              </w:rPr>
              <w:t>(</w:t>
            </w:r>
            <w:r w:rsidRPr="008B13A5">
              <w:rPr>
                <w:rStyle w:val="FootnoteReference"/>
                <w:noProof/>
              </w:rPr>
              <w:footnoteReference w:id="170"/>
            </w:r>
            <w:r w:rsidRPr="008B13A5">
              <w:rPr>
                <w:noProof/>
              </w:rPr>
              <w:t>)</w:t>
            </w:r>
          </w:p>
          <w:p w14:paraId="492ED379" w14:textId="69C81681" w:rsidR="00EC49AF" w:rsidRPr="008B13A5" w:rsidRDefault="00EC49AF" w:rsidP="0005276B">
            <w:pPr>
              <w:pStyle w:val="NormalWeb"/>
              <w:jc w:val="both"/>
              <w:rPr>
                <w:noProof/>
              </w:rPr>
            </w:pPr>
            <w:r w:rsidRPr="008B13A5">
              <w:rPr>
                <w:b/>
                <w:bCs/>
                <w:noProof/>
              </w:rPr>
              <w:t>Node mix and ecosystem gaps</w:t>
            </w:r>
            <w:r w:rsidRPr="008B13A5">
              <w:rPr>
                <w:noProof/>
              </w:rPr>
              <w:t>: Europe’s strengths are in automotive, power, analogue and sensors, with limited leading-edge logic. There are clear gaps in back-end, advanced packaging and substrates, which increasingly determine system-level performance and cost.</w:t>
            </w:r>
          </w:p>
          <w:p w14:paraId="24739BE8" w14:textId="38838EDE" w:rsidR="00EC49AF" w:rsidRPr="008B13A5" w:rsidRDefault="00EC49AF" w:rsidP="0005276B">
            <w:pPr>
              <w:pStyle w:val="NormalWeb"/>
              <w:jc w:val="both"/>
              <w:rPr>
                <w:noProof/>
              </w:rPr>
            </w:pPr>
            <w:r w:rsidRPr="008B13A5">
              <w:rPr>
                <w:b/>
                <w:bCs/>
                <w:noProof/>
              </w:rPr>
              <w:t>Talent constraints</w:t>
            </w:r>
            <w:r w:rsidRPr="008B13A5">
              <w:rPr>
                <w:noProof/>
              </w:rPr>
              <w:t>: Skills shortages in engineering and skilled trades are a binding constraint in Europe as well as the US and Asia, affecting time-to-build and OPEX.</w:t>
            </w:r>
          </w:p>
          <w:p w14:paraId="0230C9AF" w14:textId="6637C380" w:rsidR="00EC49AF" w:rsidRPr="008B13A5" w:rsidRDefault="00EC49AF" w:rsidP="0005276B">
            <w:pPr>
              <w:pStyle w:val="NormalWeb"/>
              <w:jc w:val="both"/>
              <w:rPr>
                <w:noProof/>
              </w:rPr>
            </w:pPr>
            <w:r w:rsidRPr="008B13A5">
              <w:rPr>
                <w:b/>
                <w:bCs/>
                <w:noProof/>
              </w:rPr>
              <w:t>Materials and inputs</w:t>
            </w:r>
            <w:r w:rsidRPr="008B13A5">
              <w:rPr>
                <w:noProof/>
              </w:rPr>
              <w:t>: The EU remains dependent on imported specialty gases, chemicals and critical raw materials with concentrated global supply, adding price and disruption risk premia.</w:t>
            </w:r>
          </w:p>
        </w:tc>
      </w:tr>
    </w:tbl>
    <w:p w14:paraId="7255F6EE" w14:textId="77777777" w:rsidR="00EC49AF" w:rsidRPr="008B13A5" w:rsidRDefault="00EC49AF" w:rsidP="0005276B">
      <w:pPr>
        <w:rPr>
          <w:noProof/>
        </w:rPr>
      </w:pPr>
    </w:p>
    <w:p w14:paraId="66EEFC4C" w14:textId="7FA48B0A" w:rsidR="00EC49AF" w:rsidRPr="008B13A5" w:rsidRDefault="00EC49AF" w:rsidP="0005276B">
      <w:pPr>
        <w:rPr>
          <w:b/>
          <w:bCs/>
          <w:noProof/>
        </w:rPr>
      </w:pPr>
      <w:r w:rsidRPr="008B13A5">
        <w:rPr>
          <w:b/>
          <w:bCs/>
          <w:noProof/>
        </w:rPr>
        <w:t xml:space="preserve">Capital intensity and fab scale </w:t>
      </w:r>
    </w:p>
    <w:p w14:paraId="7951E8EA" w14:textId="75734845" w:rsidR="00EC49AF" w:rsidRPr="008B13A5" w:rsidRDefault="00EC49AF" w:rsidP="00F47256">
      <w:pPr>
        <w:pStyle w:val="NormalWeb"/>
        <w:numPr>
          <w:ilvl w:val="0"/>
          <w:numId w:val="22"/>
        </w:numPr>
        <w:jc w:val="both"/>
        <w:rPr>
          <w:noProof/>
        </w:rPr>
      </w:pPr>
      <w:r w:rsidRPr="008B13A5">
        <w:rPr>
          <w:rStyle w:val="Strong"/>
          <w:noProof/>
        </w:rPr>
        <w:t>Developments expected under BAU:</w:t>
      </w:r>
      <w:r w:rsidRPr="008B13A5">
        <w:rPr>
          <w:noProof/>
        </w:rPr>
        <w:t xml:space="preserve"> A </w:t>
      </w:r>
      <w:r w:rsidR="00655EB9">
        <w:rPr>
          <w:noProof/>
        </w:rPr>
        <w:t>number</w:t>
      </w:r>
      <w:r w:rsidR="00655EB9" w:rsidRPr="008B13A5">
        <w:rPr>
          <w:noProof/>
        </w:rPr>
        <w:t xml:space="preserve"> </w:t>
      </w:r>
      <w:r w:rsidRPr="008B13A5">
        <w:rPr>
          <w:noProof/>
        </w:rPr>
        <w:t xml:space="preserve">of EU greenfield and brownfield projects announced since 2023 complete construction and begin ramping. Local supplier bases deepen marginally, and experience curves reduce overruns. However, </w:t>
      </w:r>
      <w:r w:rsidRPr="008B13A5">
        <w:rPr>
          <w:rStyle w:val="Strong"/>
          <w:noProof/>
        </w:rPr>
        <w:t>average EU fabs remain smaller</w:t>
      </w:r>
      <w:r w:rsidR="00F274DD" w:rsidRPr="008B13A5">
        <w:rPr>
          <w:rStyle w:val="Strong"/>
          <w:noProof/>
        </w:rPr>
        <w:t xml:space="preserve"> </w:t>
      </w:r>
      <w:r w:rsidRPr="008B13A5">
        <w:rPr>
          <w:rStyle w:val="Strong"/>
          <w:noProof/>
        </w:rPr>
        <w:t>(</w:t>
      </w:r>
      <w:r w:rsidRPr="008B13A5">
        <w:rPr>
          <w:rStyle w:val="FootnoteReference"/>
          <w:noProof/>
        </w:rPr>
        <w:footnoteReference w:id="171"/>
      </w:r>
      <w:r w:rsidRPr="008B13A5">
        <w:rPr>
          <w:rStyle w:val="Strong"/>
          <w:noProof/>
        </w:rPr>
        <w:t>) than Asian mega-fabs</w:t>
      </w:r>
      <w:r w:rsidRPr="008B13A5">
        <w:rPr>
          <w:noProof/>
        </w:rPr>
        <w:t xml:space="preserve"> and less embedded in very large, turnkey industrial parks.</w:t>
      </w:r>
    </w:p>
    <w:p w14:paraId="56615C22" w14:textId="4186C4C9" w:rsidR="00EC49AF" w:rsidRPr="008B13A5" w:rsidRDefault="00EC49AF" w:rsidP="00F47256">
      <w:pPr>
        <w:pStyle w:val="NormalWeb"/>
        <w:numPr>
          <w:ilvl w:val="0"/>
          <w:numId w:val="22"/>
        </w:numPr>
        <w:jc w:val="both"/>
        <w:rPr>
          <w:noProof/>
        </w:rPr>
      </w:pPr>
      <w:r w:rsidRPr="008B13A5">
        <w:rPr>
          <w:rStyle w:val="Strong"/>
          <w:noProof/>
        </w:rPr>
        <w:t>Rationale:</w:t>
      </w:r>
      <w:r w:rsidRPr="008B13A5">
        <w:rPr>
          <w:noProof/>
        </w:rPr>
        <w:t xml:space="preserve"> Persistent </w:t>
      </w:r>
      <w:r w:rsidRPr="008B13A5">
        <w:rPr>
          <w:rStyle w:val="Strong"/>
          <w:noProof/>
        </w:rPr>
        <w:t>barriers to scale</w:t>
      </w:r>
      <w:r w:rsidRPr="008B13A5">
        <w:rPr>
          <w:noProof/>
        </w:rPr>
        <w:t xml:space="preserve"> in Europe and North America include higher construction costs and logistics frictions; the </w:t>
      </w:r>
      <w:r w:rsidRPr="008B13A5">
        <w:rPr>
          <w:rStyle w:val="Strong"/>
          <w:noProof/>
        </w:rPr>
        <w:t>E</w:t>
      </w:r>
      <w:r w:rsidR="00351C2B">
        <w:rPr>
          <w:rStyle w:val="Strong"/>
          <w:noProof/>
        </w:rPr>
        <w:t xml:space="preserve">uropean </w:t>
      </w:r>
      <w:r w:rsidRPr="008B13A5">
        <w:rPr>
          <w:rStyle w:val="Strong"/>
          <w:noProof/>
        </w:rPr>
        <w:t>C</w:t>
      </w:r>
      <w:r w:rsidR="00351C2B">
        <w:rPr>
          <w:rStyle w:val="Strong"/>
          <w:noProof/>
        </w:rPr>
        <w:t xml:space="preserve">ourt of </w:t>
      </w:r>
      <w:r w:rsidRPr="008B13A5">
        <w:rPr>
          <w:rStyle w:val="Strong"/>
          <w:noProof/>
        </w:rPr>
        <w:t>A</w:t>
      </w:r>
      <w:r w:rsidR="00351C2B">
        <w:rPr>
          <w:rStyle w:val="Strong"/>
          <w:noProof/>
        </w:rPr>
        <w:t>uditors</w:t>
      </w:r>
      <w:r w:rsidR="00F56029">
        <w:rPr>
          <w:rStyle w:val="Strong"/>
          <w:noProof/>
        </w:rPr>
        <w:t xml:space="preserve"> (ECA)</w:t>
      </w:r>
      <w:r w:rsidRPr="008B13A5">
        <w:rPr>
          <w:noProof/>
        </w:rPr>
        <w:t xml:space="preserve"> underlines that public support levels and timelines fall short of transforming EU market share quickly</w:t>
      </w:r>
      <w:r w:rsidR="00F274DD" w:rsidRPr="008B13A5">
        <w:rPr>
          <w:noProof/>
        </w:rPr>
        <w:t xml:space="preserve"> </w:t>
      </w:r>
      <w:r w:rsidRPr="008B13A5">
        <w:rPr>
          <w:noProof/>
        </w:rPr>
        <w:t>(</w:t>
      </w:r>
      <w:r w:rsidRPr="008B13A5">
        <w:rPr>
          <w:rStyle w:val="FootnoteReference"/>
          <w:noProof/>
        </w:rPr>
        <w:footnoteReference w:id="172"/>
      </w:r>
      <w:r w:rsidRPr="008B13A5">
        <w:rPr>
          <w:noProof/>
        </w:rPr>
        <w:t>). In addition, Europe faces structurally higher financing costs: the weighted average cost of capital (WACC) for semiconductor manufacturers is 8.3% in the EU, compared with 7.3 % in the US, 6.1 % in China, 4.8 % in Taiwan, and 4.4% in South Korea</w:t>
      </w:r>
      <w:r w:rsidR="00F274DD" w:rsidRPr="008B13A5">
        <w:rPr>
          <w:noProof/>
        </w:rPr>
        <w:t xml:space="preserve"> </w:t>
      </w:r>
      <w:r w:rsidRPr="008B13A5">
        <w:rPr>
          <w:noProof/>
        </w:rPr>
        <w:t>(</w:t>
      </w:r>
      <w:r w:rsidRPr="008B13A5">
        <w:rPr>
          <w:rStyle w:val="FootnoteReference"/>
          <w:noProof/>
        </w:rPr>
        <w:footnoteReference w:id="173"/>
      </w:r>
      <w:r w:rsidRPr="008B13A5">
        <w:rPr>
          <w:noProof/>
        </w:rPr>
        <w:t>). These higher financing costs make large-scale investments more expensive to execute in Europe relative to leading competitors.</w:t>
      </w:r>
    </w:p>
    <w:p w14:paraId="70185964" w14:textId="0EEBCB6B" w:rsidR="00EC49AF" w:rsidRPr="008B13A5" w:rsidRDefault="00EC49AF" w:rsidP="00F47256">
      <w:pPr>
        <w:pStyle w:val="NormalWeb"/>
        <w:numPr>
          <w:ilvl w:val="0"/>
          <w:numId w:val="22"/>
        </w:numPr>
        <w:jc w:val="both"/>
        <w:rPr>
          <w:noProof/>
        </w:rPr>
      </w:pPr>
      <w:r w:rsidRPr="008B13A5">
        <w:rPr>
          <w:rStyle w:val="Strong"/>
          <w:noProof/>
        </w:rPr>
        <w:t>Implication for costs:</w:t>
      </w:r>
      <w:r w:rsidRPr="008B13A5">
        <w:rPr>
          <w:noProof/>
        </w:rPr>
        <w:t xml:space="preserve">  </w:t>
      </w:r>
      <w:r w:rsidRPr="00BD008E">
        <w:rPr>
          <w:rStyle w:val="Emphasis"/>
          <w:i w:val="0"/>
          <w:noProof/>
        </w:rPr>
        <w:t>According to the comparative fab cost index by Decision &amp; Yole</w:t>
      </w:r>
      <w:r w:rsidR="00F274DD" w:rsidRPr="00BD008E">
        <w:rPr>
          <w:rStyle w:val="Emphasis"/>
          <w:i w:val="0"/>
          <w:noProof/>
        </w:rPr>
        <w:t xml:space="preserve"> </w:t>
      </w:r>
      <w:r w:rsidRPr="00BD008E">
        <w:rPr>
          <w:rStyle w:val="Emphasis"/>
          <w:i w:val="0"/>
          <w:noProof/>
        </w:rPr>
        <w:t>(</w:t>
      </w:r>
      <w:r w:rsidRPr="001558BE">
        <w:rPr>
          <w:rStyle w:val="FootnoteReference"/>
          <w:iCs/>
          <w:noProof/>
        </w:rPr>
        <w:footnoteReference w:id="174"/>
      </w:r>
      <w:r w:rsidRPr="00BD008E">
        <w:rPr>
          <w:rStyle w:val="Emphasis"/>
          <w:i w:val="0"/>
          <w:noProof/>
        </w:rPr>
        <w:t>), Europe remains the highest-cost location among the major semiconductor manufacturing regions: EU = 100, US = 84, Japan = 84, China = 61, Taiwan = 53, Korea = 50. This evidence suggests that, even if some cost efficiencies materialise as EU sites mature, a significant structural cost gap remains between the EU and leading Asian ecosystems under a business-as-usual trajectory.</w:t>
      </w:r>
    </w:p>
    <w:p w14:paraId="712A57BF" w14:textId="1D385DC4" w:rsidR="00EC49AF" w:rsidRPr="008B13A5" w:rsidRDefault="00EC49AF" w:rsidP="0005276B">
      <w:pPr>
        <w:rPr>
          <w:b/>
          <w:bCs/>
          <w:noProof/>
        </w:rPr>
      </w:pPr>
      <w:r w:rsidRPr="008B13A5">
        <w:rPr>
          <w:b/>
          <w:bCs/>
          <w:noProof/>
        </w:rPr>
        <w:t>Operating expenditure (energy, labour, compliance)</w:t>
      </w:r>
    </w:p>
    <w:p w14:paraId="00753580" w14:textId="39E61A1E" w:rsidR="00EC49AF" w:rsidRPr="008B13A5" w:rsidRDefault="00EC49AF" w:rsidP="00F47256">
      <w:pPr>
        <w:pStyle w:val="NormalWeb"/>
        <w:numPr>
          <w:ilvl w:val="0"/>
          <w:numId w:val="23"/>
        </w:numPr>
        <w:jc w:val="both"/>
        <w:rPr>
          <w:noProof/>
        </w:rPr>
      </w:pPr>
      <w:r w:rsidRPr="008B13A5">
        <w:rPr>
          <w:rStyle w:val="Strong"/>
          <w:noProof/>
        </w:rPr>
        <w:t>Developments expected under BAU:</w:t>
      </w:r>
      <w:r w:rsidRPr="008B13A5">
        <w:rPr>
          <w:noProof/>
        </w:rPr>
        <w:t xml:space="preserve"> Energy markets stabilise relative to the 2022–2023 spike, with more long-term </w:t>
      </w:r>
      <w:r w:rsidRPr="008B13A5">
        <w:rPr>
          <w:rStyle w:val="Strong"/>
          <w:noProof/>
        </w:rPr>
        <w:t>power purchase agreements (PPAs)</w:t>
      </w:r>
      <w:r w:rsidRPr="008B13A5">
        <w:rPr>
          <w:noProof/>
        </w:rPr>
        <w:t>,</w:t>
      </w:r>
      <w:r w:rsidRPr="008B13A5">
        <w:rPr>
          <w:b/>
          <w:bCs/>
          <w:noProof/>
        </w:rPr>
        <w:t xml:space="preserve"> </w:t>
      </w:r>
      <w:r w:rsidRPr="008B13A5">
        <w:rPr>
          <w:rStyle w:val="Strong"/>
          <w:noProof/>
        </w:rPr>
        <w:t>and on-site renewables</w:t>
      </w:r>
      <w:r w:rsidRPr="008B13A5">
        <w:rPr>
          <w:noProof/>
        </w:rPr>
        <w:t xml:space="preserve">. Labour productivity improves gradually through automation and learning, but </w:t>
      </w:r>
      <w:r w:rsidRPr="008B13A5">
        <w:rPr>
          <w:rStyle w:val="Strong"/>
          <w:noProof/>
        </w:rPr>
        <w:t>wage levels</w:t>
      </w:r>
      <w:r w:rsidRPr="008B13A5">
        <w:rPr>
          <w:rStyle w:val="Strong"/>
          <w:noProof/>
          <w:sz w:val="22"/>
          <w:szCs w:val="22"/>
        </w:rPr>
        <w:t xml:space="preserve"> </w:t>
      </w:r>
      <w:r w:rsidRPr="008B13A5">
        <w:rPr>
          <w:rStyle w:val="Strong"/>
          <w:noProof/>
        </w:rPr>
        <w:t>and compliance costs</w:t>
      </w:r>
      <w:r w:rsidRPr="008B13A5">
        <w:rPr>
          <w:noProof/>
        </w:rPr>
        <w:t xml:space="preserve"> in Europe remain structurally high. EU skills programmes, increased automation, and migration relieve the </w:t>
      </w:r>
      <w:r w:rsidRPr="008B13A5">
        <w:rPr>
          <w:rStyle w:val="Strong"/>
          <w:noProof/>
        </w:rPr>
        <w:t>worst shortages</w:t>
      </w:r>
      <w:r w:rsidRPr="008B13A5">
        <w:rPr>
          <w:noProof/>
        </w:rPr>
        <w:t xml:space="preserve">, but global competition keeps talent </w:t>
      </w:r>
      <w:r w:rsidRPr="008B13A5">
        <w:rPr>
          <w:rStyle w:val="Strong"/>
          <w:noProof/>
        </w:rPr>
        <w:t>tight and expensive</w:t>
      </w:r>
      <w:r w:rsidRPr="008B13A5">
        <w:rPr>
          <w:noProof/>
        </w:rPr>
        <w:t>. Construction and ramp-up timelines also remain longer in Europe, with typical build-and-commission periods of about 34 months compared with roughly 19 months in Taiwan, reinforcing cost and time-to-market disadvantages.</w:t>
      </w:r>
    </w:p>
    <w:p w14:paraId="2B920D66" w14:textId="62A864AB" w:rsidR="00EC49AF" w:rsidRPr="008B13A5" w:rsidRDefault="00EC49AF" w:rsidP="00F47256">
      <w:pPr>
        <w:pStyle w:val="NormalWeb"/>
        <w:numPr>
          <w:ilvl w:val="0"/>
          <w:numId w:val="23"/>
        </w:numPr>
        <w:jc w:val="both"/>
        <w:rPr>
          <w:noProof/>
        </w:rPr>
      </w:pPr>
      <w:r w:rsidRPr="008B13A5">
        <w:rPr>
          <w:rStyle w:val="Strong"/>
          <w:noProof/>
        </w:rPr>
        <w:t>Rationale:</w:t>
      </w:r>
      <w:r w:rsidRPr="008B13A5">
        <w:rPr>
          <w:noProof/>
        </w:rPr>
        <w:t xml:space="preserve"> The ECA suggests </w:t>
      </w:r>
      <w:r w:rsidRPr="008B13A5">
        <w:rPr>
          <w:rStyle w:val="Strong"/>
          <w:noProof/>
        </w:rPr>
        <w:t>no near-term step-change</w:t>
      </w:r>
      <w:r w:rsidRPr="008B13A5">
        <w:rPr>
          <w:noProof/>
        </w:rPr>
        <w:t xml:space="preserve"> in competitiveness drivers from current policies</w:t>
      </w:r>
      <w:r w:rsidR="00F274DD" w:rsidRPr="008B13A5">
        <w:rPr>
          <w:noProof/>
        </w:rPr>
        <w:t xml:space="preserve"> </w:t>
      </w:r>
      <w:r w:rsidRPr="008B13A5">
        <w:rPr>
          <w:noProof/>
        </w:rPr>
        <w:t>(</w:t>
      </w:r>
      <w:r w:rsidRPr="008B13A5">
        <w:rPr>
          <w:rStyle w:val="FootnoteReference"/>
          <w:noProof/>
        </w:rPr>
        <w:footnoteReference w:id="175"/>
      </w:r>
      <w:r w:rsidRPr="008B13A5">
        <w:rPr>
          <w:noProof/>
        </w:rPr>
        <w:t>); McKinsey points to recurring OPEX headwinds in Europe and North America</w:t>
      </w:r>
      <w:r w:rsidR="00F274DD" w:rsidRPr="008B13A5">
        <w:rPr>
          <w:noProof/>
        </w:rPr>
        <w:t xml:space="preserve"> </w:t>
      </w:r>
      <w:r w:rsidRPr="008B13A5">
        <w:rPr>
          <w:noProof/>
        </w:rPr>
        <w:t>(</w:t>
      </w:r>
      <w:r w:rsidRPr="008B13A5">
        <w:rPr>
          <w:rStyle w:val="FootnoteReference"/>
          <w:noProof/>
        </w:rPr>
        <w:footnoteReference w:id="176"/>
      </w:r>
      <w:r w:rsidRPr="008B13A5">
        <w:rPr>
          <w:noProof/>
        </w:rPr>
        <w:t>). Europe faces structurally higher energy prices: the report shows that EU wholesale gas prices are around 2.8 times those in the US, which contributes to industrial electricity prices that are 137 % higher in the EU compared with the US. Labour cost pressures also persist</w:t>
      </w:r>
      <w:r w:rsidR="00A45754">
        <w:rPr>
          <w:noProof/>
        </w:rPr>
        <w:t xml:space="preserve"> with</w:t>
      </w:r>
      <w:r w:rsidRPr="008B13A5">
        <w:rPr>
          <w:noProof/>
        </w:rPr>
        <w:t xml:space="preserve"> unit labour costs in EU semiconductor manufacturing (0.38) remain</w:t>
      </w:r>
      <w:r w:rsidR="00A45754">
        <w:rPr>
          <w:noProof/>
        </w:rPr>
        <w:t>ing</w:t>
      </w:r>
      <w:r w:rsidRPr="008B13A5">
        <w:rPr>
          <w:noProof/>
        </w:rPr>
        <w:t xml:space="preserve"> above those in the US (0.35) and significantly above levels in Korea (0.11), Taiwan (0.12), China (0.15), and Japan (0.16), largely due to lower productivity and higher employers’ social contributions in the EU</w:t>
      </w:r>
      <w:r w:rsidR="00F274DD" w:rsidRPr="008B13A5">
        <w:rPr>
          <w:noProof/>
        </w:rPr>
        <w:t xml:space="preserve"> </w:t>
      </w:r>
      <w:r w:rsidRPr="008B13A5">
        <w:rPr>
          <w:noProof/>
        </w:rPr>
        <w:t>(</w:t>
      </w:r>
      <w:r w:rsidRPr="008B13A5">
        <w:rPr>
          <w:rStyle w:val="FootnoteReference"/>
          <w:noProof/>
        </w:rPr>
        <w:footnoteReference w:id="177"/>
      </w:r>
      <w:r w:rsidRPr="008B13A5">
        <w:rPr>
          <w:noProof/>
        </w:rPr>
        <w:t>).</w:t>
      </w:r>
    </w:p>
    <w:p w14:paraId="1D18C7BE" w14:textId="57B3CD90" w:rsidR="00EC49AF" w:rsidRPr="008B13A5" w:rsidRDefault="00EC49AF" w:rsidP="00F47256">
      <w:pPr>
        <w:pStyle w:val="NormalWeb"/>
        <w:numPr>
          <w:ilvl w:val="0"/>
          <w:numId w:val="23"/>
        </w:numPr>
        <w:jc w:val="both"/>
        <w:rPr>
          <w:rStyle w:val="Emphasis"/>
          <w:i w:val="0"/>
          <w:iCs w:val="0"/>
          <w:noProof/>
        </w:rPr>
      </w:pPr>
      <w:r w:rsidRPr="008B13A5">
        <w:rPr>
          <w:rStyle w:val="Strong"/>
          <w:noProof/>
        </w:rPr>
        <w:t xml:space="preserve">Implication for costs: </w:t>
      </w:r>
      <w:bookmarkStart w:id="232" w:name="_Hlk215512788"/>
      <w:r w:rsidRPr="00BD008E">
        <w:rPr>
          <w:rStyle w:val="Strong"/>
          <w:b w:val="0"/>
          <w:noProof/>
        </w:rPr>
        <w:t>Europe remains a structurally higher-cost operating environment compared with major competitors. The report identifies energy and labour costs as two of the main contributors to the EU’s higher fab cost index (EU = 100 vs 84 in the US)</w:t>
      </w:r>
      <w:r w:rsidR="00F274DD" w:rsidRPr="00BD008E">
        <w:rPr>
          <w:rStyle w:val="Strong"/>
          <w:b w:val="0"/>
          <w:noProof/>
        </w:rPr>
        <w:t xml:space="preserve"> </w:t>
      </w:r>
      <w:r w:rsidRPr="00BD008E">
        <w:rPr>
          <w:rStyle w:val="Strong"/>
          <w:b w:val="0"/>
          <w:noProof/>
        </w:rPr>
        <w:t>(</w:t>
      </w:r>
      <w:r w:rsidRPr="00A45754">
        <w:rPr>
          <w:rStyle w:val="FootnoteReference"/>
          <w:bCs/>
          <w:noProof/>
        </w:rPr>
        <w:footnoteReference w:id="178"/>
      </w:r>
      <w:r w:rsidRPr="00BD008E">
        <w:rPr>
          <w:rStyle w:val="Strong"/>
          <w:b w:val="0"/>
          <w:noProof/>
        </w:rPr>
        <w:t>). Under BAU, some efficiency gains may occur, but the evidence suggests that Europe’s operating-cost disadvantage will persist.</w:t>
      </w:r>
      <w:bookmarkEnd w:id="232"/>
    </w:p>
    <w:p w14:paraId="5AB38027" w14:textId="53B492DA" w:rsidR="00EC49AF" w:rsidRPr="008B13A5" w:rsidRDefault="00EC49AF" w:rsidP="00EC49AF">
      <w:pPr>
        <w:rPr>
          <w:b/>
          <w:bCs/>
          <w:noProof/>
        </w:rPr>
      </w:pPr>
      <w:r w:rsidRPr="008B13A5">
        <w:rPr>
          <w:b/>
          <w:bCs/>
          <w:noProof/>
        </w:rPr>
        <w:t>Advanced packaging and substrates</w:t>
      </w:r>
    </w:p>
    <w:p w14:paraId="33483C3C" w14:textId="1B83E4D4" w:rsidR="00EC49AF" w:rsidRPr="008B13A5" w:rsidRDefault="00EC49AF" w:rsidP="00F47256">
      <w:pPr>
        <w:pStyle w:val="NormalWeb"/>
        <w:numPr>
          <w:ilvl w:val="0"/>
          <w:numId w:val="24"/>
        </w:numPr>
        <w:jc w:val="both"/>
        <w:rPr>
          <w:noProof/>
        </w:rPr>
      </w:pPr>
      <w:r w:rsidRPr="008B13A5">
        <w:rPr>
          <w:rStyle w:val="Strong"/>
          <w:noProof/>
        </w:rPr>
        <w:t>Developments expected under BAU:</w:t>
      </w:r>
      <w:r w:rsidRPr="008B13A5">
        <w:rPr>
          <w:noProof/>
        </w:rPr>
        <w:t xml:space="preserve"> Europe pilots some </w:t>
      </w:r>
      <w:r w:rsidRPr="008B13A5">
        <w:rPr>
          <w:rStyle w:val="Strong"/>
          <w:noProof/>
        </w:rPr>
        <w:t>advanced-packaging lines</w:t>
      </w:r>
      <w:r w:rsidRPr="008B13A5">
        <w:rPr>
          <w:noProof/>
        </w:rPr>
        <w:t xml:space="preserve"> and niche OSAT activity, with new investments such as the planned SiliconBox advanced-packaging facility in Novara strengthening capabilities in specialised advanced packaging activities. However, </w:t>
      </w:r>
      <w:r w:rsidRPr="008B13A5">
        <w:rPr>
          <w:rStyle w:val="Strong"/>
          <w:noProof/>
        </w:rPr>
        <w:t>volume capacity remains concentrated in Asia</w:t>
      </w:r>
      <w:r w:rsidRPr="008B13A5">
        <w:rPr>
          <w:noProof/>
        </w:rPr>
        <w:t>, which increasingly shapes system performance, cost and time-to-market.</w:t>
      </w:r>
    </w:p>
    <w:p w14:paraId="753BA6B4" w14:textId="2138B305" w:rsidR="00EC49AF" w:rsidRPr="008B13A5" w:rsidRDefault="00EC49AF" w:rsidP="00F47256">
      <w:pPr>
        <w:pStyle w:val="NormalWeb"/>
        <w:numPr>
          <w:ilvl w:val="0"/>
          <w:numId w:val="24"/>
        </w:numPr>
        <w:jc w:val="both"/>
        <w:rPr>
          <w:noProof/>
        </w:rPr>
      </w:pPr>
      <w:r w:rsidRPr="008B13A5">
        <w:rPr>
          <w:rStyle w:val="Strong"/>
          <w:noProof/>
        </w:rPr>
        <w:t>Rationale:</w:t>
      </w:r>
      <w:r w:rsidRPr="008B13A5">
        <w:rPr>
          <w:noProof/>
        </w:rPr>
        <w:t xml:space="preserve"> The JRC (2025)</w:t>
      </w:r>
      <w:r w:rsidRPr="008B13A5">
        <w:rPr>
          <w:rStyle w:val="FootnoteReference"/>
          <w:noProof/>
        </w:rPr>
        <w:t xml:space="preserve"> </w:t>
      </w:r>
      <w:r w:rsidR="00F274DD" w:rsidRPr="008B13A5">
        <w:rPr>
          <w:noProof/>
        </w:rPr>
        <w:t xml:space="preserve"> </w:t>
      </w:r>
      <w:r w:rsidRPr="008B13A5">
        <w:rPr>
          <w:noProof/>
        </w:rPr>
        <w:t>(</w:t>
      </w:r>
      <w:r w:rsidRPr="008B13A5">
        <w:rPr>
          <w:rStyle w:val="FootnoteReference"/>
          <w:noProof/>
        </w:rPr>
        <w:footnoteReference w:id="179"/>
      </w:r>
      <w:r w:rsidRPr="008B13A5">
        <w:rPr>
          <w:noProof/>
        </w:rPr>
        <w:t>) shows Europe’s strategic dependency on the US and Asia for advanced packaging and IC substrates. IFRI (2024)</w:t>
      </w:r>
      <w:r w:rsidRPr="008B13A5">
        <w:rPr>
          <w:rStyle w:val="FootnoteReference"/>
          <w:noProof/>
        </w:rPr>
        <w:t xml:space="preserve"> </w:t>
      </w:r>
      <w:r w:rsidR="00F274DD" w:rsidRPr="008B13A5">
        <w:rPr>
          <w:noProof/>
        </w:rPr>
        <w:t xml:space="preserve"> </w:t>
      </w:r>
      <w:r w:rsidRPr="008B13A5">
        <w:rPr>
          <w:noProof/>
        </w:rPr>
        <w:t>(</w:t>
      </w:r>
      <w:r w:rsidRPr="008B13A5">
        <w:rPr>
          <w:rStyle w:val="FootnoteReference"/>
          <w:noProof/>
        </w:rPr>
        <w:footnoteReference w:id="180"/>
      </w:r>
      <w:r w:rsidRPr="008B13A5">
        <w:rPr>
          <w:noProof/>
        </w:rPr>
        <w:t>) similarly highlights structural gaps in Europe’s back-end capabilities. While Member State support has begun to include back-end initiatives such as Silicon Box in Italy and the (now-cancelled) Intel packaging project in Poland, the bulk of announced investments have been focused on front-end fabrication. Overall, the evidence indicates that Europe’s structural gap in advanced packaging is likely to persist under BAU.</w:t>
      </w:r>
    </w:p>
    <w:p w14:paraId="0C775096" w14:textId="7161421E" w:rsidR="00EC49AF" w:rsidRPr="008B13A5" w:rsidRDefault="00EC49AF" w:rsidP="00F47256">
      <w:pPr>
        <w:pStyle w:val="NormalWeb"/>
        <w:numPr>
          <w:ilvl w:val="0"/>
          <w:numId w:val="24"/>
        </w:numPr>
        <w:jc w:val="both"/>
        <w:rPr>
          <w:noProof/>
        </w:rPr>
      </w:pPr>
      <w:r w:rsidRPr="008B13A5">
        <w:rPr>
          <w:rStyle w:val="Strong"/>
          <w:noProof/>
        </w:rPr>
        <w:t>Implication for costs:</w:t>
      </w:r>
      <w:r w:rsidRPr="008B13A5">
        <w:rPr>
          <w:noProof/>
        </w:rPr>
        <w:t xml:space="preserve"> While firms offshore back-end processing because private production costs are lower in Asia, Europe’s reliance on overseas packaging introduces additional logistics, coordination, and lead-time costs at the system level. As the Nexperia case illustrates, export restrictions imposed on back-end sites can have serious repercussions for European industry. These do not outweigh Asia’s cost advantages for individual firms but nonetheless reduce Europe’s ability to optimise time-to-market and design–manufacturing integration compared with a fully localised supply chain. </w:t>
      </w:r>
      <w:r w:rsidRPr="008B13A5">
        <w:rPr>
          <w:rStyle w:val="Emphasis"/>
          <w:noProof/>
        </w:rPr>
        <w:t>(Logical chain grounded in cited ecosystem gaps.)</w:t>
      </w:r>
    </w:p>
    <w:p w14:paraId="585B5472" w14:textId="562979C5" w:rsidR="00EC49AF" w:rsidRPr="008B13A5" w:rsidRDefault="00EC49AF" w:rsidP="00EC49AF">
      <w:pPr>
        <w:rPr>
          <w:b/>
          <w:bCs/>
          <w:noProof/>
        </w:rPr>
      </w:pPr>
      <w:r w:rsidRPr="008B13A5">
        <w:rPr>
          <w:b/>
          <w:bCs/>
          <w:noProof/>
        </w:rPr>
        <w:t>Materials, chemicals and gases</w:t>
      </w:r>
    </w:p>
    <w:p w14:paraId="42C37DF8" w14:textId="053D87FC" w:rsidR="00EC49AF" w:rsidRPr="008B13A5" w:rsidRDefault="00EC49AF" w:rsidP="00F47256">
      <w:pPr>
        <w:pStyle w:val="NormalWeb"/>
        <w:numPr>
          <w:ilvl w:val="0"/>
          <w:numId w:val="25"/>
        </w:numPr>
        <w:jc w:val="both"/>
        <w:rPr>
          <w:noProof/>
        </w:rPr>
      </w:pPr>
      <w:r w:rsidRPr="008B13A5">
        <w:rPr>
          <w:rStyle w:val="Strong"/>
          <w:noProof/>
        </w:rPr>
        <w:t>Developments expected under BAU:</w:t>
      </w:r>
      <w:r w:rsidRPr="008B13A5">
        <w:rPr>
          <w:noProof/>
        </w:rPr>
        <w:t xml:space="preserve"> Incremental </w:t>
      </w:r>
      <w:r w:rsidRPr="008B13A5">
        <w:rPr>
          <w:rStyle w:val="Strong"/>
          <w:noProof/>
        </w:rPr>
        <w:t>supplier diversification and recycling</w:t>
      </w:r>
      <w:r w:rsidRPr="008B13A5">
        <w:rPr>
          <w:noProof/>
        </w:rPr>
        <w:t xml:space="preserve"> reduce some risk premia, but EU remains </w:t>
      </w:r>
      <w:r w:rsidRPr="008B13A5">
        <w:rPr>
          <w:rStyle w:val="Strong"/>
          <w:noProof/>
        </w:rPr>
        <w:t>import-dependent</w:t>
      </w:r>
      <w:r w:rsidRPr="008B13A5">
        <w:rPr>
          <w:noProof/>
        </w:rPr>
        <w:t xml:space="preserve"> for many critical inputs with geopolitically concentrated supply. Continued investment in semiconductor manufacturing capacity is expected to encourage material suppliers to expand their presence.</w:t>
      </w:r>
    </w:p>
    <w:p w14:paraId="60C463CA" w14:textId="2F123D7A" w:rsidR="00EC49AF" w:rsidRPr="008B13A5" w:rsidRDefault="00EC49AF" w:rsidP="00F47256">
      <w:pPr>
        <w:pStyle w:val="NormalWeb"/>
        <w:numPr>
          <w:ilvl w:val="0"/>
          <w:numId w:val="25"/>
        </w:numPr>
        <w:jc w:val="both"/>
        <w:rPr>
          <w:noProof/>
        </w:rPr>
      </w:pPr>
      <w:r w:rsidRPr="008B13A5">
        <w:rPr>
          <w:rStyle w:val="Strong"/>
          <w:noProof/>
        </w:rPr>
        <w:t>Implication for costs:</w:t>
      </w:r>
      <w:r w:rsidRPr="008B13A5">
        <w:rPr>
          <w:noProof/>
        </w:rPr>
        <w:t xml:space="preserve"> continued exposure to </w:t>
      </w:r>
      <w:r w:rsidRPr="008B13A5">
        <w:rPr>
          <w:rStyle w:val="Strong"/>
          <w:noProof/>
        </w:rPr>
        <w:t>price volatility and border-compliance costs</w:t>
      </w:r>
      <w:r w:rsidRPr="008B13A5">
        <w:rPr>
          <w:noProof/>
        </w:rPr>
        <w:t xml:space="preserve">, adding a thin but persistent premium to EU unit costs. </w:t>
      </w:r>
      <w:r w:rsidRPr="008B13A5">
        <w:rPr>
          <w:rStyle w:val="Emphasis"/>
          <w:noProof/>
        </w:rPr>
        <w:t>(Qualitative inference.)</w:t>
      </w:r>
    </w:p>
    <w:tbl>
      <w:tblPr>
        <w:tblStyle w:val="TableGrid"/>
        <w:tblW w:w="0" w:type="auto"/>
        <w:tblInd w:w="-108" w:type="dxa"/>
        <w:tblCellMar>
          <w:left w:w="0" w:type="dxa"/>
          <w:right w:w="0" w:type="dxa"/>
        </w:tblCellMar>
        <w:tblLook w:val="04A0" w:firstRow="1" w:lastRow="0" w:firstColumn="1" w:lastColumn="0" w:noHBand="0" w:noVBand="1"/>
      </w:tblPr>
      <w:tblGrid>
        <w:gridCol w:w="9188"/>
      </w:tblGrid>
      <w:tr w:rsidR="00EC49AF" w:rsidRPr="008B13A5" w14:paraId="6BEA6FAE" w14:textId="77777777">
        <w:tc>
          <w:tcPr>
            <w:tcW w:w="9628" w:type="dxa"/>
            <w:shd w:val="clear" w:color="auto" w:fill="DAEEF3"/>
          </w:tcPr>
          <w:p w14:paraId="69352E46" w14:textId="006ADC5E" w:rsidR="00EC49AF" w:rsidRPr="008B13A5" w:rsidRDefault="00EC49AF">
            <w:pPr>
              <w:spacing w:before="100" w:beforeAutospacing="1" w:after="100" w:afterAutospacing="1"/>
              <w:rPr>
                <w:b/>
                <w:bCs/>
                <w:noProof/>
              </w:rPr>
            </w:pPr>
            <w:r w:rsidRPr="008B13A5">
              <w:rPr>
                <w:b/>
                <w:bCs/>
                <w:noProof/>
              </w:rPr>
              <w:t>Key uncertainties</w:t>
            </w:r>
          </w:p>
          <w:p w14:paraId="383D10DE" w14:textId="02112ED7" w:rsidR="00EC49AF" w:rsidRPr="008B13A5" w:rsidRDefault="00EC49AF" w:rsidP="00F47256">
            <w:pPr>
              <w:pStyle w:val="ListParagraph"/>
              <w:numPr>
                <w:ilvl w:val="0"/>
                <w:numId w:val="26"/>
              </w:numPr>
              <w:spacing w:before="100" w:beforeAutospacing="1" w:after="100" w:afterAutospacing="1"/>
              <w:ind w:left="851"/>
              <w:rPr>
                <w:noProof/>
              </w:rPr>
            </w:pPr>
            <w:r w:rsidRPr="008B13A5">
              <w:rPr>
                <w:b/>
                <w:bCs/>
                <w:noProof/>
              </w:rPr>
              <w:t>Energy price path</w:t>
            </w:r>
            <w:r w:rsidRPr="008B13A5">
              <w:rPr>
                <w:noProof/>
              </w:rPr>
              <w:t>: faster convergence would narrow OPEX more quickly; renewed volatility would widen it. EU wholesale gas prices are currently 2.8 times higher than in the US and EU industrial electricity prices remain 137% higher</w:t>
            </w:r>
            <w:r w:rsidR="00F274DD" w:rsidRPr="008B13A5">
              <w:rPr>
                <w:noProof/>
              </w:rPr>
              <w:t xml:space="preserve"> </w:t>
            </w:r>
            <w:r w:rsidRPr="008B13A5">
              <w:rPr>
                <w:noProof/>
              </w:rPr>
              <w:t>(</w:t>
            </w:r>
            <w:r w:rsidRPr="008B13A5">
              <w:rPr>
                <w:rStyle w:val="FootnoteReference"/>
                <w:noProof/>
              </w:rPr>
              <w:footnoteReference w:id="181"/>
            </w:r>
            <w:r w:rsidRPr="008B13A5">
              <w:rPr>
                <w:noProof/>
              </w:rPr>
              <w:t>). These structural differences imply that even moderate volatility could significantly affect the EU cost base because energy is a major driver of fab operating expenditure.</w:t>
            </w:r>
          </w:p>
          <w:p w14:paraId="19BCDB89" w14:textId="192919F5" w:rsidR="00EC49AF" w:rsidRPr="008B13A5" w:rsidRDefault="00EC49AF" w:rsidP="00F47256">
            <w:pPr>
              <w:pStyle w:val="ListParagraph"/>
              <w:numPr>
                <w:ilvl w:val="0"/>
                <w:numId w:val="26"/>
              </w:numPr>
              <w:spacing w:before="100" w:beforeAutospacing="1" w:after="100" w:afterAutospacing="1"/>
              <w:ind w:left="851"/>
              <w:rPr>
                <w:noProof/>
              </w:rPr>
            </w:pPr>
            <w:bookmarkStart w:id="233" w:name="_Hlk215512845"/>
            <w:r w:rsidRPr="008B13A5">
              <w:rPr>
                <w:b/>
                <w:bCs/>
                <w:noProof/>
              </w:rPr>
              <w:t>Talent inflows</w:t>
            </w:r>
            <w:r w:rsidRPr="008B13A5">
              <w:rPr>
                <w:noProof/>
              </w:rPr>
              <w:t>: stronger migration and training outcomes could shorten ramp times and reduce labour premia by the early 2030s. The EU still benefits from 1.1 million STEM graduates per year, more than the US (0.9 million), but growth in STEM output since 2015 has been only 11%, compared with 32% in the US and a near doubling in China. This slower growth increases uncertainty regarding the EU’s long-term talent advantage</w:t>
            </w:r>
            <w:r w:rsidR="00F274DD" w:rsidRPr="008B13A5">
              <w:rPr>
                <w:noProof/>
              </w:rPr>
              <w:t xml:space="preserve"> </w:t>
            </w:r>
            <w:r w:rsidRPr="008B13A5">
              <w:rPr>
                <w:noProof/>
              </w:rPr>
              <w:t>(</w:t>
            </w:r>
            <w:r w:rsidRPr="008B13A5">
              <w:rPr>
                <w:rStyle w:val="FootnoteReference"/>
                <w:noProof/>
              </w:rPr>
              <w:footnoteReference w:id="182"/>
            </w:r>
            <w:r w:rsidRPr="008B13A5">
              <w:rPr>
                <w:noProof/>
              </w:rPr>
              <w:t>).</w:t>
            </w:r>
          </w:p>
          <w:bookmarkEnd w:id="233"/>
          <w:p w14:paraId="7D3EC3CC" w14:textId="435755CD" w:rsidR="00EC49AF" w:rsidRPr="008B13A5" w:rsidRDefault="00EC49AF" w:rsidP="00F47256">
            <w:pPr>
              <w:pStyle w:val="ListParagraph"/>
              <w:numPr>
                <w:ilvl w:val="0"/>
                <w:numId w:val="26"/>
              </w:numPr>
              <w:spacing w:before="100" w:beforeAutospacing="1" w:after="100" w:afterAutospacing="1"/>
              <w:ind w:left="851"/>
              <w:rPr>
                <w:noProof/>
              </w:rPr>
            </w:pPr>
            <w:r w:rsidRPr="008B13A5">
              <w:rPr>
                <w:b/>
                <w:bCs/>
                <w:noProof/>
              </w:rPr>
              <w:t>Global subsidies race</w:t>
            </w:r>
            <w:r w:rsidRPr="008B13A5">
              <w:rPr>
                <w:noProof/>
              </w:rPr>
              <w:t xml:space="preserve">: escalation in the US or Asia could </w:t>
            </w:r>
            <w:r w:rsidR="00B92FBB">
              <w:rPr>
                <w:noProof/>
              </w:rPr>
              <w:t xml:space="preserve">further </w:t>
            </w:r>
            <w:r w:rsidRPr="008B13A5">
              <w:rPr>
                <w:noProof/>
              </w:rPr>
              <w:t>widen gaps if EU support remains static. Japan, China, and the US have all announced larger semiconductor support packages than the EU Chips Act, in some cases several times higher</w:t>
            </w:r>
            <w:r w:rsidR="00F274DD" w:rsidRPr="008B13A5">
              <w:rPr>
                <w:noProof/>
              </w:rPr>
              <w:t xml:space="preserve"> </w:t>
            </w:r>
            <w:r w:rsidRPr="008B13A5">
              <w:rPr>
                <w:noProof/>
              </w:rPr>
              <w:t>(</w:t>
            </w:r>
            <w:r w:rsidRPr="008B13A5">
              <w:rPr>
                <w:rStyle w:val="FootnoteReference"/>
                <w:noProof/>
              </w:rPr>
              <w:footnoteReference w:id="183"/>
            </w:r>
            <w:r w:rsidRPr="008B13A5">
              <w:rPr>
                <w:noProof/>
              </w:rPr>
              <w:t>), which increases uncertainty about Europe’s relative attractiveness for future capital-intensive projects.</w:t>
            </w:r>
          </w:p>
        </w:tc>
      </w:tr>
    </w:tbl>
    <w:p w14:paraId="1BCB48BF" w14:textId="77777777" w:rsidR="00EC49AF" w:rsidRPr="008B13A5" w:rsidRDefault="00EC49AF" w:rsidP="00EC49AF">
      <w:pPr>
        <w:rPr>
          <w:noProof/>
        </w:rPr>
      </w:pPr>
    </w:p>
    <w:p w14:paraId="60B27577" w14:textId="36043BDD" w:rsidR="00EC49AF" w:rsidRPr="008B13A5" w:rsidRDefault="00EC49AF" w:rsidP="0005276B">
      <w:pPr>
        <w:pStyle w:val="Heading2"/>
        <w:rPr>
          <w:noProof/>
        </w:rPr>
      </w:pPr>
      <w:bookmarkStart w:id="234" w:name="_Toc217394776"/>
      <w:bookmarkStart w:id="235" w:name="_Toc217395623"/>
      <w:bookmarkStart w:id="236" w:name="_Toc217396472"/>
      <w:bookmarkStart w:id="237" w:name="_Toc1251396798"/>
      <w:bookmarkStart w:id="238" w:name="_Toc223620633"/>
      <w:bookmarkStart w:id="239" w:name="_Toc230010453"/>
      <w:r w:rsidRPr="008B13A5">
        <w:rPr>
          <w:noProof/>
        </w:rPr>
        <w:t>Public budget effects</w:t>
      </w:r>
      <w:bookmarkEnd w:id="234"/>
      <w:bookmarkEnd w:id="235"/>
      <w:bookmarkEnd w:id="236"/>
      <w:bookmarkEnd w:id="237"/>
      <w:bookmarkEnd w:id="238"/>
      <w:bookmarkEnd w:id="239"/>
    </w:p>
    <w:p w14:paraId="39514B45" w14:textId="67BF3304" w:rsidR="00EC49AF" w:rsidRPr="008B13A5" w:rsidRDefault="00EC49AF" w:rsidP="0005276B">
      <w:pPr>
        <w:pStyle w:val="Heading3"/>
        <w:rPr>
          <w:noProof/>
        </w:rPr>
      </w:pPr>
      <w:bookmarkStart w:id="240" w:name="_Toc217395624"/>
      <w:bookmarkStart w:id="241" w:name="_Toc217396473"/>
      <w:bookmarkStart w:id="242" w:name="_Toc1927591791"/>
      <w:bookmarkStart w:id="243" w:name="_Toc223620634"/>
      <w:bookmarkStart w:id="244" w:name="_Toc230010454"/>
      <w:r w:rsidRPr="008B13A5">
        <w:rPr>
          <w:noProof/>
        </w:rPr>
        <w:t>Establishing a starting point for BAU scenario</w:t>
      </w:r>
      <w:bookmarkEnd w:id="240"/>
      <w:bookmarkEnd w:id="241"/>
      <w:bookmarkEnd w:id="242"/>
      <w:bookmarkEnd w:id="243"/>
      <w:bookmarkEnd w:id="244"/>
    </w:p>
    <w:p w14:paraId="7EC16543" w14:textId="077CCB1C" w:rsidR="00EC49AF" w:rsidRPr="008B13A5" w:rsidRDefault="00EC49AF" w:rsidP="00EC49AF">
      <w:pPr>
        <w:rPr>
          <w:noProof/>
          <w:szCs w:val="22"/>
          <w:lang w:eastAsia="en-GB"/>
        </w:rPr>
      </w:pPr>
      <w:r w:rsidRPr="008B13A5">
        <w:rPr>
          <w:noProof/>
          <w:szCs w:val="22"/>
          <w:lang w:eastAsia="en-GB"/>
        </w:rPr>
        <w:t>Public support for Europe’s semiconductor ecosystem is already substantial, combining EU-level instruments, national state-aid schemes, and regional investment incentives.</w:t>
      </w:r>
    </w:p>
    <w:p w14:paraId="5C56BB51" w14:textId="6D996266" w:rsidR="00EC49AF" w:rsidRPr="008B13A5" w:rsidRDefault="00EC49AF" w:rsidP="00EC49AF">
      <w:pPr>
        <w:rPr>
          <w:noProof/>
          <w:szCs w:val="22"/>
          <w:lang w:eastAsia="en-GB"/>
        </w:rPr>
      </w:pPr>
      <w:r w:rsidRPr="008B13A5">
        <w:rPr>
          <w:noProof/>
          <w:szCs w:val="22"/>
          <w:lang w:eastAsia="en-GB"/>
        </w:rPr>
        <w:t>To date, total announced public funding commitments under the EU Chips Act and related initiatives amount to approximately €32 billion, including both EU and national (without accounting for the IPCEI on Microelectronics and Communication Technologies).</w:t>
      </w:r>
    </w:p>
    <w:p w14:paraId="065CF58F" w14:textId="5BFB620C" w:rsidR="00EC49AF" w:rsidRPr="008B13A5" w:rsidRDefault="00EC49AF" w:rsidP="0005276B">
      <w:pPr>
        <w:spacing w:after="0"/>
        <w:rPr>
          <w:noProof/>
          <w:szCs w:val="22"/>
          <w:lang w:eastAsia="en-GB"/>
        </w:rPr>
      </w:pPr>
      <w:r w:rsidRPr="008B13A5">
        <w:rPr>
          <w:noProof/>
          <w:szCs w:val="22"/>
          <w:lang w:eastAsia="en-GB"/>
        </w:rPr>
        <w:t>At the EU level, the Chips Act also provides an indicative public envelope of additional EUR 11 billion over 2021-2030, financed mainly through:</w:t>
      </w:r>
    </w:p>
    <w:p w14:paraId="37452E57" w14:textId="04D90040" w:rsidR="00EC49AF" w:rsidRPr="008B13A5" w:rsidRDefault="00EC49AF" w:rsidP="00F47256">
      <w:pPr>
        <w:pStyle w:val="ListParagraph"/>
        <w:numPr>
          <w:ilvl w:val="0"/>
          <w:numId w:val="34"/>
        </w:numPr>
        <w:spacing w:after="120"/>
        <w:rPr>
          <w:noProof/>
        </w:rPr>
      </w:pPr>
      <w:r w:rsidRPr="008B13A5">
        <w:rPr>
          <w:noProof/>
        </w:rPr>
        <w:t>Horizon Europe and Digital Europe programmes for R&amp;D and pilot-line development (Pillar I);</w:t>
      </w:r>
    </w:p>
    <w:p w14:paraId="740F8CB4" w14:textId="0883695A" w:rsidR="00EC49AF" w:rsidRPr="008B13A5" w:rsidRDefault="00EC49AF" w:rsidP="00F47256">
      <w:pPr>
        <w:pStyle w:val="ListParagraph"/>
        <w:numPr>
          <w:ilvl w:val="0"/>
          <w:numId w:val="34"/>
        </w:numPr>
        <w:spacing w:after="120"/>
        <w:rPr>
          <w:noProof/>
        </w:rPr>
      </w:pPr>
      <w:r w:rsidRPr="008B13A5">
        <w:rPr>
          <w:noProof/>
        </w:rPr>
        <w:t>First-of-a-Kind (FoaK) industrial-deployment support (Pillar II);</w:t>
      </w:r>
    </w:p>
    <w:p w14:paraId="1395D213" w14:textId="2331A55E" w:rsidR="00EC49AF" w:rsidRPr="008B13A5" w:rsidRDefault="00EC49AF" w:rsidP="00F47256">
      <w:pPr>
        <w:pStyle w:val="ListParagraph"/>
        <w:numPr>
          <w:ilvl w:val="0"/>
          <w:numId w:val="34"/>
        </w:numPr>
        <w:spacing w:after="120"/>
        <w:rPr>
          <w:noProof/>
        </w:rPr>
      </w:pPr>
      <w:r w:rsidRPr="008B13A5">
        <w:rPr>
          <w:noProof/>
        </w:rPr>
        <w:t>Coordination, monitoring, and crisis-response measures (Pillar III).</w:t>
      </w:r>
    </w:p>
    <w:p w14:paraId="75A8DFF7" w14:textId="346D46F0" w:rsidR="00EC49AF" w:rsidRPr="008B13A5" w:rsidRDefault="00EC49AF" w:rsidP="00EC49AF">
      <w:pPr>
        <w:rPr>
          <w:noProof/>
          <w:lang w:eastAsia="en-GB"/>
        </w:rPr>
      </w:pPr>
      <w:r w:rsidRPr="008B13A5">
        <w:rPr>
          <w:noProof/>
          <w:lang w:eastAsia="en-GB"/>
        </w:rPr>
        <w:t xml:space="preserve">At the national level, Member States have pledged the bulk of financial support through the IPCEI on Microelectronics and Communication Technologies and bespoke subsidy schemes. Germany, France, Italy, Ireland, and Austria together account for more than 80% of total national semiconductor funding. </w:t>
      </w:r>
    </w:p>
    <w:p w14:paraId="6AA5085B" w14:textId="3708F97F" w:rsidR="00EC49AF" w:rsidRPr="008B13A5" w:rsidRDefault="00EC49AF" w:rsidP="00EC49AF">
      <w:pPr>
        <w:rPr>
          <w:noProof/>
          <w:lang w:eastAsia="en-GB"/>
        </w:rPr>
      </w:pPr>
      <w:r w:rsidRPr="008B13A5">
        <w:rPr>
          <w:noProof/>
        </w:rPr>
        <w:t xml:space="preserve">In terms of fiscal revenues, the semiconductor sector remains modest but rising: it accounts for less than </w:t>
      </w:r>
      <w:r w:rsidRPr="008B13A5">
        <w:rPr>
          <w:rStyle w:val="Strong"/>
          <w:noProof/>
        </w:rPr>
        <w:t>0.3 % of EU GDP (≈ EUR 44 billion in gross value added)</w:t>
      </w:r>
      <w:r w:rsidRPr="008B13A5">
        <w:rPr>
          <w:b/>
          <w:bCs/>
          <w:noProof/>
        </w:rPr>
        <w:t xml:space="preserve"> </w:t>
      </w:r>
      <w:r w:rsidRPr="008B13A5">
        <w:rPr>
          <w:noProof/>
        </w:rPr>
        <w:t xml:space="preserve">and generates around </w:t>
      </w:r>
      <w:r w:rsidRPr="008B13A5">
        <w:rPr>
          <w:rStyle w:val="Strong"/>
          <w:noProof/>
        </w:rPr>
        <w:t>EUR 7.5 billion annually in tax receipts</w:t>
      </w:r>
      <w:r w:rsidRPr="008B13A5">
        <w:rPr>
          <w:noProof/>
        </w:rPr>
        <w:t>,</w:t>
      </w:r>
      <w:r w:rsidR="00F274DD" w:rsidRPr="008B13A5">
        <w:rPr>
          <w:noProof/>
        </w:rPr>
        <w:t xml:space="preserve"> </w:t>
      </w:r>
      <w:r w:rsidRPr="008B13A5">
        <w:rPr>
          <w:noProof/>
        </w:rPr>
        <w:t>(</w:t>
      </w:r>
      <w:r w:rsidRPr="008B13A5">
        <w:rPr>
          <w:rStyle w:val="FootnoteReference"/>
          <w:noProof/>
        </w:rPr>
        <w:footnoteReference w:id="184"/>
      </w:r>
      <w:r w:rsidRPr="008B13A5">
        <w:rPr>
          <w:noProof/>
        </w:rPr>
        <w:t>)</w:t>
      </w:r>
      <w:r w:rsidR="00F274DD" w:rsidRPr="008B13A5">
        <w:rPr>
          <w:noProof/>
        </w:rPr>
        <w:t xml:space="preserve"> </w:t>
      </w:r>
      <w:r w:rsidRPr="008B13A5">
        <w:rPr>
          <w:noProof/>
        </w:rPr>
        <w:t>(</w:t>
      </w:r>
      <w:r w:rsidRPr="008B13A5">
        <w:rPr>
          <w:rStyle w:val="FootnoteReference"/>
          <w:noProof/>
        </w:rPr>
        <w:footnoteReference w:id="185"/>
      </w:r>
      <w:r w:rsidRPr="008B13A5">
        <w:rPr>
          <w:noProof/>
        </w:rPr>
        <w:t>) mainly through corporate taxation, labour contributions, and indirect taxes on high-value manufacturing</w:t>
      </w:r>
      <w:r w:rsidR="00F274DD" w:rsidRPr="008B13A5">
        <w:rPr>
          <w:noProof/>
        </w:rPr>
        <w:t xml:space="preserve"> </w:t>
      </w:r>
      <w:r w:rsidRPr="008B13A5">
        <w:rPr>
          <w:noProof/>
        </w:rPr>
        <w:t>(</w:t>
      </w:r>
      <w:r w:rsidRPr="008B13A5">
        <w:rPr>
          <w:rStyle w:val="FootnoteReference"/>
          <w:noProof/>
        </w:rPr>
        <w:footnoteReference w:id="186"/>
      </w:r>
      <w:r w:rsidRPr="008B13A5">
        <w:rPr>
          <w:noProof/>
        </w:rPr>
        <w:t>)</w:t>
      </w:r>
      <w:r w:rsidRPr="008B13A5">
        <w:rPr>
          <w:noProof/>
          <w:lang w:eastAsia="en-GB"/>
        </w:rPr>
        <w:t>. The sector’s potential for multiplier effects is high, yet most fiscal returns are geographically concentrated in host regions.</w:t>
      </w:r>
    </w:p>
    <w:p w14:paraId="583E6E30" w14:textId="5F47233A" w:rsidR="00EC49AF" w:rsidRPr="008B13A5" w:rsidRDefault="00EC49AF" w:rsidP="00EC49AF">
      <w:pPr>
        <w:rPr>
          <w:i/>
          <w:iCs/>
          <w:noProof/>
        </w:rPr>
      </w:pPr>
      <w:bookmarkStart w:id="245" w:name="_Ref213080133"/>
      <w:bookmarkStart w:id="246" w:name="_Ref213080130"/>
      <w:r w:rsidRPr="008B13A5">
        <w:rPr>
          <w:b/>
          <w:bCs/>
          <w:noProof/>
        </w:rPr>
        <w:t xml:space="preserve">Table </w:t>
      </w:r>
      <w:bookmarkEnd w:id="245"/>
      <w:r w:rsidR="00C02ABA">
        <w:rPr>
          <w:b/>
          <w:bCs/>
          <w:noProof/>
        </w:rPr>
        <w:t>12</w:t>
      </w:r>
      <w:r w:rsidRPr="008B13A5">
        <w:rPr>
          <w:b/>
          <w:bCs/>
          <w:noProof/>
        </w:rPr>
        <w:t>. Starting parameters</w:t>
      </w:r>
      <w:bookmarkEnd w:id="246"/>
      <w:r w:rsidRPr="008B13A5">
        <w:rPr>
          <w:b/>
          <w:bCs/>
          <w:noProof/>
        </w:rPr>
        <w:t xml:space="preserve">. </w:t>
      </w:r>
      <w:r w:rsidRPr="008B13A5">
        <w:rPr>
          <w:i/>
          <w:iCs/>
          <w:noProof/>
        </w:rPr>
        <w:t xml:space="preserve">Source: Compiled by </w:t>
      </w:r>
      <w:r w:rsidRPr="008B13A5">
        <w:rPr>
          <w:i/>
          <w:iCs/>
          <w:noProof/>
          <w:lang w:eastAsia="en-GB"/>
        </w:rPr>
        <w:t>authors</w:t>
      </w:r>
      <w:r w:rsidRPr="008B13A5">
        <w:rPr>
          <w:i/>
          <w:iCs/>
          <w:noProof/>
        </w:rPr>
        <w:t xml:space="preserve">. </w:t>
      </w:r>
    </w:p>
    <w:tbl>
      <w:tblPr>
        <w:tblStyle w:val="TableGrid"/>
        <w:tblW w:w="0" w:type="auto"/>
        <w:tblInd w:w="-116" w:type="dxa"/>
        <w:tblCellMar>
          <w:left w:w="0" w:type="dxa"/>
          <w:right w:w="0" w:type="dxa"/>
        </w:tblCellMar>
        <w:tblLook w:val="04A0" w:firstRow="1" w:lastRow="0" w:firstColumn="1" w:lastColumn="0" w:noHBand="0" w:noVBand="1"/>
      </w:tblPr>
      <w:tblGrid>
        <w:gridCol w:w="2496"/>
        <w:gridCol w:w="3044"/>
        <w:gridCol w:w="1145"/>
        <w:gridCol w:w="2511"/>
      </w:tblGrid>
      <w:tr w:rsidR="00EC49AF" w:rsidRPr="008B13A5" w14:paraId="5B5B1839" w14:textId="77777777">
        <w:tc>
          <w:tcPr>
            <w:tcW w:w="0" w:type="auto"/>
          </w:tcPr>
          <w:p w14:paraId="6E160D30" w14:textId="77777777" w:rsidR="00EC49AF" w:rsidRPr="008B13A5" w:rsidRDefault="00EC49AF">
            <w:pPr>
              <w:spacing w:after="0"/>
              <w:jc w:val="center"/>
              <w:rPr>
                <w:b/>
                <w:noProof/>
                <w:szCs w:val="22"/>
              </w:rPr>
            </w:pPr>
            <w:r w:rsidRPr="008B13A5">
              <w:rPr>
                <w:b/>
                <w:noProof/>
                <w:szCs w:val="22"/>
              </w:rPr>
              <w:t>Variable</w:t>
            </w:r>
          </w:p>
        </w:tc>
        <w:tc>
          <w:tcPr>
            <w:tcW w:w="0" w:type="auto"/>
          </w:tcPr>
          <w:p w14:paraId="5F04DDE7" w14:textId="77777777" w:rsidR="00EC49AF" w:rsidRPr="008B13A5" w:rsidRDefault="00EC49AF">
            <w:pPr>
              <w:spacing w:after="0"/>
              <w:jc w:val="center"/>
              <w:rPr>
                <w:b/>
                <w:noProof/>
                <w:szCs w:val="22"/>
              </w:rPr>
            </w:pPr>
            <w:r w:rsidRPr="008B13A5">
              <w:rPr>
                <w:b/>
                <w:noProof/>
                <w:szCs w:val="22"/>
              </w:rPr>
              <w:t>Description</w:t>
            </w:r>
          </w:p>
        </w:tc>
        <w:tc>
          <w:tcPr>
            <w:tcW w:w="0" w:type="auto"/>
          </w:tcPr>
          <w:p w14:paraId="58C1BD4F" w14:textId="77777777" w:rsidR="00EC49AF" w:rsidRPr="008B13A5" w:rsidRDefault="00EC49AF">
            <w:pPr>
              <w:spacing w:after="0"/>
              <w:jc w:val="center"/>
              <w:rPr>
                <w:b/>
                <w:noProof/>
                <w:szCs w:val="22"/>
              </w:rPr>
            </w:pPr>
            <w:r w:rsidRPr="008B13A5">
              <w:rPr>
                <w:b/>
                <w:noProof/>
                <w:szCs w:val="22"/>
              </w:rPr>
              <w:t>Value</w:t>
            </w:r>
          </w:p>
        </w:tc>
        <w:tc>
          <w:tcPr>
            <w:tcW w:w="0" w:type="auto"/>
          </w:tcPr>
          <w:p w14:paraId="1B886A1A" w14:textId="77777777" w:rsidR="00EC49AF" w:rsidRPr="008B13A5" w:rsidRDefault="00EC49AF">
            <w:pPr>
              <w:spacing w:after="0"/>
              <w:jc w:val="center"/>
              <w:rPr>
                <w:b/>
                <w:noProof/>
                <w:szCs w:val="22"/>
              </w:rPr>
            </w:pPr>
            <w:r w:rsidRPr="008B13A5">
              <w:rPr>
                <w:b/>
                <w:noProof/>
                <w:szCs w:val="22"/>
              </w:rPr>
              <w:t>Source</w:t>
            </w:r>
          </w:p>
        </w:tc>
      </w:tr>
      <w:tr w:rsidR="00EC49AF" w:rsidRPr="008B13A5" w14:paraId="627FC8DB" w14:textId="77777777">
        <w:tc>
          <w:tcPr>
            <w:tcW w:w="0" w:type="auto"/>
          </w:tcPr>
          <w:p w14:paraId="50BD2610" w14:textId="1779C33C" w:rsidR="00EC49AF" w:rsidRPr="008B13A5" w:rsidRDefault="00EC49AF">
            <w:pPr>
              <w:spacing w:after="0"/>
              <w:jc w:val="left"/>
              <w:rPr>
                <w:noProof/>
                <w:szCs w:val="22"/>
              </w:rPr>
            </w:pPr>
            <w:r w:rsidRPr="008B13A5">
              <w:rPr>
                <w:b/>
                <w:noProof/>
                <w:szCs w:val="22"/>
              </w:rPr>
              <w:t>EU-27 GDP (2023)</w:t>
            </w:r>
          </w:p>
        </w:tc>
        <w:tc>
          <w:tcPr>
            <w:tcW w:w="0" w:type="auto"/>
          </w:tcPr>
          <w:p w14:paraId="036A081C" w14:textId="4841F4B6" w:rsidR="00EC49AF" w:rsidRPr="008B13A5" w:rsidRDefault="00EC49AF">
            <w:pPr>
              <w:spacing w:after="0"/>
              <w:jc w:val="left"/>
              <w:rPr>
                <w:noProof/>
                <w:szCs w:val="22"/>
              </w:rPr>
            </w:pPr>
            <w:r w:rsidRPr="008B13A5">
              <w:rPr>
                <w:noProof/>
                <w:szCs w:val="22"/>
              </w:rPr>
              <w:t>Nominal GDP baseline</w:t>
            </w:r>
          </w:p>
        </w:tc>
        <w:tc>
          <w:tcPr>
            <w:tcW w:w="0" w:type="auto"/>
          </w:tcPr>
          <w:p w14:paraId="15C5DAEA" w14:textId="663D0052" w:rsidR="00EC49AF" w:rsidRPr="008B13A5" w:rsidRDefault="00EC49AF">
            <w:pPr>
              <w:spacing w:after="0"/>
              <w:jc w:val="left"/>
              <w:rPr>
                <w:noProof/>
                <w:szCs w:val="22"/>
              </w:rPr>
            </w:pPr>
            <w:r w:rsidRPr="008B13A5">
              <w:rPr>
                <w:noProof/>
                <w:szCs w:val="22"/>
              </w:rPr>
              <w:t>€14.6 trillion</w:t>
            </w:r>
          </w:p>
        </w:tc>
        <w:tc>
          <w:tcPr>
            <w:tcW w:w="0" w:type="auto"/>
          </w:tcPr>
          <w:p w14:paraId="626BF416" w14:textId="0062E660" w:rsidR="00EC49AF" w:rsidRPr="008B13A5" w:rsidRDefault="00EC49AF">
            <w:pPr>
              <w:spacing w:after="0"/>
              <w:jc w:val="left"/>
              <w:rPr>
                <w:noProof/>
                <w:szCs w:val="22"/>
              </w:rPr>
            </w:pPr>
            <w:r w:rsidRPr="008B13A5">
              <w:rPr>
                <w:noProof/>
                <w:szCs w:val="22"/>
              </w:rPr>
              <w:t>Eurostat (AMECO)</w:t>
            </w:r>
          </w:p>
        </w:tc>
      </w:tr>
      <w:tr w:rsidR="00EC49AF" w:rsidRPr="008B13A5" w14:paraId="75E60C09" w14:textId="77777777">
        <w:tc>
          <w:tcPr>
            <w:tcW w:w="0" w:type="auto"/>
          </w:tcPr>
          <w:p w14:paraId="5B4963BB" w14:textId="0EDCF411" w:rsidR="00EC49AF" w:rsidRPr="008B13A5" w:rsidRDefault="00EC49AF">
            <w:pPr>
              <w:spacing w:after="0"/>
              <w:jc w:val="left"/>
              <w:rPr>
                <w:noProof/>
                <w:szCs w:val="22"/>
              </w:rPr>
            </w:pPr>
            <w:r w:rsidRPr="008B13A5">
              <w:rPr>
                <w:b/>
                <w:noProof/>
                <w:szCs w:val="22"/>
              </w:rPr>
              <w:t xml:space="preserve">Semiconductor sector GVA </w:t>
            </w:r>
          </w:p>
        </w:tc>
        <w:tc>
          <w:tcPr>
            <w:tcW w:w="0" w:type="auto"/>
          </w:tcPr>
          <w:p w14:paraId="2983E589" w14:textId="04D27807" w:rsidR="00EC49AF" w:rsidRPr="008B13A5" w:rsidRDefault="00EC49AF">
            <w:pPr>
              <w:spacing w:after="0"/>
              <w:jc w:val="left"/>
              <w:rPr>
                <w:noProof/>
                <w:szCs w:val="22"/>
              </w:rPr>
            </w:pPr>
            <w:r w:rsidRPr="008B13A5">
              <w:rPr>
                <w:noProof/>
                <w:szCs w:val="22"/>
              </w:rPr>
              <w:t>0.3 % of GDP</w:t>
            </w:r>
          </w:p>
          <w:p w14:paraId="44098220" w14:textId="2EB1FA7D" w:rsidR="00EC49AF" w:rsidRPr="008B13A5" w:rsidRDefault="00EC49AF">
            <w:pPr>
              <w:spacing w:after="0"/>
              <w:jc w:val="left"/>
              <w:rPr>
                <w:noProof/>
                <w:szCs w:val="22"/>
              </w:rPr>
            </w:pPr>
            <w:r w:rsidRPr="008B13A5">
              <w:rPr>
                <w:rStyle w:val="mord"/>
                <w:noProof/>
                <w:szCs w:val="22"/>
              </w:rPr>
              <w:t>GVA</w:t>
            </w:r>
            <w:r w:rsidRPr="008B13A5">
              <w:rPr>
                <w:rStyle w:val="vlist-s"/>
                <w:noProof/>
                <w:szCs w:val="22"/>
              </w:rPr>
              <w:t>​</w:t>
            </w:r>
            <w:r w:rsidRPr="008B13A5">
              <w:rPr>
                <w:rStyle w:val="mrel"/>
                <w:noProof/>
                <w:szCs w:val="22"/>
              </w:rPr>
              <w:t>=</w:t>
            </w:r>
            <w:r w:rsidRPr="008B13A5">
              <w:rPr>
                <w:rStyle w:val="mord"/>
                <w:noProof/>
                <w:szCs w:val="22"/>
              </w:rPr>
              <w:t>14</w:t>
            </w:r>
            <w:r w:rsidRPr="008B13A5">
              <w:rPr>
                <w:rStyle w:val="mpunct"/>
                <w:noProof/>
                <w:szCs w:val="22"/>
              </w:rPr>
              <w:t>,</w:t>
            </w:r>
            <w:r w:rsidRPr="008B13A5">
              <w:rPr>
                <w:rStyle w:val="mord"/>
                <w:noProof/>
                <w:szCs w:val="22"/>
              </w:rPr>
              <w:t>600</w:t>
            </w:r>
            <w:r w:rsidRPr="008B13A5">
              <w:rPr>
                <w:rStyle w:val="mbin"/>
                <w:noProof/>
                <w:szCs w:val="22"/>
              </w:rPr>
              <w:t>×</w:t>
            </w:r>
            <w:r w:rsidRPr="008B13A5">
              <w:rPr>
                <w:rStyle w:val="mord"/>
                <w:noProof/>
                <w:szCs w:val="22"/>
              </w:rPr>
              <w:t>0.003</w:t>
            </w:r>
            <w:r w:rsidRPr="008B13A5">
              <w:rPr>
                <w:rStyle w:val="mrel"/>
                <w:noProof/>
                <w:szCs w:val="22"/>
              </w:rPr>
              <w:t>=</w:t>
            </w:r>
            <w:r w:rsidRPr="008B13A5">
              <w:rPr>
                <w:rStyle w:val="mord"/>
                <w:noProof/>
                <w:szCs w:val="22"/>
              </w:rPr>
              <w:t>€43.8</w:t>
            </w:r>
            <w:r w:rsidR="00F274DD" w:rsidRPr="008B13A5">
              <w:rPr>
                <w:rStyle w:val="mord"/>
                <w:noProof/>
                <w:szCs w:val="22"/>
              </w:rPr>
              <w:t xml:space="preserve"> </w:t>
            </w:r>
            <w:r w:rsidRPr="008B13A5">
              <w:rPr>
                <w:rStyle w:val="mord"/>
                <w:noProof/>
                <w:szCs w:val="22"/>
              </w:rPr>
              <w:t>billion.</w:t>
            </w:r>
          </w:p>
        </w:tc>
        <w:tc>
          <w:tcPr>
            <w:tcW w:w="0" w:type="auto"/>
          </w:tcPr>
          <w:p w14:paraId="3BD1D8CC" w14:textId="6AE46EC7" w:rsidR="00EC49AF" w:rsidRPr="008B13A5" w:rsidRDefault="00EC49AF">
            <w:pPr>
              <w:spacing w:after="0"/>
              <w:jc w:val="left"/>
              <w:rPr>
                <w:noProof/>
                <w:szCs w:val="22"/>
              </w:rPr>
            </w:pPr>
            <w:r w:rsidRPr="008B13A5">
              <w:rPr>
                <w:noProof/>
                <w:szCs w:val="22"/>
              </w:rPr>
              <w:t>≈ €44 billion</w:t>
            </w:r>
          </w:p>
        </w:tc>
        <w:tc>
          <w:tcPr>
            <w:tcW w:w="0" w:type="auto"/>
          </w:tcPr>
          <w:p w14:paraId="7C76D569" w14:textId="6F122B1D" w:rsidR="00EC49AF" w:rsidRPr="008B13A5" w:rsidRDefault="00EC49AF">
            <w:pPr>
              <w:spacing w:after="0"/>
              <w:jc w:val="left"/>
              <w:rPr>
                <w:noProof/>
                <w:szCs w:val="22"/>
              </w:rPr>
            </w:pPr>
            <w:r w:rsidRPr="008B13A5">
              <w:rPr>
                <w:noProof/>
                <w:szCs w:val="22"/>
              </w:rPr>
              <w:t>JRC (2025)</w:t>
            </w:r>
            <w:r w:rsidRPr="008B13A5">
              <w:rPr>
                <w:rStyle w:val="FootnoteReference"/>
                <w:noProof/>
                <w:szCs w:val="22"/>
              </w:rPr>
              <w:t xml:space="preserve"> </w:t>
            </w:r>
            <w:r w:rsidR="00F274DD" w:rsidRPr="008B13A5">
              <w:rPr>
                <w:noProof/>
                <w:szCs w:val="22"/>
              </w:rPr>
              <w:t xml:space="preserve"> </w:t>
            </w:r>
            <w:r w:rsidRPr="008B13A5">
              <w:rPr>
                <w:noProof/>
                <w:szCs w:val="22"/>
              </w:rPr>
              <w:t>(</w:t>
            </w:r>
            <w:r w:rsidRPr="008B13A5">
              <w:rPr>
                <w:rStyle w:val="FootnoteReference"/>
                <w:noProof/>
                <w:szCs w:val="22"/>
              </w:rPr>
              <w:footnoteReference w:id="187"/>
            </w:r>
            <w:r w:rsidRPr="008B13A5">
              <w:rPr>
                <w:noProof/>
                <w:szCs w:val="22"/>
              </w:rPr>
              <w:t>)</w:t>
            </w:r>
          </w:p>
        </w:tc>
      </w:tr>
      <w:tr w:rsidR="00EC49AF" w:rsidRPr="008B13A5" w14:paraId="3B7C2CF5" w14:textId="77777777">
        <w:tc>
          <w:tcPr>
            <w:tcW w:w="0" w:type="auto"/>
          </w:tcPr>
          <w:p w14:paraId="1568AEE2" w14:textId="628F9CE2" w:rsidR="00EC49AF" w:rsidRPr="00BD008E" w:rsidRDefault="00EC49AF">
            <w:pPr>
              <w:spacing w:after="0"/>
              <w:jc w:val="left"/>
              <w:rPr>
                <w:noProof/>
                <w:szCs w:val="22"/>
                <w:lang w:val="fr-FR"/>
              </w:rPr>
            </w:pPr>
            <w:r w:rsidRPr="00BD008E">
              <w:rPr>
                <w:b/>
                <w:noProof/>
                <w:szCs w:val="22"/>
                <w:lang w:val="fr-FR"/>
              </w:rPr>
              <w:t>Total public commitments (EU + MS)</w:t>
            </w:r>
          </w:p>
        </w:tc>
        <w:tc>
          <w:tcPr>
            <w:tcW w:w="0" w:type="auto"/>
          </w:tcPr>
          <w:p w14:paraId="6C09C015" w14:textId="295B877A" w:rsidR="00EC49AF" w:rsidRPr="008B13A5" w:rsidRDefault="00EC49AF">
            <w:pPr>
              <w:spacing w:after="0"/>
              <w:jc w:val="left"/>
              <w:rPr>
                <w:noProof/>
                <w:szCs w:val="22"/>
              </w:rPr>
            </w:pPr>
            <w:r w:rsidRPr="008B13A5">
              <w:rPr>
                <w:noProof/>
                <w:szCs w:val="22"/>
              </w:rPr>
              <w:t>Chips Act + IPCEI ME2 + national subsidies</w:t>
            </w:r>
          </w:p>
        </w:tc>
        <w:tc>
          <w:tcPr>
            <w:tcW w:w="0" w:type="auto"/>
          </w:tcPr>
          <w:p w14:paraId="4D1AD75F" w14:textId="5747882A" w:rsidR="00EC49AF" w:rsidRPr="008B13A5" w:rsidRDefault="00EC49AF">
            <w:pPr>
              <w:spacing w:after="0"/>
              <w:jc w:val="left"/>
              <w:rPr>
                <w:noProof/>
                <w:szCs w:val="22"/>
              </w:rPr>
            </w:pPr>
            <w:r w:rsidRPr="008B13A5">
              <w:rPr>
                <w:noProof/>
                <w:szCs w:val="22"/>
              </w:rPr>
              <w:t>€32 billion (2023–2030)</w:t>
            </w:r>
          </w:p>
        </w:tc>
        <w:tc>
          <w:tcPr>
            <w:tcW w:w="0" w:type="auto"/>
          </w:tcPr>
          <w:p w14:paraId="19C5272A" w14:textId="4413DF71" w:rsidR="00EC49AF" w:rsidRPr="008B13A5" w:rsidRDefault="00EC49AF">
            <w:pPr>
              <w:spacing w:after="0"/>
              <w:jc w:val="left"/>
              <w:rPr>
                <w:noProof/>
                <w:szCs w:val="22"/>
              </w:rPr>
            </w:pPr>
            <w:r w:rsidRPr="008B13A5">
              <w:rPr>
                <w:noProof/>
                <w:szCs w:val="22"/>
              </w:rPr>
              <w:t xml:space="preserve">European Court of Auditors (2025), </w:t>
            </w:r>
            <w:r w:rsidRPr="008B13A5">
              <w:rPr>
                <w:i/>
                <w:noProof/>
                <w:szCs w:val="22"/>
              </w:rPr>
              <w:t>Special Report 12/2025</w:t>
            </w:r>
          </w:p>
        </w:tc>
      </w:tr>
      <w:tr w:rsidR="00EC49AF" w:rsidRPr="008B13A5" w14:paraId="08042253" w14:textId="77777777">
        <w:tc>
          <w:tcPr>
            <w:tcW w:w="0" w:type="auto"/>
          </w:tcPr>
          <w:p w14:paraId="25D57D69" w14:textId="2DD428A2" w:rsidR="00EC49AF" w:rsidRPr="008B13A5" w:rsidRDefault="00EC49AF">
            <w:pPr>
              <w:spacing w:after="0"/>
              <w:jc w:val="left"/>
              <w:rPr>
                <w:noProof/>
                <w:szCs w:val="22"/>
              </w:rPr>
            </w:pPr>
            <w:r w:rsidRPr="008B13A5">
              <w:rPr>
                <w:b/>
                <w:noProof/>
                <w:szCs w:val="22"/>
              </w:rPr>
              <w:t>Effective fiscal yield (corporate, labour, indirect)</w:t>
            </w:r>
          </w:p>
        </w:tc>
        <w:tc>
          <w:tcPr>
            <w:tcW w:w="0" w:type="auto"/>
          </w:tcPr>
          <w:p w14:paraId="0A38E6C9" w14:textId="11134DCB" w:rsidR="00EC49AF" w:rsidRPr="008B13A5" w:rsidRDefault="00EC49AF">
            <w:pPr>
              <w:spacing w:after="0"/>
              <w:jc w:val="left"/>
              <w:rPr>
                <w:noProof/>
                <w:szCs w:val="22"/>
              </w:rPr>
            </w:pPr>
            <w:r w:rsidRPr="008B13A5">
              <w:rPr>
                <w:noProof/>
                <w:szCs w:val="22"/>
              </w:rPr>
              <w:t>Average share of value added captured as fiscal revenue</w:t>
            </w:r>
          </w:p>
          <w:p w14:paraId="43FA64FE" w14:textId="6EAED4A8" w:rsidR="00EC49AF" w:rsidRPr="008B13A5" w:rsidRDefault="00EC49AF">
            <w:pPr>
              <w:spacing w:after="0"/>
              <w:jc w:val="left"/>
              <w:rPr>
                <w:noProof/>
                <w:szCs w:val="22"/>
              </w:rPr>
            </w:pPr>
            <w:r w:rsidRPr="008B13A5">
              <w:rPr>
                <w:noProof/>
                <w:szCs w:val="22"/>
              </w:rPr>
              <w:t>EUR 44 billion x 17% ≈ EUR 7.7 billion</w:t>
            </w:r>
          </w:p>
        </w:tc>
        <w:tc>
          <w:tcPr>
            <w:tcW w:w="0" w:type="auto"/>
          </w:tcPr>
          <w:p w14:paraId="7801320C" w14:textId="43827522" w:rsidR="00EC49AF" w:rsidRPr="008B13A5" w:rsidRDefault="00EC49AF">
            <w:pPr>
              <w:spacing w:after="0"/>
              <w:jc w:val="left"/>
              <w:rPr>
                <w:noProof/>
                <w:szCs w:val="22"/>
              </w:rPr>
            </w:pPr>
            <w:r w:rsidRPr="008B13A5">
              <w:rPr>
                <w:noProof/>
                <w:szCs w:val="22"/>
              </w:rPr>
              <w:t>16–17 %</w:t>
            </w:r>
          </w:p>
        </w:tc>
        <w:tc>
          <w:tcPr>
            <w:tcW w:w="0" w:type="auto"/>
          </w:tcPr>
          <w:p w14:paraId="60E9E507" w14:textId="758DF918" w:rsidR="00EC49AF" w:rsidRPr="008B13A5" w:rsidRDefault="00EC49AF">
            <w:pPr>
              <w:spacing w:after="0"/>
              <w:jc w:val="left"/>
              <w:rPr>
                <w:noProof/>
                <w:szCs w:val="22"/>
              </w:rPr>
            </w:pPr>
            <w:r w:rsidRPr="008B13A5">
              <w:rPr>
                <w:noProof/>
                <w:szCs w:val="22"/>
              </w:rPr>
              <w:t>JRC (2025)</w:t>
            </w:r>
            <w:r w:rsidRPr="008B13A5">
              <w:rPr>
                <w:rStyle w:val="FootnoteReference"/>
                <w:noProof/>
                <w:szCs w:val="22"/>
              </w:rPr>
              <w:t xml:space="preserve"> </w:t>
            </w:r>
            <w:r w:rsidR="00F274DD" w:rsidRPr="008B13A5">
              <w:rPr>
                <w:noProof/>
                <w:szCs w:val="22"/>
              </w:rPr>
              <w:t xml:space="preserve"> </w:t>
            </w:r>
            <w:r w:rsidRPr="008B13A5">
              <w:rPr>
                <w:noProof/>
                <w:szCs w:val="22"/>
              </w:rPr>
              <w:t>(</w:t>
            </w:r>
            <w:r w:rsidRPr="008B13A5">
              <w:rPr>
                <w:rStyle w:val="FootnoteReference"/>
                <w:noProof/>
                <w:szCs w:val="22"/>
              </w:rPr>
              <w:footnoteReference w:id="188"/>
            </w:r>
            <w:r w:rsidRPr="008B13A5">
              <w:rPr>
                <w:noProof/>
                <w:szCs w:val="22"/>
              </w:rPr>
              <w:t>); OECD Tax Revenue Database</w:t>
            </w:r>
            <w:r w:rsidR="00F274DD" w:rsidRPr="008B13A5">
              <w:rPr>
                <w:noProof/>
                <w:szCs w:val="22"/>
              </w:rPr>
              <w:t xml:space="preserve"> </w:t>
            </w:r>
            <w:r w:rsidRPr="008B13A5">
              <w:rPr>
                <w:noProof/>
                <w:szCs w:val="22"/>
              </w:rPr>
              <w:t>(</w:t>
            </w:r>
            <w:r w:rsidRPr="008B13A5">
              <w:rPr>
                <w:rStyle w:val="FootnoteReference"/>
                <w:noProof/>
                <w:szCs w:val="22"/>
              </w:rPr>
              <w:footnoteReference w:id="189"/>
            </w:r>
            <w:r w:rsidRPr="008B13A5">
              <w:rPr>
                <w:noProof/>
                <w:szCs w:val="22"/>
              </w:rPr>
              <w:t>)</w:t>
            </w:r>
          </w:p>
        </w:tc>
      </w:tr>
      <w:tr w:rsidR="00EC49AF" w:rsidRPr="008B13A5" w14:paraId="5B3FBB25" w14:textId="77777777">
        <w:tc>
          <w:tcPr>
            <w:tcW w:w="0" w:type="auto"/>
            <w:tcBorders>
              <w:top w:val="single" w:sz="4" w:space="0" w:color="auto"/>
              <w:left w:val="single" w:sz="4" w:space="0" w:color="auto"/>
              <w:bottom w:val="single" w:sz="4" w:space="0" w:color="auto"/>
              <w:right w:val="single" w:sz="4" w:space="0" w:color="auto"/>
            </w:tcBorders>
          </w:tcPr>
          <w:p w14:paraId="21A58965" w14:textId="5DFA4561" w:rsidR="00EC49AF" w:rsidRPr="008B13A5" w:rsidRDefault="00EC49AF">
            <w:pPr>
              <w:spacing w:after="0"/>
              <w:jc w:val="left"/>
              <w:rPr>
                <w:noProof/>
                <w:szCs w:val="22"/>
              </w:rPr>
            </w:pPr>
            <w:r w:rsidRPr="008B13A5">
              <w:rPr>
                <w:b/>
                <w:noProof/>
                <w:szCs w:val="22"/>
              </w:rPr>
              <w:t>Sectoral output growth (BAU)</w:t>
            </w:r>
          </w:p>
        </w:tc>
        <w:tc>
          <w:tcPr>
            <w:tcW w:w="0" w:type="auto"/>
            <w:tcBorders>
              <w:top w:val="single" w:sz="4" w:space="0" w:color="auto"/>
              <w:left w:val="single" w:sz="4" w:space="0" w:color="auto"/>
              <w:bottom w:val="single" w:sz="4" w:space="0" w:color="auto"/>
              <w:right w:val="single" w:sz="4" w:space="0" w:color="auto"/>
            </w:tcBorders>
          </w:tcPr>
          <w:p w14:paraId="6694A6DB" w14:textId="04B453F7" w:rsidR="00EC49AF" w:rsidRPr="008B13A5" w:rsidRDefault="00EC49AF">
            <w:pPr>
              <w:spacing w:after="0"/>
              <w:jc w:val="left"/>
              <w:rPr>
                <w:noProof/>
                <w:szCs w:val="22"/>
              </w:rPr>
            </w:pPr>
            <w:r w:rsidRPr="008B13A5">
              <w:rPr>
                <w:noProof/>
                <w:szCs w:val="22"/>
              </w:rPr>
              <w:t>Compound annual growth rate of semiconductor GVA</w:t>
            </w:r>
          </w:p>
        </w:tc>
        <w:tc>
          <w:tcPr>
            <w:tcW w:w="0" w:type="auto"/>
            <w:tcBorders>
              <w:top w:val="single" w:sz="4" w:space="0" w:color="auto"/>
              <w:left w:val="single" w:sz="4" w:space="0" w:color="auto"/>
              <w:bottom w:val="single" w:sz="4" w:space="0" w:color="auto"/>
              <w:right w:val="single" w:sz="4" w:space="0" w:color="auto"/>
            </w:tcBorders>
          </w:tcPr>
          <w:p w14:paraId="6FD1FE1E" w14:textId="77777777" w:rsidR="00EC49AF" w:rsidRPr="008B13A5" w:rsidRDefault="00EC49AF">
            <w:pPr>
              <w:spacing w:after="0"/>
              <w:jc w:val="left"/>
              <w:rPr>
                <w:noProof/>
                <w:szCs w:val="22"/>
              </w:rPr>
            </w:pPr>
            <w:r w:rsidRPr="008B13A5">
              <w:rPr>
                <w:noProof/>
                <w:szCs w:val="22"/>
              </w:rPr>
              <w:t>6.9%</w:t>
            </w:r>
          </w:p>
        </w:tc>
        <w:tc>
          <w:tcPr>
            <w:tcW w:w="0" w:type="auto"/>
            <w:tcBorders>
              <w:top w:val="single" w:sz="4" w:space="0" w:color="auto"/>
              <w:left w:val="single" w:sz="4" w:space="0" w:color="auto"/>
              <w:bottom w:val="single" w:sz="4" w:space="0" w:color="auto"/>
              <w:right w:val="single" w:sz="4" w:space="0" w:color="auto"/>
            </w:tcBorders>
          </w:tcPr>
          <w:p w14:paraId="660EA794" w14:textId="310FD5D4" w:rsidR="00EC49AF" w:rsidRPr="008B13A5" w:rsidRDefault="00EC49AF">
            <w:pPr>
              <w:spacing w:after="0"/>
              <w:jc w:val="left"/>
              <w:rPr>
                <w:noProof/>
                <w:szCs w:val="22"/>
              </w:rPr>
            </w:pPr>
            <w:r w:rsidRPr="008B13A5">
              <w:rPr>
                <w:noProof/>
                <w:szCs w:val="22"/>
              </w:rPr>
              <w:t>From the market size estimations</w:t>
            </w:r>
          </w:p>
        </w:tc>
      </w:tr>
      <w:tr w:rsidR="00EC49AF" w:rsidRPr="008B13A5" w14:paraId="1C61EDD6" w14:textId="77777777">
        <w:tc>
          <w:tcPr>
            <w:tcW w:w="0" w:type="auto"/>
          </w:tcPr>
          <w:p w14:paraId="36FB673D" w14:textId="39CB6EA3" w:rsidR="00EC49AF" w:rsidRPr="008B13A5" w:rsidRDefault="00EC49AF">
            <w:pPr>
              <w:spacing w:after="0"/>
              <w:jc w:val="left"/>
              <w:rPr>
                <w:noProof/>
                <w:szCs w:val="22"/>
              </w:rPr>
            </w:pPr>
            <w:r w:rsidRPr="008B13A5">
              <w:rPr>
                <w:b/>
                <w:noProof/>
                <w:szCs w:val="22"/>
              </w:rPr>
              <w:t>Discount rate</w:t>
            </w:r>
          </w:p>
        </w:tc>
        <w:tc>
          <w:tcPr>
            <w:tcW w:w="0" w:type="auto"/>
          </w:tcPr>
          <w:p w14:paraId="65B45F1B" w14:textId="44279CD1" w:rsidR="00EC49AF" w:rsidRPr="008B13A5" w:rsidRDefault="00EC49AF">
            <w:pPr>
              <w:spacing w:after="0"/>
              <w:jc w:val="left"/>
              <w:rPr>
                <w:noProof/>
                <w:szCs w:val="22"/>
              </w:rPr>
            </w:pPr>
            <w:r w:rsidRPr="008B13A5">
              <w:rPr>
                <w:noProof/>
                <w:szCs w:val="22"/>
              </w:rPr>
              <w:t>Real rate for long-term public investment appraisals</w:t>
            </w:r>
          </w:p>
        </w:tc>
        <w:tc>
          <w:tcPr>
            <w:tcW w:w="0" w:type="auto"/>
          </w:tcPr>
          <w:p w14:paraId="53B187BE" w14:textId="3005330C" w:rsidR="00EC49AF" w:rsidRPr="008B13A5" w:rsidRDefault="00EC49AF">
            <w:pPr>
              <w:spacing w:after="0"/>
              <w:jc w:val="left"/>
              <w:rPr>
                <w:noProof/>
                <w:szCs w:val="22"/>
              </w:rPr>
            </w:pPr>
            <w:r w:rsidRPr="008B13A5">
              <w:rPr>
                <w:noProof/>
                <w:szCs w:val="22"/>
              </w:rPr>
              <w:t>3 %</w:t>
            </w:r>
          </w:p>
        </w:tc>
        <w:tc>
          <w:tcPr>
            <w:tcW w:w="0" w:type="auto"/>
          </w:tcPr>
          <w:p w14:paraId="5CB1644E" w14:textId="0CD5D169" w:rsidR="00EC49AF" w:rsidRPr="008B13A5" w:rsidRDefault="00EC49AF">
            <w:pPr>
              <w:spacing w:after="0"/>
              <w:jc w:val="left"/>
              <w:rPr>
                <w:noProof/>
                <w:szCs w:val="22"/>
              </w:rPr>
            </w:pPr>
            <w:r w:rsidRPr="008B13A5">
              <w:rPr>
                <w:noProof/>
                <w:szCs w:val="22"/>
              </w:rPr>
              <w:t>European Commission, Better Regulation Tool #61</w:t>
            </w:r>
          </w:p>
        </w:tc>
      </w:tr>
    </w:tbl>
    <w:p w14:paraId="73EDFAFD" w14:textId="786781A8" w:rsidR="00EC49AF" w:rsidRPr="008B13A5" w:rsidRDefault="00EC49AF" w:rsidP="0005276B">
      <w:pPr>
        <w:pStyle w:val="Heading3"/>
        <w:rPr>
          <w:noProof/>
        </w:rPr>
      </w:pPr>
      <w:bookmarkStart w:id="247" w:name="_Toc217395625"/>
      <w:bookmarkStart w:id="248" w:name="_Toc217396474"/>
      <w:bookmarkStart w:id="249" w:name="_Toc1463316213"/>
      <w:bookmarkStart w:id="250" w:name="_Toc223620635"/>
      <w:bookmarkStart w:id="251" w:name="_Toc230010455"/>
      <w:r w:rsidRPr="008B13A5">
        <w:rPr>
          <w:noProof/>
        </w:rPr>
        <w:t>Modelling the BAU scenario</w:t>
      </w:r>
      <w:bookmarkEnd w:id="247"/>
      <w:bookmarkEnd w:id="248"/>
      <w:bookmarkEnd w:id="249"/>
      <w:bookmarkEnd w:id="250"/>
      <w:bookmarkEnd w:id="251"/>
    </w:p>
    <w:p w14:paraId="0BC2AA5C" w14:textId="24AFB332" w:rsidR="00EC49AF" w:rsidRPr="008B13A5" w:rsidRDefault="00EC49AF" w:rsidP="00EC49AF">
      <w:pPr>
        <w:pStyle w:val="NormalWeb"/>
        <w:rPr>
          <w:b/>
          <w:bCs/>
          <w:noProof/>
        </w:rPr>
      </w:pPr>
      <w:r w:rsidRPr="008B13A5">
        <w:rPr>
          <w:b/>
          <w:bCs/>
          <w:noProof/>
        </w:rPr>
        <w:t xml:space="preserve">Developments expected under BAU </w:t>
      </w:r>
    </w:p>
    <w:p w14:paraId="460E3502" w14:textId="131C3ED0" w:rsidR="00EC49AF" w:rsidRPr="008B13A5" w:rsidRDefault="00EC49AF" w:rsidP="00EC49AF">
      <w:pPr>
        <w:pStyle w:val="NormalWeb"/>
        <w:jc w:val="both"/>
        <w:rPr>
          <w:noProof/>
        </w:rPr>
      </w:pPr>
      <w:r w:rsidRPr="008B13A5">
        <w:rPr>
          <w:noProof/>
        </w:rPr>
        <w:t>Under a Business-As-Usual trajectory, the fiscal landscape of the semiconductor industry remains stable, with public-sector expenditure patterns following current commitments and limited expansion beyond projects already announced.</w:t>
      </w:r>
    </w:p>
    <w:p w14:paraId="2A14604D" w14:textId="64C7A70A" w:rsidR="00EC49AF" w:rsidRPr="008B13A5" w:rsidRDefault="00EC49AF" w:rsidP="00F47256">
      <w:pPr>
        <w:pStyle w:val="NormalWeb"/>
        <w:numPr>
          <w:ilvl w:val="0"/>
          <w:numId w:val="39"/>
        </w:numPr>
        <w:jc w:val="both"/>
        <w:rPr>
          <w:noProof/>
        </w:rPr>
      </w:pPr>
      <w:r w:rsidRPr="008B13A5">
        <w:rPr>
          <w:b/>
          <w:bCs/>
          <w:noProof/>
        </w:rPr>
        <w:t>Public expenditure</w:t>
      </w:r>
      <w:r w:rsidRPr="008B13A5">
        <w:rPr>
          <w:noProof/>
        </w:rPr>
        <w:t>. EU and national support continues through 2030 as existing fab and pilot-line projects are implemented. Expenditure peaks between 2026 and 2029, during the construction and ramp-up phase, and declines thereafter as facilities move to operational self-financing. No significant new EU-level budgetary envelopes are foreseen after 2030.</w:t>
      </w:r>
    </w:p>
    <w:p w14:paraId="6ABF23E4" w14:textId="00219D88" w:rsidR="00EC49AF" w:rsidRPr="008B13A5" w:rsidRDefault="00EC49AF" w:rsidP="00F47256">
      <w:pPr>
        <w:pStyle w:val="NormalWeb"/>
        <w:numPr>
          <w:ilvl w:val="0"/>
          <w:numId w:val="39"/>
        </w:numPr>
        <w:jc w:val="both"/>
        <w:rPr>
          <w:noProof/>
        </w:rPr>
      </w:pPr>
      <w:r w:rsidRPr="008B13A5">
        <w:rPr>
          <w:b/>
          <w:bCs/>
          <w:noProof/>
        </w:rPr>
        <w:t>Public revenues</w:t>
      </w:r>
      <w:r w:rsidRPr="008B13A5">
        <w:rPr>
          <w:noProof/>
        </w:rPr>
        <w:t xml:space="preserve">. As fabs reach full operation, corporate-tax revenues and social contributions rise gradually. Most fiscal gains accrue in Germany, France, Ireland, and Austria, where large-scale projects are located. </w:t>
      </w:r>
    </w:p>
    <w:p w14:paraId="41D0CB54" w14:textId="7AE29000" w:rsidR="00EC49AF" w:rsidRPr="008B13A5" w:rsidRDefault="00EC49AF" w:rsidP="00F47256">
      <w:pPr>
        <w:pStyle w:val="NormalWeb"/>
        <w:numPr>
          <w:ilvl w:val="0"/>
          <w:numId w:val="39"/>
        </w:numPr>
        <w:jc w:val="both"/>
        <w:rPr>
          <w:noProof/>
        </w:rPr>
      </w:pPr>
      <w:r w:rsidRPr="008B13A5">
        <w:rPr>
          <w:b/>
          <w:bCs/>
          <w:noProof/>
        </w:rPr>
        <w:t>Net budgetary balance</w:t>
      </w:r>
      <w:r w:rsidRPr="008B13A5">
        <w:rPr>
          <w:noProof/>
        </w:rPr>
        <w:t xml:space="preserve">. The overall fiscal balance of the Chips Act and related measures remains negative over most of the 2020s, reflecting the long gestation period of semiconductor investments. Only in the 2030s do cumulative public receipts begin to approach prior outlays, assuming stable global demand and high-capacity utilisation. </w:t>
      </w:r>
    </w:p>
    <w:p w14:paraId="021525C5" w14:textId="3862FEF9" w:rsidR="00EC49AF" w:rsidRPr="008B13A5" w:rsidRDefault="00EC49AF" w:rsidP="00EC49AF">
      <w:pPr>
        <w:pStyle w:val="NormalWeb"/>
        <w:rPr>
          <w:b/>
          <w:bCs/>
          <w:noProof/>
        </w:rPr>
      </w:pPr>
      <w:r w:rsidRPr="008B13A5">
        <w:rPr>
          <w:b/>
          <w:bCs/>
          <w:noProof/>
        </w:rPr>
        <w:t>Rationale and evidence base</w:t>
      </w:r>
    </w:p>
    <w:p w14:paraId="0056984A" w14:textId="09F690D3" w:rsidR="00EC49AF" w:rsidRPr="008B13A5" w:rsidRDefault="00EC49AF" w:rsidP="00EC49AF">
      <w:pPr>
        <w:pStyle w:val="NormalWeb"/>
        <w:rPr>
          <w:noProof/>
        </w:rPr>
      </w:pPr>
      <w:r w:rsidRPr="008B13A5">
        <w:rPr>
          <w:noProof/>
        </w:rPr>
        <w:t>The persistence of the current fiscal pattern is explained by structural and institutional factors:</w:t>
      </w:r>
    </w:p>
    <w:p w14:paraId="151CF853" w14:textId="0B2E208C" w:rsidR="00EC49AF" w:rsidRPr="008B13A5" w:rsidRDefault="00EC49AF" w:rsidP="00F47256">
      <w:pPr>
        <w:pStyle w:val="NormalWeb"/>
        <w:numPr>
          <w:ilvl w:val="0"/>
          <w:numId w:val="38"/>
        </w:numPr>
        <w:jc w:val="both"/>
        <w:rPr>
          <w:noProof/>
        </w:rPr>
      </w:pPr>
      <w:r w:rsidRPr="008B13A5">
        <w:rPr>
          <w:b/>
          <w:bCs/>
          <w:noProof/>
        </w:rPr>
        <w:t>Capital intensity and sunk costs</w:t>
      </w:r>
      <w:r w:rsidRPr="008B13A5">
        <w:rPr>
          <w:noProof/>
        </w:rPr>
        <w:t>. Semiconductor fabrication and equipment production are among the most capital-intensive industrial activities. Once established, these facilities create long-term lock-in and relocating them is economically prohibitive</w:t>
      </w:r>
      <w:r w:rsidR="00F274DD" w:rsidRPr="008B13A5">
        <w:rPr>
          <w:noProof/>
        </w:rPr>
        <w:t xml:space="preserve"> </w:t>
      </w:r>
      <w:r w:rsidRPr="008B13A5">
        <w:rPr>
          <w:noProof/>
        </w:rPr>
        <w:t>(</w:t>
      </w:r>
      <w:r w:rsidRPr="008B13A5">
        <w:rPr>
          <w:rStyle w:val="FootnoteReference"/>
          <w:noProof/>
        </w:rPr>
        <w:footnoteReference w:id="190"/>
      </w:r>
      <w:r w:rsidRPr="008B13A5">
        <w:rPr>
          <w:noProof/>
        </w:rPr>
        <w:t>)</w:t>
      </w:r>
    </w:p>
    <w:p w14:paraId="27B9A6F1" w14:textId="69C9FFE8" w:rsidR="00EC49AF" w:rsidRPr="008B13A5" w:rsidRDefault="00EC49AF" w:rsidP="00F47256">
      <w:pPr>
        <w:pStyle w:val="NormalWeb"/>
        <w:numPr>
          <w:ilvl w:val="0"/>
          <w:numId w:val="38"/>
        </w:numPr>
        <w:jc w:val="both"/>
        <w:rPr>
          <w:noProof/>
        </w:rPr>
      </w:pPr>
      <w:r w:rsidRPr="008B13A5">
        <w:rPr>
          <w:b/>
          <w:bCs/>
          <w:noProof/>
        </w:rPr>
        <w:t>Fiscal-return dynamics</w:t>
      </w:r>
      <w:r w:rsidRPr="008B13A5">
        <w:rPr>
          <w:noProof/>
        </w:rPr>
        <w:t>. Empirical modelling by Deloitte (2021)</w:t>
      </w:r>
      <w:r w:rsidR="00F274DD" w:rsidRPr="008B13A5">
        <w:rPr>
          <w:noProof/>
        </w:rPr>
        <w:t xml:space="preserve"> </w:t>
      </w:r>
      <w:r w:rsidRPr="008B13A5">
        <w:rPr>
          <w:noProof/>
        </w:rPr>
        <w:t>(</w:t>
      </w:r>
      <w:r w:rsidRPr="008B13A5">
        <w:rPr>
          <w:rStyle w:val="FootnoteReference"/>
          <w:noProof/>
        </w:rPr>
        <w:footnoteReference w:id="191"/>
      </w:r>
      <w:r w:rsidRPr="008B13A5">
        <w:rPr>
          <w:noProof/>
        </w:rPr>
        <w:t>) suggests semiconductor multipliers of 1.2–1.5, meaning that for every euro of public investment, between EUR 1.20 and EUR 1.50 of additional economic output is generated. However, the realisation of these multipliers depends on sustained utilisation rates and global market stability.</w:t>
      </w:r>
    </w:p>
    <w:p w14:paraId="18462852" w14:textId="77777777" w:rsidR="00EC49AF" w:rsidRPr="008B13A5" w:rsidRDefault="00EC49AF" w:rsidP="00EC49AF">
      <w:pPr>
        <w:pStyle w:val="NormalWeb"/>
        <w:jc w:val="both"/>
        <w:rPr>
          <w:b/>
          <w:bCs/>
          <w:noProof/>
        </w:rPr>
      </w:pPr>
      <w:r w:rsidRPr="008B13A5">
        <w:rPr>
          <w:b/>
          <w:bCs/>
          <w:noProof/>
        </w:rPr>
        <w:t>Implications</w:t>
      </w:r>
    </w:p>
    <w:p w14:paraId="5685912D" w14:textId="019F320E" w:rsidR="00EC49AF" w:rsidRPr="008B13A5" w:rsidRDefault="00EC49AF" w:rsidP="00EC49AF">
      <w:pPr>
        <w:pStyle w:val="NormalWeb"/>
        <w:jc w:val="both"/>
        <w:rPr>
          <w:noProof/>
        </w:rPr>
      </w:pPr>
      <w:r w:rsidRPr="008B13A5">
        <w:rPr>
          <w:noProof/>
        </w:rPr>
        <w:t>Short-term (2025–2030)</w:t>
      </w:r>
    </w:p>
    <w:p w14:paraId="5D1F5ED0" w14:textId="7C703618" w:rsidR="00EC49AF" w:rsidRPr="008B13A5" w:rsidRDefault="00EC49AF" w:rsidP="00F47256">
      <w:pPr>
        <w:pStyle w:val="NormalWeb"/>
        <w:numPr>
          <w:ilvl w:val="0"/>
          <w:numId w:val="37"/>
        </w:numPr>
        <w:jc w:val="both"/>
        <w:rPr>
          <w:noProof/>
        </w:rPr>
      </w:pPr>
      <w:r w:rsidRPr="008B13A5">
        <w:rPr>
          <w:noProof/>
        </w:rPr>
        <w:t>High fiscal outflows linked to construction subsidies and infrastructure provision.</w:t>
      </w:r>
    </w:p>
    <w:p w14:paraId="178527E2" w14:textId="31BB0B24" w:rsidR="00EC49AF" w:rsidRPr="008B13A5" w:rsidRDefault="00EC49AF" w:rsidP="00F47256">
      <w:pPr>
        <w:pStyle w:val="NormalWeb"/>
        <w:numPr>
          <w:ilvl w:val="0"/>
          <w:numId w:val="37"/>
        </w:numPr>
        <w:jc w:val="both"/>
        <w:rPr>
          <w:noProof/>
        </w:rPr>
      </w:pPr>
      <w:r w:rsidRPr="008B13A5">
        <w:rPr>
          <w:noProof/>
        </w:rPr>
        <w:t>Limited immediate return in tax revenue due to investment write-offs and accelerated depreciation allowances.</w:t>
      </w:r>
    </w:p>
    <w:p w14:paraId="6A57C62A" w14:textId="13812AE0" w:rsidR="00EC49AF" w:rsidRPr="008B13A5" w:rsidRDefault="00EC49AF" w:rsidP="00F47256">
      <w:pPr>
        <w:pStyle w:val="NormalWeb"/>
        <w:numPr>
          <w:ilvl w:val="0"/>
          <w:numId w:val="37"/>
        </w:numPr>
        <w:jc w:val="both"/>
        <w:rPr>
          <w:noProof/>
        </w:rPr>
      </w:pPr>
      <w:r w:rsidRPr="008B13A5">
        <w:rPr>
          <w:noProof/>
        </w:rPr>
        <w:t>National budgets face concentration risks where large individual projects dominate expenditure</w:t>
      </w:r>
      <w:r w:rsidR="00F274DD" w:rsidRPr="008B13A5">
        <w:rPr>
          <w:noProof/>
        </w:rPr>
        <w:t xml:space="preserve"> </w:t>
      </w:r>
      <w:r w:rsidRPr="008B13A5">
        <w:rPr>
          <w:noProof/>
        </w:rPr>
        <w:t>(</w:t>
      </w:r>
      <w:r w:rsidRPr="008B13A5">
        <w:rPr>
          <w:rStyle w:val="FootnoteReference"/>
          <w:noProof/>
        </w:rPr>
        <w:footnoteReference w:id="192"/>
      </w:r>
      <w:r w:rsidRPr="008B13A5">
        <w:rPr>
          <w:noProof/>
        </w:rPr>
        <w:t>).</w:t>
      </w:r>
    </w:p>
    <w:p w14:paraId="445A3AE2" w14:textId="5F70C17F" w:rsidR="00EC49AF" w:rsidRPr="008B13A5" w:rsidRDefault="00EC49AF" w:rsidP="00EC49AF">
      <w:pPr>
        <w:pStyle w:val="NormalWeb"/>
        <w:jc w:val="both"/>
        <w:rPr>
          <w:noProof/>
        </w:rPr>
      </w:pPr>
      <w:r w:rsidRPr="008B13A5">
        <w:rPr>
          <w:noProof/>
        </w:rPr>
        <w:t>Medium-term (2030–2035)</w:t>
      </w:r>
    </w:p>
    <w:p w14:paraId="5491D315" w14:textId="45145262" w:rsidR="00EC49AF" w:rsidRPr="008B13A5" w:rsidRDefault="00EC49AF" w:rsidP="00F47256">
      <w:pPr>
        <w:pStyle w:val="NormalWeb"/>
        <w:numPr>
          <w:ilvl w:val="0"/>
          <w:numId w:val="36"/>
        </w:numPr>
        <w:jc w:val="both"/>
        <w:rPr>
          <w:noProof/>
        </w:rPr>
      </w:pPr>
      <w:r w:rsidRPr="008B13A5">
        <w:rPr>
          <w:noProof/>
        </w:rPr>
        <w:t>Operational fabs generate steady corporate-tax inflows and social contributions.</w:t>
      </w:r>
    </w:p>
    <w:p w14:paraId="795BA471" w14:textId="63169B6F" w:rsidR="00EC49AF" w:rsidRPr="008B13A5" w:rsidRDefault="00EC49AF" w:rsidP="00F47256">
      <w:pPr>
        <w:pStyle w:val="NormalWeb"/>
        <w:numPr>
          <w:ilvl w:val="0"/>
          <w:numId w:val="36"/>
        </w:numPr>
        <w:jc w:val="both"/>
        <w:rPr>
          <w:noProof/>
        </w:rPr>
      </w:pPr>
      <w:r w:rsidRPr="008B13A5">
        <w:rPr>
          <w:noProof/>
        </w:rPr>
        <w:t xml:space="preserve">Spillover effects (supplier VAT, construction, and services) strengthen local fiscal bases around </w:t>
      </w:r>
      <w:r w:rsidR="00117356">
        <w:rPr>
          <w:noProof/>
        </w:rPr>
        <w:t>centres of activity</w:t>
      </w:r>
      <w:r w:rsidRPr="008B13A5">
        <w:rPr>
          <w:noProof/>
        </w:rPr>
        <w:t>, where large scale front-end facilities reach maturity. Other clusters are more focused on R&amp;D, design, and equipment, which yield smaller direct fiscal flows in the short to medium term.</w:t>
      </w:r>
    </w:p>
    <w:p w14:paraId="4BC07EC2" w14:textId="2FF62139" w:rsidR="00EC49AF" w:rsidRPr="008B13A5" w:rsidRDefault="00EC49AF" w:rsidP="00F47256">
      <w:pPr>
        <w:pStyle w:val="NormalWeb"/>
        <w:numPr>
          <w:ilvl w:val="0"/>
          <w:numId w:val="36"/>
        </w:numPr>
        <w:jc w:val="both"/>
        <w:rPr>
          <w:noProof/>
        </w:rPr>
      </w:pPr>
      <w:r w:rsidRPr="008B13A5">
        <w:rPr>
          <w:noProof/>
        </w:rPr>
        <w:t>EU-level expenditure declines as pilot lines and competence centres move into self-sustaining models.</w:t>
      </w:r>
    </w:p>
    <w:p w14:paraId="32CBAE1F" w14:textId="6FD01D40" w:rsidR="00EC49AF" w:rsidRPr="008B13A5" w:rsidRDefault="00EC49AF" w:rsidP="00EC49AF">
      <w:pPr>
        <w:pStyle w:val="NormalWeb"/>
        <w:jc w:val="both"/>
        <w:rPr>
          <w:noProof/>
        </w:rPr>
      </w:pPr>
      <w:r w:rsidRPr="008B13A5">
        <w:rPr>
          <w:noProof/>
        </w:rPr>
        <w:t>Long-term (post-2035 trend)</w:t>
      </w:r>
    </w:p>
    <w:p w14:paraId="4AE3A657" w14:textId="39705452" w:rsidR="00EC49AF" w:rsidRPr="008B13A5" w:rsidRDefault="00EC49AF" w:rsidP="00F47256">
      <w:pPr>
        <w:pStyle w:val="NormalWeb"/>
        <w:numPr>
          <w:ilvl w:val="0"/>
          <w:numId w:val="35"/>
        </w:numPr>
        <w:jc w:val="both"/>
        <w:rPr>
          <w:noProof/>
        </w:rPr>
      </w:pPr>
      <w:r w:rsidRPr="008B13A5">
        <w:rPr>
          <w:noProof/>
        </w:rPr>
        <w:t>Fiscal breakeven is achievable if facilities remain globally competitive and avoid obsolescence.</w:t>
      </w:r>
    </w:p>
    <w:p w14:paraId="1A713199" w14:textId="195B0639" w:rsidR="00EC49AF" w:rsidRPr="008B13A5" w:rsidRDefault="00EC49AF" w:rsidP="00F47256">
      <w:pPr>
        <w:pStyle w:val="NormalWeb"/>
        <w:numPr>
          <w:ilvl w:val="0"/>
          <w:numId w:val="35"/>
        </w:numPr>
        <w:jc w:val="both"/>
        <w:rPr>
          <w:noProof/>
        </w:rPr>
      </w:pPr>
      <w:r w:rsidRPr="008B13A5">
        <w:rPr>
          <w:noProof/>
        </w:rPr>
        <w:t>Potential positive net position through continued exports and technology spillovers.</w:t>
      </w:r>
    </w:p>
    <w:p w14:paraId="038873D5" w14:textId="210EE052" w:rsidR="00EC49AF" w:rsidRPr="008B13A5" w:rsidRDefault="00EC49AF" w:rsidP="00F47256">
      <w:pPr>
        <w:pStyle w:val="NormalWeb"/>
        <w:numPr>
          <w:ilvl w:val="0"/>
          <w:numId w:val="35"/>
        </w:numPr>
        <w:jc w:val="both"/>
        <w:rPr>
          <w:noProof/>
        </w:rPr>
      </w:pPr>
      <w:r w:rsidRPr="008B13A5">
        <w:rPr>
          <w:noProof/>
        </w:rPr>
        <w:t>Risk remains of fiscal asymmetry between Member States, as larger economies capture most revenue while smaller ones shoulder coordination or cohesion costs without direct returns.</w:t>
      </w:r>
    </w:p>
    <w:p w14:paraId="24D05D2A" w14:textId="24FA7D08" w:rsidR="00EC49AF" w:rsidRPr="008B13A5" w:rsidRDefault="00EC49AF" w:rsidP="00F47256">
      <w:pPr>
        <w:pStyle w:val="NormalWeb"/>
        <w:numPr>
          <w:ilvl w:val="0"/>
          <w:numId w:val="35"/>
        </w:numPr>
        <w:jc w:val="both"/>
        <w:rPr>
          <w:noProof/>
        </w:rPr>
      </w:pPr>
      <w:r w:rsidRPr="008B13A5">
        <w:rPr>
          <w:noProof/>
        </w:rPr>
        <w:t xml:space="preserve">High energy and water use in concentrated clusters may necessitate additional public investment in utilities and grid capacity, partly offsetting fiscal gains. </w:t>
      </w:r>
    </w:p>
    <w:p w14:paraId="6892E33B" w14:textId="4F6562A4" w:rsidR="00EC49AF" w:rsidRPr="008B13A5" w:rsidRDefault="00EC49AF" w:rsidP="00F47256">
      <w:pPr>
        <w:pStyle w:val="NormalWeb"/>
        <w:numPr>
          <w:ilvl w:val="0"/>
          <w:numId w:val="35"/>
        </w:numPr>
        <w:jc w:val="both"/>
        <w:rPr>
          <w:b/>
          <w:bCs/>
          <w:noProof/>
        </w:rPr>
      </w:pPr>
      <w:r w:rsidRPr="008B13A5">
        <w:rPr>
          <w:noProof/>
        </w:rPr>
        <w:t>Continued labour-market imbalances could require supplementary training budgets to address skills shortages, exerting additional fiscal pressure.</w:t>
      </w:r>
    </w:p>
    <w:p w14:paraId="542A720D" w14:textId="1EFD14FB" w:rsidR="00EC49AF" w:rsidRPr="008B13A5" w:rsidRDefault="00EC49AF" w:rsidP="0005276B">
      <w:pPr>
        <w:pStyle w:val="Heading1"/>
        <w:rPr>
          <w:noProof/>
        </w:rPr>
      </w:pPr>
      <w:bookmarkStart w:id="252" w:name="_Toc217394777"/>
      <w:bookmarkStart w:id="253" w:name="_Toc217395626"/>
      <w:bookmarkStart w:id="254" w:name="_Toc217396475"/>
      <w:bookmarkStart w:id="255" w:name="_Toc336545474"/>
      <w:bookmarkStart w:id="256" w:name="_Toc223620636"/>
      <w:bookmarkStart w:id="257" w:name="_Toc230010456"/>
      <w:r w:rsidRPr="008B13A5">
        <w:rPr>
          <w:noProof/>
        </w:rPr>
        <w:t>Modelling social impacts</w:t>
      </w:r>
      <w:bookmarkEnd w:id="252"/>
      <w:bookmarkEnd w:id="253"/>
      <w:bookmarkEnd w:id="254"/>
      <w:bookmarkEnd w:id="255"/>
      <w:bookmarkEnd w:id="256"/>
      <w:bookmarkEnd w:id="257"/>
    </w:p>
    <w:p w14:paraId="7B6646E5" w14:textId="7688BF86" w:rsidR="00EC49AF" w:rsidRPr="008B13A5" w:rsidRDefault="00EC49AF" w:rsidP="0005276B">
      <w:pPr>
        <w:pStyle w:val="Heading2"/>
        <w:rPr>
          <w:noProof/>
        </w:rPr>
      </w:pPr>
      <w:bookmarkStart w:id="258" w:name="_Toc217394778"/>
      <w:bookmarkStart w:id="259" w:name="_Toc217395627"/>
      <w:bookmarkStart w:id="260" w:name="_Toc217396476"/>
      <w:bookmarkStart w:id="261" w:name="_Toc702197829"/>
      <w:bookmarkStart w:id="262" w:name="_Toc223620637"/>
      <w:bookmarkStart w:id="263" w:name="_Toc230010457"/>
      <w:r w:rsidRPr="008B13A5">
        <w:rPr>
          <w:noProof/>
        </w:rPr>
        <w:t>Jobs in the EU semiconductor industry</w:t>
      </w:r>
      <w:bookmarkEnd w:id="258"/>
      <w:bookmarkEnd w:id="259"/>
      <w:bookmarkEnd w:id="260"/>
      <w:bookmarkEnd w:id="261"/>
      <w:bookmarkEnd w:id="262"/>
      <w:bookmarkEnd w:id="263"/>
    </w:p>
    <w:p w14:paraId="1DBAA7CB" w14:textId="33979ED5" w:rsidR="00EC49AF" w:rsidRPr="008B13A5" w:rsidRDefault="00EC49AF" w:rsidP="0005276B">
      <w:pPr>
        <w:pStyle w:val="Heading3"/>
        <w:rPr>
          <w:noProof/>
        </w:rPr>
      </w:pPr>
      <w:bookmarkStart w:id="264" w:name="_Toc217395628"/>
      <w:bookmarkStart w:id="265" w:name="_Toc217396477"/>
      <w:bookmarkStart w:id="266" w:name="_Toc11405367"/>
      <w:bookmarkStart w:id="267" w:name="_Toc223620638"/>
      <w:bookmarkStart w:id="268" w:name="_Toc230010458"/>
      <w:r w:rsidRPr="008B13A5">
        <w:rPr>
          <w:noProof/>
        </w:rPr>
        <w:t>Establishing a starting point for BAU scenario</w:t>
      </w:r>
      <w:bookmarkEnd w:id="264"/>
      <w:bookmarkEnd w:id="265"/>
      <w:bookmarkEnd w:id="266"/>
      <w:bookmarkEnd w:id="267"/>
      <w:bookmarkEnd w:id="268"/>
    </w:p>
    <w:p w14:paraId="1CC3E01A" w14:textId="2B84750E" w:rsidR="00EC49AF" w:rsidRPr="008B13A5" w:rsidRDefault="00EC49AF" w:rsidP="00EC49AF">
      <w:pPr>
        <w:rPr>
          <w:noProof/>
          <w:szCs w:val="22"/>
          <w:lang w:eastAsia="en-GB"/>
        </w:rPr>
      </w:pPr>
      <w:bookmarkStart w:id="269" w:name="_Hlk215512940"/>
      <w:r w:rsidRPr="008B13A5">
        <w:rPr>
          <w:noProof/>
          <w:szCs w:val="22"/>
          <w:lang w:eastAsia="en-GB"/>
        </w:rPr>
        <w:t xml:space="preserve">The semiconductor industry in Europe supports a substantial and growing labour force, concentrated in high-skill and high-value-added activities. In 2023, the European Chips Skills Academy estimated the </w:t>
      </w:r>
      <w:r w:rsidRPr="008B13A5">
        <w:rPr>
          <w:b/>
          <w:bCs/>
          <w:noProof/>
          <w:szCs w:val="22"/>
          <w:lang w:eastAsia="en-GB"/>
        </w:rPr>
        <w:t xml:space="preserve">EU semiconductor workforce at approximately 382 000 jobs </w:t>
      </w:r>
      <w:r w:rsidRPr="008B13A5">
        <w:rPr>
          <w:noProof/>
          <w:szCs w:val="22"/>
          <w:lang w:eastAsia="en-GB"/>
        </w:rPr>
        <w:t xml:space="preserve">across the full value chain, including around </w:t>
      </w:r>
      <w:r w:rsidRPr="008B13A5">
        <w:rPr>
          <w:b/>
          <w:bCs/>
          <w:noProof/>
          <w:szCs w:val="22"/>
          <w:lang w:eastAsia="en-GB"/>
        </w:rPr>
        <w:t>263 000 in core design and production</w:t>
      </w:r>
      <w:r w:rsidRPr="008B13A5">
        <w:rPr>
          <w:noProof/>
          <w:szCs w:val="22"/>
          <w:lang w:eastAsia="en-GB"/>
        </w:rPr>
        <w:t>. The top 25 employers account for roughly 40 % of this employment base</w:t>
      </w:r>
      <w:r w:rsidR="00F274DD" w:rsidRPr="008B13A5">
        <w:rPr>
          <w:noProof/>
          <w:szCs w:val="22"/>
          <w:lang w:eastAsia="en-GB"/>
        </w:rPr>
        <w:t xml:space="preserve"> </w:t>
      </w:r>
      <w:r w:rsidRPr="008B13A5">
        <w:rPr>
          <w:noProof/>
          <w:szCs w:val="22"/>
          <w:lang w:eastAsia="en-GB"/>
        </w:rPr>
        <w:t>(</w:t>
      </w:r>
      <w:r w:rsidRPr="008B13A5">
        <w:rPr>
          <w:rStyle w:val="FootnoteReference"/>
          <w:noProof/>
          <w:szCs w:val="22"/>
          <w:lang w:eastAsia="en-GB"/>
        </w:rPr>
        <w:footnoteReference w:id="193"/>
      </w:r>
      <w:r w:rsidRPr="008B13A5">
        <w:rPr>
          <w:noProof/>
          <w:szCs w:val="22"/>
          <w:lang w:eastAsia="en-GB"/>
        </w:rPr>
        <w:t>).</w:t>
      </w:r>
    </w:p>
    <w:p w14:paraId="2179189E" w14:textId="2B6A7D83" w:rsidR="00EC49AF" w:rsidRPr="008B13A5" w:rsidRDefault="00EC49AF" w:rsidP="00EC49AF">
      <w:pPr>
        <w:rPr>
          <w:noProof/>
          <w:szCs w:val="22"/>
          <w:lang w:eastAsia="en-GB"/>
        </w:rPr>
      </w:pPr>
      <w:r w:rsidRPr="008B13A5">
        <w:rPr>
          <w:b/>
          <w:bCs/>
          <w:noProof/>
          <w:szCs w:val="22"/>
          <w:lang w:eastAsia="en-GB"/>
        </w:rPr>
        <w:t>Employment is concentrated in a few regional clusters</w:t>
      </w:r>
      <w:r w:rsidRPr="008B13A5">
        <w:rPr>
          <w:noProof/>
          <w:szCs w:val="22"/>
          <w:lang w:eastAsia="en-GB"/>
        </w:rPr>
        <w:t xml:space="preserve"> such as Saxony, Crolles-Grenoble, Eindhoven-Veldhoven, and Dresden, where manufacturing, equipment supply, and research organisations co-locate. These clusters benefit from strong productivity but face tight local labour markets.</w:t>
      </w:r>
    </w:p>
    <w:p w14:paraId="3DB230B4" w14:textId="08DE6D65" w:rsidR="00EC49AF" w:rsidRPr="008B13A5" w:rsidRDefault="00EC49AF" w:rsidP="00EC49AF">
      <w:pPr>
        <w:rPr>
          <w:noProof/>
          <w:szCs w:val="22"/>
          <w:lang w:eastAsia="en-GB"/>
        </w:rPr>
      </w:pPr>
      <w:r w:rsidRPr="008B13A5">
        <w:rPr>
          <w:b/>
          <w:bCs/>
          <w:noProof/>
          <w:szCs w:val="22"/>
          <w:lang w:eastAsia="en-GB"/>
        </w:rPr>
        <w:t>Europe’s chip workforce is highly skilled</w:t>
      </w:r>
      <w:r w:rsidRPr="008B13A5">
        <w:rPr>
          <w:noProof/>
          <w:szCs w:val="22"/>
          <w:lang w:eastAsia="en-GB"/>
        </w:rPr>
        <w:t xml:space="preserve">. </w:t>
      </w:r>
      <w:r w:rsidRPr="008B13A5">
        <w:rPr>
          <w:noProof/>
          <w:szCs w:val="22"/>
        </w:rPr>
        <w:t>Deloitte (2021)</w:t>
      </w:r>
      <w:r w:rsidR="00F274DD" w:rsidRPr="008B13A5">
        <w:rPr>
          <w:noProof/>
          <w:szCs w:val="22"/>
        </w:rPr>
        <w:t xml:space="preserve"> </w:t>
      </w:r>
      <w:r w:rsidRPr="008B13A5">
        <w:rPr>
          <w:noProof/>
          <w:szCs w:val="22"/>
        </w:rPr>
        <w:t>(</w:t>
      </w:r>
      <w:r w:rsidRPr="008B13A5">
        <w:rPr>
          <w:rStyle w:val="FootnoteReference"/>
          <w:noProof/>
          <w:szCs w:val="22"/>
        </w:rPr>
        <w:footnoteReference w:id="194"/>
      </w:r>
      <w:r w:rsidRPr="008B13A5">
        <w:rPr>
          <w:noProof/>
          <w:szCs w:val="22"/>
        </w:rPr>
        <w:t xml:space="preserve">) </w:t>
      </w:r>
      <w:r w:rsidRPr="008B13A5">
        <w:rPr>
          <w:noProof/>
          <w:szCs w:val="22"/>
          <w:lang w:eastAsia="en-GB"/>
        </w:rPr>
        <w:t>shows that semiconductor manufacturing employment is concentrated in engineers, technicians, and specialised trades, with wages more than double the private-sector average due to the high skill intensity and continuous-operation environment. ECSA (2024)</w:t>
      </w:r>
      <w:r w:rsidR="00F274DD" w:rsidRPr="008B13A5">
        <w:rPr>
          <w:noProof/>
          <w:szCs w:val="22"/>
          <w:lang w:eastAsia="en-GB"/>
        </w:rPr>
        <w:t xml:space="preserve"> </w:t>
      </w:r>
      <w:r w:rsidRPr="008B13A5">
        <w:rPr>
          <w:noProof/>
          <w:szCs w:val="22"/>
          <w:lang w:eastAsia="en-GB"/>
        </w:rPr>
        <w:t>(</w:t>
      </w:r>
      <w:r w:rsidRPr="008B13A5">
        <w:rPr>
          <w:rStyle w:val="FootnoteReference"/>
          <w:noProof/>
          <w:szCs w:val="22"/>
          <w:lang w:eastAsia="en-GB"/>
        </w:rPr>
        <w:footnoteReference w:id="195"/>
      </w:r>
      <w:r w:rsidRPr="008B13A5">
        <w:rPr>
          <w:noProof/>
          <w:szCs w:val="22"/>
          <w:lang w:eastAsia="en-GB"/>
        </w:rPr>
        <w:t xml:space="preserve">) and </w:t>
      </w:r>
      <w:r w:rsidRPr="008B13A5">
        <w:rPr>
          <w:noProof/>
          <w:szCs w:val="22"/>
        </w:rPr>
        <w:t>McKinsey (2024)</w:t>
      </w:r>
      <w:r w:rsidR="00F274DD" w:rsidRPr="008B13A5">
        <w:rPr>
          <w:noProof/>
          <w:szCs w:val="22"/>
        </w:rPr>
        <w:t xml:space="preserve"> </w:t>
      </w:r>
      <w:r w:rsidRPr="008B13A5">
        <w:rPr>
          <w:noProof/>
          <w:szCs w:val="22"/>
        </w:rPr>
        <w:t>(</w:t>
      </w:r>
      <w:r w:rsidRPr="008B13A5">
        <w:rPr>
          <w:rStyle w:val="FootnoteReference"/>
          <w:noProof/>
          <w:szCs w:val="22"/>
        </w:rPr>
        <w:footnoteReference w:id="196"/>
      </w:r>
      <w:r w:rsidRPr="008B13A5">
        <w:rPr>
          <w:noProof/>
          <w:szCs w:val="22"/>
        </w:rPr>
        <w:t xml:space="preserve">) </w:t>
      </w:r>
      <w:r w:rsidRPr="008B13A5">
        <w:rPr>
          <w:noProof/>
          <w:szCs w:val="22"/>
          <w:lang w:eastAsia="en-GB"/>
        </w:rPr>
        <w:t xml:space="preserve">confirm that Europe’s semiconductor workforce is dominated by technical and engineering profiles requiring advanced qualifications, with wage premia and strong compliance and safety requirements consistent with global benchmarks. </w:t>
      </w:r>
      <w:r w:rsidRPr="008B13A5">
        <w:rPr>
          <w:noProof/>
          <w:szCs w:val="22"/>
        </w:rPr>
        <w:t>According to Deloitte (2021)</w:t>
      </w:r>
      <w:r w:rsidR="00F274DD" w:rsidRPr="008B13A5">
        <w:rPr>
          <w:noProof/>
          <w:szCs w:val="22"/>
        </w:rPr>
        <w:t xml:space="preserve"> </w:t>
      </w:r>
      <w:r w:rsidRPr="008B13A5">
        <w:rPr>
          <w:noProof/>
          <w:szCs w:val="22"/>
        </w:rPr>
        <w:t>(</w:t>
      </w:r>
      <w:r w:rsidRPr="008B13A5">
        <w:rPr>
          <w:rStyle w:val="FootnoteReference"/>
          <w:noProof/>
          <w:szCs w:val="22"/>
        </w:rPr>
        <w:footnoteReference w:id="197"/>
      </w:r>
      <w:r w:rsidRPr="008B13A5">
        <w:rPr>
          <w:noProof/>
          <w:szCs w:val="22"/>
        </w:rPr>
        <w:t xml:space="preserve">), semiconductor workers earn on average more than twice the private-sector wage and roughly 50% more than the manufacturing average in the US, reflecting the sector’s high skill intensity and 24/7 operations. Although direct EU data is scarce, similar occupational structures suggest a substantial </w:t>
      </w:r>
      <w:r w:rsidRPr="008B13A5">
        <w:rPr>
          <w:b/>
          <w:bCs/>
          <w:noProof/>
          <w:szCs w:val="22"/>
        </w:rPr>
        <w:t>wage premium in Europe as well, conservatively estimated at around 40–50 % above the manufacturing average</w:t>
      </w:r>
      <w:r w:rsidRPr="008B13A5">
        <w:rPr>
          <w:noProof/>
          <w:szCs w:val="22"/>
        </w:rPr>
        <w:t>.</w:t>
      </w:r>
    </w:p>
    <w:p w14:paraId="780331EB" w14:textId="246BD7D2" w:rsidR="00EC49AF" w:rsidRPr="008B13A5" w:rsidRDefault="00EC49AF" w:rsidP="00EC49AF">
      <w:pPr>
        <w:rPr>
          <w:noProof/>
          <w:szCs w:val="22"/>
          <w:lang w:eastAsia="en-GB"/>
        </w:rPr>
      </w:pPr>
      <w:r w:rsidRPr="008B13A5">
        <w:rPr>
          <w:noProof/>
          <w:szCs w:val="22"/>
          <w:lang w:eastAsia="en-GB"/>
        </w:rPr>
        <w:t xml:space="preserve">The quality of jobs is correspondingly high, with permanent contracts prevailing and considerable investment in training and safety. </w:t>
      </w:r>
      <w:r w:rsidRPr="008B13A5">
        <w:rPr>
          <w:b/>
          <w:bCs/>
          <w:noProof/>
          <w:szCs w:val="22"/>
          <w:lang w:eastAsia="en-GB"/>
        </w:rPr>
        <w:t>Indirect and induced employment multipliers are significant</w:t>
      </w:r>
      <w:r w:rsidRPr="008B13A5">
        <w:rPr>
          <w:noProof/>
          <w:szCs w:val="22"/>
          <w:lang w:eastAsia="en-GB"/>
        </w:rPr>
        <w:t xml:space="preserve">: U.S. evidence shows that each semiconductor job supports roughly 5–6 additional jobs in the wider economy (a total multiplier of about 6.7), according to </w:t>
      </w:r>
      <w:r w:rsidRPr="008B13A5">
        <w:rPr>
          <w:noProof/>
          <w:szCs w:val="22"/>
        </w:rPr>
        <w:t>Deloitte (2021)</w:t>
      </w:r>
      <w:r w:rsidR="00F274DD" w:rsidRPr="008B13A5">
        <w:rPr>
          <w:noProof/>
          <w:szCs w:val="22"/>
        </w:rPr>
        <w:t xml:space="preserve"> </w:t>
      </w:r>
      <w:r w:rsidRPr="008B13A5">
        <w:rPr>
          <w:noProof/>
          <w:szCs w:val="22"/>
        </w:rPr>
        <w:t>(</w:t>
      </w:r>
      <w:r w:rsidRPr="008B13A5">
        <w:rPr>
          <w:rStyle w:val="FootnoteReference"/>
          <w:noProof/>
          <w:szCs w:val="22"/>
        </w:rPr>
        <w:footnoteReference w:id="198"/>
      </w:r>
      <w:r w:rsidRPr="008B13A5">
        <w:rPr>
          <w:noProof/>
          <w:szCs w:val="22"/>
        </w:rPr>
        <w:t xml:space="preserve">) </w:t>
      </w:r>
      <w:r w:rsidRPr="008B13A5">
        <w:rPr>
          <w:noProof/>
          <w:szCs w:val="22"/>
          <w:lang w:eastAsia="en-GB"/>
        </w:rPr>
        <w:t>based on SIA/Oxford Economics modelling</w:t>
      </w:r>
      <w:r w:rsidR="00F274DD" w:rsidRPr="008B13A5">
        <w:rPr>
          <w:noProof/>
          <w:szCs w:val="22"/>
          <w:lang w:eastAsia="en-GB"/>
        </w:rPr>
        <w:t xml:space="preserve"> </w:t>
      </w:r>
      <w:r w:rsidRPr="008B13A5">
        <w:rPr>
          <w:noProof/>
          <w:szCs w:val="22"/>
          <w:lang w:eastAsia="en-GB"/>
        </w:rPr>
        <w:t>(</w:t>
      </w:r>
      <w:r w:rsidRPr="008B13A5">
        <w:rPr>
          <w:rStyle w:val="FootnoteReference"/>
          <w:noProof/>
          <w:szCs w:val="22"/>
          <w:lang w:eastAsia="en-GB"/>
        </w:rPr>
        <w:footnoteReference w:id="199"/>
      </w:r>
      <w:r w:rsidRPr="008B13A5">
        <w:rPr>
          <w:noProof/>
          <w:szCs w:val="22"/>
          <w:lang w:eastAsia="en-GB"/>
        </w:rPr>
        <w:t>). Given Europe’s dense supplier ecosystem, particularly in equipment and materials, the EU’s multiplier effects are likely substantial, though not yet formally quantified.</w:t>
      </w:r>
    </w:p>
    <w:p w14:paraId="2D9EFDFB" w14:textId="15F8229E" w:rsidR="00EC49AF" w:rsidRPr="008B13A5" w:rsidRDefault="00EC49AF" w:rsidP="00EC49AF">
      <w:pPr>
        <w:rPr>
          <w:noProof/>
          <w:szCs w:val="22"/>
          <w:lang w:eastAsia="en-GB"/>
        </w:rPr>
      </w:pPr>
      <w:r w:rsidRPr="008B13A5">
        <w:rPr>
          <w:b/>
          <w:bCs/>
          <w:noProof/>
          <w:szCs w:val="22"/>
          <w:lang w:eastAsia="en-GB"/>
        </w:rPr>
        <w:t>The demand for skills already exceeds supply</w:t>
      </w:r>
      <w:r w:rsidRPr="008B13A5">
        <w:rPr>
          <w:noProof/>
          <w:szCs w:val="22"/>
          <w:lang w:eastAsia="en-GB"/>
        </w:rPr>
        <w:t xml:space="preserve">. </w:t>
      </w:r>
      <w:r w:rsidRPr="008B13A5">
        <w:rPr>
          <w:noProof/>
          <w:szCs w:val="22"/>
        </w:rPr>
        <w:t>McKinsey (2024)</w:t>
      </w:r>
      <w:r w:rsidR="00F274DD" w:rsidRPr="008B13A5">
        <w:rPr>
          <w:noProof/>
          <w:szCs w:val="22"/>
        </w:rPr>
        <w:t xml:space="preserve"> </w:t>
      </w:r>
      <w:r w:rsidRPr="008B13A5">
        <w:rPr>
          <w:noProof/>
          <w:szCs w:val="22"/>
        </w:rPr>
        <w:t>(</w:t>
      </w:r>
      <w:r w:rsidRPr="008B13A5">
        <w:rPr>
          <w:rStyle w:val="FootnoteReference"/>
          <w:noProof/>
          <w:szCs w:val="22"/>
        </w:rPr>
        <w:footnoteReference w:id="200"/>
      </w:r>
      <w:r w:rsidRPr="008B13A5">
        <w:rPr>
          <w:noProof/>
          <w:szCs w:val="22"/>
        </w:rPr>
        <w:t xml:space="preserve">) </w:t>
      </w:r>
      <w:r w:rsidRPr="008B13A5">
        <w:rPr>
          <w:noProof/>
          <w:szCs w:val="22"/>
          <w:lang w:eastAsia="en-GB"/>
        </w:rPr>
        <w:t>estimates a shortfall of over 100 000 engineers in Europe, similar in magnitude to the U.S. gap. Online vacancy data show that postings for semiconductor technical roles in the EU grew at over 75 % CAGR between 2018 and 2022, a clear signal of unmet demand</w:t>
      </w:r>
      <w:r w:rsidR="00F274DD" w:rsidRPr="008B13A5">
        <w:rPr>
          <w:noProof/>
          <w:szCs w:val="22"/>
          <w:lang w:eastAsia="en-GB"/>
        </w:rPr>
        <w:t xml:space="preserve"> </w:t>
      </w:r>
      <w:r w:rsidRPr="008B13A5">
        <w:rPr>
          <w:noProof/>
          <w:szCs w:val="22"/>
          <w:lang w:eastAsia="en-GB"/>
        </w:rPr>
        <w:t>(</w:t>
      </w:r>
      <w:r w:rsidRPr="008B13A5">
        <w:rPr>
          <w:rStyle w:val="FootnoteReference"/>
          <w:noProof/>
          <w:szCs w:val="22"/>
        </w:rPr>
        <w:footnoteReference w:id="201"/>
      </w:r>
      <w:r w:rsidRPr="008B13A5">
        <w:rPr>
          <w:noProof/>
          <w:szCs w:val="22"/>
          <w:lang w:eastAsia="en-GB"/>
        </w:rPr>
        <w:t>). SEMI Europe (2024)</w:t>
      </w:r>
      <w:r w:rsidR="00F274DD" w:rsidRPr="008B13A5">
        <w:rPr>
          <w:noProof/>
          <w:szCs w:val="22"/>
          <w:lang w:eastAsia="en-GB"/>
        </w:rPr>
        <w:t xml:space="preserve"> </w:t>
      </w:r>
      <w:r w:rsidRPr="008B13A5">
        <w:rPr>
          <w:noProof/>
          <w:szCs w:val="22"/>
          <w:lang w:eastAsia="en-GB"/>
        </w:rPr>
        <w:t>(</w:t>
      </w:r>
      <w:r w:rsidRPr="008B13A5">
        <w:rPr>
          <w:rStyle w:val="FootnoteReference"/>
          <w:noProof/>
          <w:szCs w:val="22"/>
          <w:lang w:eastAsia="en-GB"/>
        </w:rPr>
        <w:footnoteReference w:id="202"/>
      </w:r>
      <w:r w:rsidRPr="008B13A5">
        <w:rPr>
          <w:noProof/>
          <w:szCs w:val="22"/>
          <w:lang w:eastAsia="en-GB"/>
        </w:rPr>
        <w:t>) similarly estimates that approximately 350 000 additional workers would be required by 2030 to meet the Chips Act objectives which is well above the current expansion pipeline. The Joint Research Centre (JRC, 2025)</w:t>
      </w:r>
      <w:r w:rsidR="00F274DD" w:rsidRPr="008B13A5">
        <w:rPr>
          <w:noProof/>
          <w:szCs w:val="22"/>
          <w:lang w:eastAsia="en-GB"/>
        </w:rPr>
        <w:t xml:space="preserve"> </w:t>
      </w:r>
      <w:r w:rsidRPr="008B13A5">
        <w:rPr>
          <w:noProof/>
          <w:szCs w:val="22"/>
          <w:lang w:eastAsia="en-GB"/>
        </w:rPr>
        <w:t>(</w:t>
      </w:r>
      <w:r w:rsidRPr="008B13A5">
        <w:rPr>
          <w:rStyle w:val="FootnoteReference"/>
          <w:noProof/>
          <w:szCs w:val="22"/>
          <w:lang w:eastAsia="en-GB"/>
        </w:rPr>
        <w:footnoteReference w:id="203"/>
      </w:r>
      <w:r w:rsidRPr="008B13A5">
        <w:rPr>
          <w:noProof/>
          <w:szCs w:val="22"/>
          <w:lang w:eastAsia="en-GB"/>
        </w:rPr>
        <w:t>) lists skills shortages alongside fragmented markets and complex regulation as the main competitiveness constraints of the EU semiconductor ecosystem.</w:t>
      </w:r>
    </w:p>
    <w:p w14:paraId="47825888" w14:textId="1902873B" w:rsidR="00EC49AF" w:rsidRPr="008B13A5" w:rsidRDefault="00EC49AF" w:rsidP="00EC49AF">
      <w:pPr>
        <w:rPr>
          <w:noProof/>
          <w:szCs w:val="22"/>
          <w:lang w:eastAsia="en-GB"/>
        </w:rPr>
      </w:pPr>
      <w:r w:rsidRPr="008B13A5">
        <w:rPr>
          <w:noProof/>
          <w:szCs w:val="22"/>
          <w:lang w:eastAsia="en-GB"/>
        </w:rPr>
        <w:t xml:space="preserve">This demand projection assumes that only the announced increase in manufacturing capacity will take place over the course of this decade, and that no further significant investments in manufacturing capacity are made, except for organic expansions of current facilities. </w:t>
      </w:r>
    </w:p>
    <w:p w14:paraId="6E8B24C8" w14:textId="0C671A7C" w:rsidR="00EC49AF" w:rsidRPr="008B13A5" w:rsidRDefault="00EC49AF" w:rsidP="00EC49AF">
      <w:pPr>
        <w:rPr>
          <w:noProof/>
          <w:szCs w:val="22"/>
          <w:lang w:eastAsia="en-GB"/>
        </w:rPr>
      </w:pPr>
      <w:r w:rsidRPr="008B13A5">
        <w:rPr>
          <w:noProof/>
          <w:szCs w:val="22"/>
          <w:lang w:eastAsia="en-GB"/>
        </w:rPr>
        <w:t xml:space="preserve">Since job creation is proportional to the investment level, a further increase in public and private investment would result in a commensurate increase in high-quality and high-added value jobs, with the positive spill overs that this would have both from a social and an economic productivity perspective. This factor has not been quantitatively assessed in this social impacts model. </w:t>
      </w:r>
    </w:p>
    <w:p w14:paraId="6B0F0284" w14:textId="36B97613" w:rsidR="00EC49AF" w:rsidRPr="008B13A5" w:rsidRDefault="00EC49AF" w:rsidP="0005276B">
      <w:pPr>
        <w:pStyle w:val="Heading3"/>
        <w:rPr>
          <w:noProof/>
        </w:rPr>
      </w:pPr>
      <w:bookmarkStart w:id="270" w:name="_Toc217395629"/>
      <w:bookmarkStart w:id="271" w:name="_Toc217396478"/>
      <w:bookmarkStart w:id="272" w:name="_Toc265787598"/>
      <w:bookmarkStart w:id="273" w:name="_Toc223620639"/>
      <w:bookmarkStart w:id="274" w:name="_Toc230010459"/>
      <w:bookmarkEnd w:id="269"/>
      <w:r w:rsidRPr="008B13A5">
        <w:rPr>
          <w:noProof/>
        </w:rPr>
        <w:t>Modelling the BAU scenario</w:t>
      </w:r>
      <w:bookmarkEnd w:id="270"/>
      <w:bookmarkEnd w:id="271"/>
      <w:bookmarkEnd w:id="272"/>
      <w:bookmarkEnd w:id="273"/>
      <w:bookmarkEnd w:id="274"/>
    </w:p>
    <w:p w14:paraId="39E07784" w14:textId="0BCDBC17" w:rsidR="00EC49AF" w:rsidRPr="008B13A5" w:rsidRDefault="00EC49AF" w:rsidP="00EC49AF">
      <w:pPr>
        <w:rPr>
          <w:noProof/>
        </w:rPr>
      </w:pPr>
      <w:r w:rsidRPr="008B13A5">
        <w:rPr>
          <w:rStyle w:val="Strong"/>
          <w:noProof/>
        </w:rPr>
        <w:t>Developments expected under BAU</w:t>
      </w:r>
    </w:p>
    <w:p w14:paraId="7355DCA4" w14:textId="0C089A77" w:rsidR="00EC49AF" w:rsidRPr="008B13A5" w:rsidRDefault="00EC49AF" w:rsidP="00EC49AF">
      <w:pPr>
        <w:pStyle w:val="NormalWeb"/>
        <w:jc w:val="both"/>
        <w:rPr>
          <w:noProof/>
        </w:rPr>
      </w:pPr>
      <w:r w:rsidRPr="008B13A5">
        <w:rPr>
          <w:noProof/>
        </w:rPr>
        <w:t>Under a business-as-usual trajectory, the EU semiconductor labour market expands gradually but remains constrained by structural skills shortages and uneven regional capacity.</w:t>
      </w:r>
      <w:r w:rsidRPr="008B13A5">
        <w:rPr>
          <w:noProof/>
        </w:rPr>
        <w:br/>
        <w:t xml:space="preserve">Between 2025 and 2030, the new fabs and expansions already under construction: </w:t>
      </w:r>
      <w:r w:rsidRPr="008B13A5">
        <w:rPr>
          <w:rStyle w:val="Strong"/>
          <w:noProof/>
        </w:rPr>
        <w:t>Intel Ireland</w:t>
      </w:r>
      <w:r w:rsidRPr="008B13A5">
        <w:rPr>
          <w:b/>
          <w:bCs/>
          <w:noProof/>
        </w:rPr>
        <w:t xml:space="preserve">, </w:t>
      </w:r>
      <w:r w:rsidRPr="008B13A5">
        <w:rPr>
          <w:rStyle w:val="Strong"/>
          <w:noProof/>
        </w:rPr>
        <w:t>STMicroelectronics–GlobalFoundries Crolles</w:t>
      </w:r>
      <w:r w:rsidRPr="008B13A5">
        <w:rPr>
          <w:b/>
          <w:bCs/>
          <w:noProof/>
        </w:rPr>
        <w:t xml:space="preserve">, </w:t>
      </w:r>
      <w:r w:rsidRPr="008B13A5">
        <w:rPr>
          <w:rStyle w:val="Strong"/>
          <w:noProof/>
        </w:rPr>
        <w:t>ESMC Dresden</w:t>
      </w:r>
      <w:r w:rsidRPr="008B13A5">
        <w:rPr>
          <w:b/>
          <w:bCs/>
          <w:noProof/>
        </w:rPr>
        <w:t xml:space="preserve">, </w:t>
      </w:r>
      <w:r w:rsidRPr="008B13A5">
        <w:rPr>
          <w:rStyle w:val="Strong"/>
          <w:noProof/>
        </w:rPr>
        <w:t>Infineon Dresden</w:t>
      </w:r>
      <w:r w:rsidRPr="008B13A5">
        <w:rPr>
          <w:b/>
          <w:bCs/>
          <w:noProof/>
        </w:rPr>
        <w:t xml:space="preserve">, </w:t>
      </w:r>
      <w:r w:rsidRPr="008B13A5">
        <w:rPr>
          <w:rStyle w:val="Strong"/>
          <w:noProof/>
        </w:rPr>
        <w:t>GlobalFoundries Dresden expansion</w:t>
      </w:r>
      <w:r w:rsidRPr="008B13A5">
        <w:rPr>
          <w:b/>
          <w:bCs/>
          <w:noProof/>
        </w:rPr>
        <w:t xml:space="preserve">, </w:t>
      </w:r>
      <w:r w:rsidRPr="008B13A5">
        <w:rPr>
          <w:noProof/>
        </w:rPr>
        <w:t>and the</w:t>
      </w:r>
      <w:r w:rsidRPr="008B13A5">
        <w:rPr>
          <w:b/>
          <w:bCs/>
          <w:noProof/>
        </w:rPr>
        <w:t xml:space="preserve"> </w:t>
      </w:r>
      <w:r w:rsidRPr="008B13A5">
        <w:rPr>
          <w:rStyle w:val="Strong"/>
          <w:noProof/>
        </w:rPr>
        <w:t>Catania SiC Campus</w:t>
      </w:r>
      <w:r w:rsidRPr="008B13A5">
        <w:rPr>
          <w:noProof/>
        </w:rPr>
        <w:t>. They generate direct and indirect job growth as they ramp from construction to production. By 2030, the bulk of these facilities are expected to reach steady operation, with employment transitioning from construction trades to production technicians, maintenance engineers, and process specialists.</w:t>
      </w:r>
    </w:p>
    <w:p w14:paraId="3FFE69AD" w14:textId="3A67B24B" w:rsidR="00EC49AF" w:rsidRPr="008B13A5" w:rsidRDefault="00EC49AF" w:rsidP="00EC49AF">
      <w:pPr>
        <w:pStyle w:val="NormalWeb"/>
        <w:jc w:val="both"/>
        <w:rPr>
          <w:noProof/>
        </w:rPr>
      </w:pPr>
      <w:r w:rsidRPr="008B13A5">
        <w:rPr>
          <w:noProof/>
        </w:rPr>
        <w:t xml:space="preserve">Beyond 2030, employment growth moderates as automation deepens and fabs reach maturity. Job creation increasingly depends on the localisation of </w:t>
      </w:r>
      <w:r w:rsidRPr="008B13A5">
        <w:rPr>
          <w:rStyle w:val="Strong"/>
          <w:noProof/>
        </w:rPr>
        <w:t>advanced packaging</w:t>
      </w:r>
      <w:r w:rsidRPr="008B13A5">
        <w:rPr>
          <w:b/>
          <w:bCs/>
          <w:noProof/>
        </w:rPr>
        <w:t xml:space="preserve">, </w:t>
      </w:r>
      <w:r w:rsidRPr="008B13A5">
        <w:rPr>
          <w:rStyle w:val="Strong"/>
          <w:noProof/>
        </w:rPr>
        <w:t>compound-semiconductor production (SiC/GaN)</w:t>
      </w:r>
      <w:r w:rsidRPr="008B13A5">
        <w:rPr>
          <w:b/>
          <w:bCs/>
          <w:noProof/>
        </w:rPr>
        <w:t>,</w:t>
      </w:r>
      <w:r w:rsidRPr="008B13A5">
        <w:rPr>
          <w:noProof/>
        </w:rPr>
        <w:t xml:space="preserve"> and </w:t>
      </w:r>
      <w:r w:rsidRPr="008B13A5">
        <w:rPr>
          <w:rStyle w:val="Strong"/>
          <w:noProof/>
        </w:rPr>
        <w:t>equipment manufacturing</w:t>
      </w:r>
      <w:r w:rsidRPr="008B13A5">
        <w:rPr>
          <w:noProof/>
        </w:rPr>
        <w:t>, where Europe holds competitive strengths.</w:t>
      </w:r>
    </w:p>
    <w:p w14:paraId="1E28F37B" w14:textId="11B42154" w:rsidR="00EC49AF" w:rsidRPr="008B13A5" w:rsidRDefault="00EC49AF" w:rsidP="00EC49AF">
      <w:pPr>
        <w:pStyle w:val="NormalWeb"/>
        <w:jc w:val="both"/>
        <w:rPr>
          <w:noProof/>
        </w:rPr>
      </w:pPr>
      <w:r w:rsidRPr="008B13A5">
        <w:rPr>
          <w:noProof/>
        </w:rPr>
        <w:t xml:space="preserve">Nevertheless, under BAU, the </w:t>
      </w:r>
      <w:r w:rsidRPr="008B13A5">
        <w:rPr>
          <w:rStyle w:val="Strong"/>
          <w:noProof/>
        </w:rPr>
        <w:t>skills constraint</w:t>
      </w:r>
      <w:r w:rsidRPr="008B13A5">
        <w:rPr>
          <w:noProof/>
        </w:rPr>
        <w:t xml:space="preserve"> remains binding: the pool of engineers and technicians grows too slowly to meet rising demand, even with national training and mobility programmes. ECSA (2024)</w:t>
      </w:r>
      <w:r w:rsidR="00F274DD" w:rsidRPr="008B13A5">
        <w:rPr>
          <w:noProof/>
        </w:rPr>
        <w:t xml:space="preserve"> </w:t>
      </w:r>
      <w:r w:rsidRPr="008B13A5">
        <w:rPr>
          <w:noProof/>
        </w:rPr>
        <w:t>(</w:t>
      </w:r>
      <w:r w:rsidRPr="008B13A5">
        <w:rPr>
          <w:rStyle w:val="FootnoteReference"/>
          <w:noProof/>
        </w:rPr>
        <w:footnoteReference w:id="204"/>
      </w:r>
      <w:r w:rsidRPr="008B13A5">
        <w:rPr>
          <w:noProof/>
        </w:rPr>
        <w:t>) projects that, under current policies, the EU semiconductor sector will add around 156 000 new jobs by 2030 (≈ 5 % CAGR) and experience about 271</w:t>
      </w:r>
      <w:r w:rsidR="00D95AD2">
        <w:rPr>
          <w:noProof/>
        </w:rPr>
        <w:t>,</w:t>
      </w:r>
      <w:r w:rsidRPr="008B13A5">
        <w:rPr>
          <w:noProof/>
        </w:rPr>
        <w:t>000 cumulative openings when retirements and replacement needs are included. However, graduate inflows are projected to grow by only ≈ 1 % per year, implying a widening shortfall of around 16 800 unfilled technical roles by 2030. Unless the pace of education and reskilling accelerates markedly, the projected headcount increases in announced projects will not translate one-to-one into realised employment.</w:t>
      </w:r>
    </w:p>
    <w:p w14:paraId="24118329" w14:textId="4E7843BF" w:rsidR="00EC49AF" w:rsidRPr="008B13A5" w:rsidRDefault="00EC49AF" w:rsidP="00EC49AF">
      <w:pPr>
        <w:rPr>
          <w:noProof/>
        </w:rPr>
      </w:pPr>
      <w:r w:rsidRPr="008B13A5">
        <w:rPr>
          <w:rStyle w:val="Strong"/>
          <w:noProof/>
        </w:rPr>
        <w:t>Rationale and evidence base</w:t>
      </w:r>
    </w:p>
    <w:p w14:paraId="4EE18EB1" w14:textId="2ED43644" w:rsidR="00EC49AF" w:rsidRPr="008B13A5" w:rsidRDefault="00EC49AF" w:rsidP="00F47256">
      <w:pPr>
        <w:pStyle w:val="NormalWeb"/>
        <w:numPr>
          <w:ilvl w:val="0"/>
          <w:numId w:val="27"/>
        </w:numPr>
        <w:jc w:val="both"/>
        <w:rPr>
          <w:noProof/>
        </w:rPr>
      </w:pPr>
      <w:r w:rsidRPr="008B13A5">
        <w:rPr>
          <w:rStyle w:val="Strong"/>
          <w:noProof/>
        </w:rPr>
        <w:t>Industrial context:</w:t>
      </w:r>
      <w:r w:rsidRPr="008B13A5">
        <w:rPr>
          <w:noProof/>
        </w:rPr>
        <w:t xml:space="preserve"> McKinsey (2024)</w:t>
      </w:r>
      <w:r w:rsidR="00F274DD" w:rsidRPr="008B13A5">
        <w:rPr>
          <w:noProof/>
        </w:rPr>
        <w:t xml:space="preserve"> </w:t>
      </w:r>
      <w:r w:rsidRPr="008B13A5">
        <w:rPr>
          <w:noProof/>
        </w:rPr>
        <w:t>(</w:t>
      </w:r>
      <w:r w:rsidRPr="008B13A5">
        <w:rPr>
          <w:rStyle w:val="FootnoteReference"/>
          <w:noProof/>
        </w:rPr>
        <w:footnoteReference w:id="205"/>
      </w:r>
      <w:r w:rsidRPr="008B13A5">
        <w:rPr>
          <w:noProof/>
        </w:rPr>
        <w:t xml:space="preserve">) projects about </w:t>
      </w:r>
      <w:r w:rsidRPr="008B13A5">
        <w:rPr>
          <w:rStyle w:val="Strong"/>
          <w:noProof/>
        </w:rPr>
        <w:t>USD 1 trillion in global fab investments by 2030</w:t>
      </w:r>
      <w:r w:rsidRPr="008B13A5">
        <w:rPr>
          <w:noProof/>
        </w:rPr>
        <w:t xml:space="preserve">, implying </w:t>
      </w:r>
      <w:r w:rsidRPr="008B13A5">
        <w:rPr>
          <w:b/>
          <w:bCs/>
          <w:noProof/>
        </w:rPr>
        <w:t>intense competition for qualified talent</w:t>
      </w:r>
      <w:r w:rsidRPr="008B13A5">
        <w:rPr>
          <w:noProof/>
        </w:rPr>
        <w:t>. Europe captures a modest share of these projects, insufficient to transform its labour dynamics rapidly.</w:t>
      </w:r>
    </w:p>
    <w:p w14:paraId="3E2BEB20" w14:textId="7CFF2791" w:rsidR="00EC49AF" w:rsidRPr="008B13A5" w:rsidRDefault="00EC49AF" w:rsidP="00F47256">
      <w:pPr>
        <w:pStyle w:val="NormalWeb"/>
        <w:numPr>
          <w:ilvl w:val="0"/>
          <w:numId w:val="27"/>
        </w:numPr>
        <w:jc w:val="both"/>
        <w:rPr>
          <w:noProof/>
        </w:rPr>
      </w:pPr>
      <w:r w:rsidRPr="008B13A5">
        <w:rPr>
          <w:rStyle w:val="Strong"/>
          <w:noProof/>
        </w:rPr>
        <w:t>Policy context:</w:t>
      </w:r>
      <w:r w:rsidRPr="008B13A5">
        <w:rPr>
          <w:noProof/>
        </w:rPr>
        <w:t xml:space="preserve"> The Chips Act </w:t>
      </w:r>
      <w:r w:rsidR="002559C3">
        <w:rPr>
          <w:noProof/>
        </w:rPr>
        <w:t>provides</w:t>
      </w:r>
      <w:r w:rsidRPr="008B13A5">
        <w:rPr>
          <w:noProof/>
        </w:rPr>
        <w:t xml:space="preserve"> support for competence centres, skills initiatives, pilot lines and first-industrial deployment, but these initiatives are only now being implemented. It is therefore too early to assess their full impact on the talent gap, although current evidence suggests that substantial shortages will persist in the near term. The </w:t>
      </w:r>
      <w:r w:rsidRPr="008B13A5">
        <w:rPr>
          <w:rStyle w:val="Strong"/>
          <w:noProof/>
        </w:rPr>
        <w:t>E</w:t>
      </w:r>
      <w:r w:rsidR="002559C3">
        <w:rPr>
          <w:rStyle w:val="Strong"/>
          <w:noProof/>
        </w:rPr>
        <w:t xml:space="preserve">uropean </w:t>
      </w:r>
      <w:r w:rsidRPr="008B13A5">
        <w:rPr>
          <w:rStyle w:val="Strong"/>
          <w:noProof/>
        </w:rPr>
        <w:t>C</w:t>
      </w:r>
      <w:r w:rsidR="002559C3">
        <w:rPr>
          <w:rStyle w:val="Strong"/>
          <w:noProof/>
        </w:rPr>
        <w:t xml:space="preserve">ourt of </w:t>
      </w:r>
      <w:r w:rsidRPr="008B13A5">
        <w:rPr>
          <w:rStyle w:val="Strong"/>
          <w:noProof/>
        </w:rPr>
        <w:t>A</w:t>
      </w:r>
      <w:r w:rsidR="002559C3">
        <w:rPr>
          <w:rStyle w:val="Strong"/>
          <w:noProof/>
        </w:rPr>
        <w:t>uditors</w:t>
      </w:r>
      <w:r w:rsidRPr="008B13A5">
        <w:rPr>
          <w:rStyle w:val="Strong"/>
          <w:noProof/>
        </w:rPr>
        <w:t xml:space="preserve"> (2025)</w:t>
      </w:r>
      <w:r w:rsidR="00F274DD" w:rsidRPr="008B13A5">
        <w:rPr>
          <w:rStyle w:val="Strong"/>
          <w:noProof/>
        </w:rPr>
        <w:t xml:space="preserve"> </w:t>
      </w:r>
      <w:r w:rsidRPr="008B13A5">
        <w:rPr>
          <w:rStyle w:val="Strong"/>
          <w:noProof/>
        </w:rPr>
        <w:t>(</w:t>
      </w:r>
      <w:r w:rsidRPr="008B13A5">
        <w:rPr>
          <w:rStyle w:val="FootnoteReference"/>
          <w:noProof/>
        </w:rPr>
        <w:footnoteReference w:id="206"/>
      </w:r>
      <w:r w:rsidRPr="008B13A5">
        <w:rPr>
          <w:rStyle w:val="Strong"/>
          <w:noProof/>
        </w:rPr>
        <w:t>)</w:t>
      </w:r>
      <w:r w:rsidRPr="008B13A5">
        <w:rPr>
          <w:noProof/>
        </w:rPr>
        <w:t xml:space="preserve"> observes that current public support levels and timelines “fall short of transforming EU market share quickly”.</w:t>
      </w:r>
    </w:p>
    <w:p w14:paraId="35E807C3" w14:textId="44605038" w:rsidR="00EC49AF" w:rsidRPr="008B13A5" w:rsidRDefault="00EC49AF" w:rsidP="00F47256">
      <w:pPr>
        <w:pStyle w:val="NormalWeb"/>
        <w:numPr>
          <w:ilvl w:val="0"/>
          <w:numId w:val="27"/>
        </w:numPr>
        <w:jc w:val="both"/>
        <w:rPr>
          <w:noProof/>
        </w:rPr>
      </w:pPr>
      <w:r w:rsidRPr="008B13A5">
        <w:rPr>
          <w:rStyle w:val="Strong"/>
          <w:noProof/>
        </w:rPr>
        <w:t>Skills evidence:</w:t>
      </w:r>
      <w:r w:rsidRPr="008B13A5">
        <w:rPr>
          <w:noProof/>
        </w:rPr>
        <w:t xml:space="preserve"> ECSA (2024)</w:t>
      </w:r>
      <w:r w:rsidR="00F274DD" w:rsidRPr="008B13A5">
        <w:rPr>
          <w:noProof/>
        </w:rPr>
        <w:t xml:space="preserve"> </w:t>
      </w:r>
      <w:r w:rsidRPr="008B13A5">
        <w:rPr>
          <w:noProof/>
        </w:rPr>
        <w:t>(</w:t>
      </w:r>
      <w:r w:rsidRPr="008B13A5">
        <w:rPr>
          <w:rStyle w:val="FootnoteReference"/>
          <w:noProof/>
        </w:rPr>
        <w:footnoteReference w:id="207"/>
      </w:r>
      <w:r w:rsidRPr="008B13A5">
        <w:rPr>
          <w:noProof/>
        </w:rPr>
        <w:t>) and SEMI Europe (2024)</w:t>
      </w:r>
      <w:r w:rsidR="00F274DD" w:rsidRPr="008B13A5">
        <w:rPr>
          <w:noProof/>
        </w:rPr>
        <w:t xml:space="preserve"> </w:t>
      </w:r>
      <w:r w:rsidRPr="008B13A5">
        <w:rPr>
          <w:noProof/>
        </w:rPr>
        <w:t>(</w:t>
      </w:r>
      <w:r w:rsidRPr="008B13A5">
        <w:rPr>
          <w:rStyle w:val="FootnoteReference"/>
          <w:noProof/>
        </w:rPr>
        <w:footnoteReference w:id="208"/>
      </w:r>
      <w:r w:rsidRPr="008B13A5">
        <w:rPr>
          <w:noProof/>
        </w:rPr>
        <w:t xml:space="preserve">) highlight that the largest shortages will occur in </w:t>
      </w:r>
      <w:r w:rsidRPr="008B13A5">
        <w:rPr>
          <w:rStyle w:val="Strong"/>
          <w:noProof/>
        </w:rPr>
        <w:t>technicians, process engineers, and software/automation specialists</w:t>
      </w:r>
      <w:r w:rsidRPr="008B13A5">
        <w:rPr>
          <w:noProof/>
        </w:rPr>
        <w:t xml:space="preserve">, reflecting the shift toward </w:t>
      </w:r>
      <w:r w:rsidRPr="008B13A5">
        <w:rPr>
          <w:rStyle w:val="Strong"/>
          <w:noProof/>
        </w:rPr>
        <w:t>smart manufacturing</w:t>
      </w:r>
      <w:r w:rsidRPr="008B13A5">
        <w:rPr>
          <w:b/>
          <w:bCs/>
          <w:noProof/>
        </w:rPr>
        <w:t xml:space="preserve">, </w:t>
      </w:r>
      <w:r w:rsidRPr="008B13A5">
        <w:rPr>
          <w:rStyle w:val="Strong"/>
          <w:noProof/>
        </w:rPr>
        <w:t>advanced materials</w:t>
      </w:r>
      <w:r w:rsidRPr="008B13A5">
        <w:rPr>
          <w:noProof/>
        </w:rPr>
        <w:t xml:space="preserve">, and </w:t>
      </w:r>
      <w:r w:rsidRPr="008B13A5">
        <w:rPr>
          <w:rStyle w:val="Strong"/>
          <w:noProof/>
        </w:rPr>
        <w:t>digital design integration</w:t>
      </w:r>
      <w:r w:rsidRPr="008B13A5">
        <w:rPr>
          <w:noProof/>
        </w:rPr>
        <w:t>.</w:t>
      </w:r>
    </w:p>
    <w:p w14:paraId="217E9537" w14:textId="3575E7DC" w:rsidR="00EC49AF" w:rsidRPr="008B13A5" w:rsidRDefault="00EC49AF" w:rsidP="00F47256">
      <w:pPr>
        <w:pStyle w:val="NormalWeb"/>
        <w:numPr>
          <w:ilvl w:val="0"/>
          <w:numId w:val="27"/>
        </w:numPr>
        <w:jc w:val="both"/>
        <w:rPr>
          <w:noProof/>
        </w:rPr>
      </w:pPr>
      <w:r w:rsidRPr="008B13A5">
        <w:rPr>
          <w:rStyle w:val="Strong"/>
          <w:noProof/>
        </w:rPr>
        <w:t>Geographical concentration:</w:t>
      </w:r>
      <w:r w:rsidRPr="008B13A5">
        <w:rPr>
          <w:noProof/>
        </w:rPr>
        <w:t xml:space="preserve"> Existing clusters (Dresden, Grenoble, Eindhoven, Catania, Southern Austria) attract investment and provide higher hiring efficiency, but new greenfield sites face slower ramp-up due to limited local talent pools which is highlighted in McKinsey’s (2024)</w:t>
      </w:r>
      <w:r w:rsidR="00F274DD" w:rsidRPr="008B13A5">
        <w:rPr>
          <w:noProof/>
        </w:rPr>
        <w:t xml:space="preserve"> </w:t>
      </w:r>
      <w:r w:rsidRPr="008B13A5">
        <w:rPr>
          <w:noProof/>
        </w:rPr>
        <w:t>(</w:t>
      </w:r>
      <w:r w:rsidRPr="008B13A5">
        <w:rPr>
          <w:rStyle w:val="FootnoteReference"/>
          <w:noProof/>
        </w:rPr>
        <w:footnoteReference w:id="209"/>
      </w:r>
      <w:r w:rsidRPr="008B13A5">
        <w:rPr>
          <w:noProof/>
        </w:rPr>
        <w:t>) analysis.</w:t>
      </w:r>
    </w:p>
    <w:p w14:paraId="102F1C80" w14:textId="25584042" w:rsidR="00EC49AF" w:rsidRPr="008B13A5" w:rsidRDefault="00EC49AF" w:rsidP="00EC49AF">
      <w:pPr>
        <w:rPr>
          <w:noProof/>
        </w:rPr>
      </w:pPr>
      <w:r w:rsidRPr="008B13A5">
        <w:rPr>
          <w:rStyle w:val="Strong"/>
          <w:noProof/>
        </w:rPr>
        <w:t>Implications for employment and skills</w:t>
      </w:r>
    </w:p>
    <w:p w14:paraId="7A6512D8" w14:textId="24D17E42" w:rsidR="00EC49AF" w:rsidRPr="008B13A5" w:rsidRDefault="00EC49AF" w:rsidP="00F47256">
      <w:pPr>
        <w:pStyle w:val="NormalWeb"/>
        <w:numPr>
          <w:ilvl w:val="0"/>
          <w:numId w:val="28"/>
        </w:numPr>
        <w:jc w:val="both"/>
        <w:rPr>
          <w:noProof/>
        </w:rPr>
      </w:pPr>
      <w:r w:rsidRPr="008B13A5">
        <w:rPr>
          <w:rStyle w:val="Strong"/>
          <w:noProof/>
        </w:rPr>
        <w:t>Job creation:</w:t>
      </w:r>
      <w:r w:rsidRPr="008B13A5">
        <w:rPr>
          <w:noProof/>
        </w:rPr>
        <w:t xml:space="preserve"> The EU semiconductor workforce is expected to continue expanding through 2030 as ongoing investments reach full capacity. By 2035, employment growth slows but remains positive, driven by ecosystem expansion in equipment, materials, and specialised manufacturing. However, realised employment depends on mitigating the skills bottleneck.</w:t>
      </w:r>
    </w:p>
    <w:p w14:paraId="1290D917" w14:textId="7EE2CB45" w:rsidR="00EC49AF" w:rsidRPr="008B13A5" w:rsidRDefault="00EC49AF" w:rsidP="00F47256">
      <w:pPr>
        <w:pStyle w:val="NormalWeb"/>
        <w:numPr>
          <w:ilvl w:val="0"/>
          <w:numId w:val="28"/>
        </w:numPr>
        <w:jc w:val="both"/>
        <w:rPr>
          <w:noProof/>
        </w:rPr>
      </w:pPr>
      <w:r w:rsidRPr="008B13A5">
        <w:rPr>
          <w:rStyle w:val="Strong"/>
          <w:noProof/>
        </w:rPr>
        <w:t>Job quality:</w:t>
      </w:r>
      <w:r w:rsidRPr="008B13A5">
        <w:rPr>
          <w:noProof/>
        </w:rPr>
        <w:t xml:space="preserve"> Semiconductor jobs remain among the most stable and best-paid in manufacturing. High skill intensity and safety standards support good working conditions and strong career progression prospects.</w:t>
      </w:r>
    </w:p>
    <w:p w14:paraId="59E4FB21" w14:textId="2AA8A12F" w:rsidR="00EC49AF" w:rsidRPr="008B13A5" w:rsidRDefault="00EC49AF" w:rsidP="00F47256">
      <w:pPr>
        <w:pStyle w:val="NormalWeb"/>
        <w:numPr>
          <w:ilvl w:val="0"/>
          <w:numId w:val="28"/>
        </w:numPr>
        <w:jc w:val="both"/>
        <w:rPr>
          <w:noProof/>
        </w:rPr>
      </w:pPr>
      <w:r w:rsidRPr="008B13A5">
        <w:rPr>
          <w:rStyle w:val="Strong"/>
          <w:noProof/>
        </w:rPr>
        <w:t>Skills demand:</w:t>
      </w:r>
      <w:r w:rsidRPr="008B13A5">
        <w:rPr>
          <w:noProof/>
        </w:rPr>
        <w:t xml:space="preserve"> The composition of employment shifts toward </w:t>
      </w:r>
      <w:r w:rsidRPr="008B13A5">
        <w:rPr>
          <w:rStyle w:val="Strong"/>
          <w:noProof/>
        </w:rPr>
        <w:t>process automation</w:t>
      </w:r>
      <w:r w:rsidRPr="008B13A5">
        <w:rPr>
          <w:b/>
          <w:bCs/>
          <w:noProof/>
        </w:rPr>
        <w:t xml:space="preserve">, </w:t>
      </w:r>
      <w:r w:rsidRPr="008B13A5">
        <w:rPr>
          <w:rStyle w:val="Strong"/>
          <w:noProof/>
        </w:rPr>
        <w:t>embedded software</w:t>
      </w:r>
      <w:r w:rsidRPr="008B13A5">
        <w:rPr>
          <w:b/>
          <w:bCs/>
          <w:noProof/>
        </w:rPr>
        <w:t xml:space="preserve">, </w:t>
      </w:r>
      <w:r w:rsidRPr="008B13A5">
        <w:rPr>
          <w:rStyle w:val="Strong"/>
          <w:noProof/>
        </w:rPr>
        <w:t>AI/ML-assisted design</w:t>
      </w:r>
      <w:r w:rsidRPr="008B13A5">
        <w:rPr>
          <w:b/>
          <w:bCs/>
          <w:noProof/>
        </w:rPr>
        <w:t xml:space="preserve">, </w:t>
      </w:r>
      <w:r w:rsidRPr="008B13A5">
        <w:rPr>
          <w:noProof/>
        </w:rPr>
        <w:t>and</w:t>
      </w:r>
      <w:r w:rsidRPr="008B13A5">
        <w:rPr>
          <w:b/>
          <w:bCs/>
          <w:noProof/>
        </w:rPr>
        <w:t xml:space="preserve"> </w:t>
      </w:r>
      <w:r w:rsidRPr="008B13A5">
        <w:rPr>
          <w:rStyle w:val="Strong"/>
          <w:noProof/>
        </w:rPr>
        <w:t>compound-materials engineering</w:t>
      </w:r>
      <w:r w:rsidRPr="008B13A5">
        <w:rPr>
          <w:noProof/>
        </w:rPr>
        <w:t>. Without significant training acceleration, the EU risks persistent reliance on third-country experts and cross-border mobility.</w:t>
      </w:r>
    </w:p>
    <w:p w14:paraId="40830E89" w14:textId="22D8FA35" w:rsidR="00EC49AF" w:rsidRPr="008B13A5" w:rsidRDefault="00EC49AF" w:rsidP="00F47256">
      <w:pPr>
        <w:pStyle w:val="NormalWeb"/>
        <w:numPr>
          <w:ilvl w:val="0"/>
          <w:numId w:val="28"/>
        </w:numPr>
        <w:jc w:val="both"/>
        <w:rPr>
          <w:noProof/>
        </w:rPr>
      </w:pPr>
      <w:r w:rsidRPr="008B13A5">
        <w:rPr>
          <w:rStyle w:val="Strong"/>
          <w:noProof/>
        </w:rPr>
        <w:t>Systemic risk:</w:t>
      </w:r>
      <w:r w:rsidRPr="008B13A5">
        <w:rPr>
          <w:noProof/>
        </w:rPr>
        <w:t xml:space="preserve"> Labour shortages may become a structural drag on the effectiveness of Chips Act investments, limiting capacity utilisation and slowing Europe’s technology-leadership ambitions.</w:t>
      </w:r>
    </w:p>
    <w:p w14:paraId="7ED166AC" w14:textId="5FB5070A" w:rsidR="00EC49AF" w:rsidRPr="008B13A5" w:rsidRDefault="00EC49AF" w:rsidP="0005276B">
      <w:pPr>
        <w:pStyle w:val="Heading2"/>
        <w:rPr>
          <w:noProof/>
        </w:rPr>
      </w:pPr>
      <w:bookmarkStart w:id="275" w:name="_Toc217394779"/>
      <w:bookmarkStart w:id="276" w:name="_Toc217395630"/>
      <w:bookmarkStart w:id="277" w:name="_Toc217396479"/>
      <w:bookmarkStart w:id="278" w:name="_Toc1059518024"/>
      <w:bookmarkStart w:id="279" w:name="_Toc223620640"/>
      <w:bookmarkStart w:id="280" w:name="_Toc230010460"/>
      <w:r w:rsidRPr="008B13A5">
        <w:rPr>
          <w:noProof/>
        </w:rPr>
        <w:t>SME/start-up ecosystem in the EU semiconductor industry</w:t>
      </w:r>
      <w:bookmarkEnd w:id="275"/>
      <w:bookmarkEnd w:id="276"/>
      <w:bookmarkEnd w:id="277"/>
      <w:bookmarkEnd w:id="278"/>
      <w:bookmarkEnd w:id="279"/>
      <w:bookmarkEnd w:id="280"/>
    </w:p>
    <w:p w14:paraId="425CCA92" w14:textId="53CBCE3D" w:rsidR="00EC49AF" w:rsidRPr="008B13A5" w:rsidRDefault="00EC49AF" w:rsidP="0005276B">
      <w:pPr>
        <w:pStyle w:val="Heading3"/>
        <w:rPr>
          <w:noProof/>
        </w:rPr>
      </w:pPr>
      <w:bookmarkStart w:id="281" w:name="_Toc217395631"/>
      <w:bookmarkStart w:id="282" w:name="_Toc217396480"/>
      <w:bookmarkStart w:id="283" w:name="_Toc911480582"/>
      <w:bookmarkStart w:id="284" w:name="_Toc223620641"/>
      <w:bookmarkStart w:id="285" w:name="_Toc230010461"/>
      <w:r w:rsidRPr="008B13A5">
        <w:rPr>
          <w:noProof/>
        </w:rPr>
        <w:t>Establishing a starting point for BAU scenario</w:t>
      </w:r>
      <w:bookmarkEnd w:id="281"/>
      <w:bookmarkEnd w:id="282"/>
      <w:bookmarkEnd w:id="283"/>
      <w:bookmarkEnd w:id="284"/>
      <w:bookmarkEnd w:id="285"/>
    </w:p>
    <w:p w14:paraId="7CD42711" w14:textId="19F7C7E8" w:rsidR="00EC49AF" w:rsidRPr="008B13A5" w:rsidRDefault="00EC49AF" w:rsidP="00EC49AF">
      <w:pPr>
        <w:pStyle w:val="NormalWeb"/>
        <w:shd w:val="clear" w:color="auto" w:fill="FAFAFA"/>
        <w:spacing w:before="0" w:beforeAutospacing="0"/>
        <w:jc w:val="both"/>
        <w:rPr>
          <w:noProof/>
          <w:color w:val="212121"/>
        </w:rPr>
      </w:pPr>
      <w:r w:rsidRPr="008B13A5">
        <w:rPr>
          <w:noProof/>
          <w:color w:val="212121"/>
        </w:rPr>
        <w:t>Small and Medium-sized Enterprises (SMEs) in the EU semiconductor industry face specific conditions and challenges. Historically, information on smaller players has been limited, providing only a partial picture of their involvement compared to larger companies</w:t>
      </w:r>
      <w:r w:rsidR="00F274DD" w:rsidRPr="008B13A5">
        <w:rPr>
          <w:noProof/>
          <w:color w:val="212121"/>
        </w:rPr>
        <w:t xml:space="preserve"> </w:t>
      </w:r>
      <w:r w:rsidRPr="008B13A5">
        <w:rPr>
          <w:noProof/>
          <w:color w:val="212121"/>
        </w:rPr>
        <w:t>(</w:t>
      </w:r>
      <w:r w:rsidRPr="008B13A5">
        <w:rPr>
          <w:rStyle w:val="FootnoteReference"/>
          <w:noProof/>
          <w:color w:val="212121"/>
        </w:rPr>
        <w:footnoteReference w:id="210"/>
      </w:r>
      <w:r w:rsidRPr="008B13A5">
        <w:rPr>
          <w:noProof/>
          <w:color w:val="212121"/>
        </w:rPr>
        <w:t>).</w:t>
      </w:r>
    </w:p>
    <w:p w14:paraId="71EBA3D2" w14:textId="721F60D1" w:rsidR="00EC49AF" w:rsidRPr="008B13A5" w:rsidRDefault="00EC49AF" w:rsidP="00EC49AF">
      <w:pPr>
        <w:pStyle w:val="NormalWeb"/>
        <w:shd w:val="clear" w:color="auto" w:fill="FAFAFA"/>
        <w:jc w:val="both"/>
        <w:rPr>
          <w:noProof/>
          <w:color w:val="212121"/>
        </w:rPr>
      </w:pPr>
      <w:r w:rsidRPr="008B13A5">
        <w:rPr>
          <w:noProof/>
          <w:color w:val="212121"/>
        </w:rPr>
        <w:t>One significant weakness in the EU semiconductor industry is the need for stronger cooperation between large companies and innovative SMEs, as SMEs currently struggle to gain attention</w:t>
      </w:r>
      <w:r w:rsidR="00F274DD" w:rsidRPr="008B13A5">
        <w:rPr>
          <w:noProof/>
          <w:color w:val="212121"/>
        </w:rPr>
        <w:t xml:space="preserve"> </w:t>
      </w:r>
      <w:r w:rsidRPr="008B13A5">
        <w:rPr>
          <w:noProof/>
          <w:color w:val="212121"/>
        </w:rPr>
        <w:t>(</w:t>
      </w:r>
      <w:r w:rsidRPr="008B13A5">
        <w:rPr>
          <w:rStyle w:val="FootnoteReference"/>
          <w:noProof/>
          <w:color w:val="212121"/>
        </w:rPr>
        <w:footnoteReference w:id="211"/>
      </w:r>
      <w:r w:rsidRPr="008B13A5">
        <w:rPr>
          <w:noProof/>
          <w:color w:val="212121"/>
        </w:rPr>
        <w:t>). This is particularly evident in the design of advanced processors, despite the EU having a thriving ecosystem of startups in this area</w:t>
      </w:r>
      <w:r w:rsidR="00F274DD" w:rsidRPr="008B13A5">
        <w:rPr>
          <w:noProof/>
          <w:color w:val="212121"/>
        </w:rPr>
        <w:t xml:space="preserve"> </w:t>
      </w:r>
      <w:r w:rsidRPr="008B13A5">
        <w:rPr>
          <w:noProof/>
          <w:color w:val="212121"/>
        </w:rPr>
        <w:t>(</w:t>
      </w:r>
      <w:r w:rsidRPr="008B13A5">
        <w:rPr>
          <w:rStyle w:val="FootnoteReference"/>
          <w:noProof/>
          <w:color w:val="212121"/>
        </w:rPr>
        <w:footnoteReference w:id="212"/>
      </w:r>
      <w:r w:rsidRPr="008B13A5">
        <w:rPr>
          <w:noProof/>
          <w:color w:val="212121"/>
        </w:rPr>
        <w:t>). Large firms also tend to have more diversified expenditure on inputs across geographical areas than SMEs</w:t>
      </w:r>
      <w:r w:rsidR="00F274DD" w:rsidRPr="008B13A5">
        <w:rPr>
          <w:noProof/>
          <w:color w:val="212121"/>
        </w:rPr>
        <w:t xml:space="preserve"> </w:t>
      </w:r>
      <w:r w:rsidRPr="008B13A5">
        <w:rPr>
          <w:noProof/>
          <w:color w:val="212121"/>
        </w:rPr>
        <w:t>(</w:t>
      </w:r>
      <w:r w:rsidRPr="008B13A5">
        <w:rPr>
          <w:rStyle w:val="FootnoteReference"/>
          <w:noProof/>
          <w:color w:val="212121"/>
        </w:rPr>
        <w:footnoteReference w:id="213"/>
      </w:r>
      <w:r w:rsidRPr="008B13A5">
        <w:rPr>
          <w:noProof/>
          <w:color w:val="212121"/>
        </w:rPr>
        <w:t>).</w:t>
      </w:r>
    </w:p>
    <w:p w14:paraId="77F897D0" w14:textId="3B327E5E" w:rsidR="00EC49AF" w:rsidRPr="008B13A5" w:rsidRDefault="00EC49AF" w:rsidP="00EC49AF">
      <w:pPr>
        <w:pStyle w:val="NormalWeb"/>
        <w:shd w:val="clear" w:color="auto" w:fill="FAFAFA"/>
        <w:jc w:val="both"/>
        <w:rPr>
          <w:noProof/>
          <w:color w:val="212121"/>
        </w:rPr>
      </w:pPr>
      <w:r w:rsidRPr="008B13A5">
        <w:rPr>
          <w:noProof/>
          <w:color w:val="212121"/>
        </w:rPr>
        <w:t>To address these challenges, the Chips Act includes initiatives aimed at supporting SMEs and startups. These include a design platform designed to lower barriers to entry for chip design. Additionally, the Chips Fund offers various equity and debt solutions for SMEs and startups. Competence Centres are also being established in member states to facilitate access to the virtual design platform and pilot lines. The opening of these pilot lines is intended to provide SMEs and startups with easier and faster access to foundry services for both novel and older technologies.</w:t>
      </w:r>
    </w:p>
    <w:p w14:paraId="16E4EF64" w14:textId="1B269EB0" w:rsidR="00EC49AF" w:rsidRPr="008B13A5" w:rsidRDefault="00EC49AF" w:rsidP="00EC49AF">
      <w:pPr>
        <w:rPr>
          <w:noProof/>
          <w:lang w:eastAsia="en-GB"/>
        </w:rPr>
      </w:pPr>
      <w:r w:rsidRPr="008B13A5">
        <w:rPr>
          <w:b/>
          <w:bCs/>
          <w:noProof/>
          <w:lang w:eastAsia="en-GB"/>
        </w:rPr>
        <w:t>SME and start-up role in the value chain</w:t>
      </w:r>
      <w:r w:rsidRPr="008B13A5">
        <w:rPr>
          <w:noProof/>
          <w:lang w:eastAsia="en-GB"/>
        </w:rPr>
        <w:t>: Europe’s semiconductor ecosystem, in terms of number of companies, is dominated by small and medium-sized enterprises, which account for roughly 69% of all firms across the value chain.</w:t>
      </w:r>
    </w:p>
    <w:p w14:paraId="67C0874C" w14:textId="3BD69BA6" w:rsidR="00EC49AF" w:rsidRPr="008B13A5" w:rsidRDefault="00EC49AF" w:rsidP="00EC49AF">
      <w:pPr>
        <w:rPr>
          <w:noProof/>
          <w:lang w:eastAsia="en-GB"/>
        </w:rPr>
      </w:pPr>
      <w:r w:rsidRPr="008B13A5">
        <w:rPr>
          <w:noProof/>
          <w:lang w:eastAsia="en-GB"/>
        </w:rPr>
        <w:t>The EU hosts a large number of small and mid-sized champions in equipment, specialty materials, sensors and MEMS, power electronics, and optoelectronics, where innovation and domain expertise matter more than scale. However, it has far fewer successful scale-ups in fabless design and virtually no globally competitive EDA providers beyond Siemens EDA (the result of the acquisition of US-based Mentor Graphics by Siemens AG in 2017). This structural pattern mirrors Europe’s technological strengths in optoelectronics, MEMS, and power semiconductors, but also its relative weakness in advanced logic design and digital system-on-chip innovation, where large U.S. and Asian firms dominate</w:t>
      </w:r>
      <w:r w:rsidR="00F274DD" w:rsidRPr="008B13A5">
        <w:rPr>
          <w:noProof/>
          <w:lang w:eastAsia="en-GB"/>
        </w:rPr>
        <w:t xml:space="preserve"> </w:t>
      </w:r>
      <w:r w:rsidRPr="008B13A5">
        <w:rPr>
          <w:noProof/>
          <w:lang w:eastAsia="en-GB"/>
        </w:rPr>
        <w:t>(</w:t>
      </w:r>
      <w:r w:rsidRPr="008B13A5">
        <w:rPr>
          <w:rStyle w:val="FootnoteReference"/>
          <w:noProof/>
          <w:lang w:eastAsia="en-GB"/>
        </w:rPr>
        <w:footnoteReference w:id="214"/>
      </w:r>
      <w:r w:rsidRPr="008B13A5">
        <w:rPr>
          <w:noProof/>
          <w:lang w:eastAsia="en-GB"/>
        </w:rPr>
        <w:t>).</w:t>
      </w:r>
    </w:p>
    <w:p w14:paraId="601362BF" w14:textId="33A284CE" w:rsidR="00EC49AF" w:rsidRPr="008B13A5" w:rsidRDefault="00EC49AF" w:rsidP="00EC49AF">
      <w:pPr>
        <w:rPr>
          <w:noProof/>
          <w:lang w:eastAsia="en-GB"/>
        </w:rPr>
      </w:pPr>
      <w:r w:rsidRPr="008B13A5" w:rsidDel="00246164">
        <w:rPr>
          <w:b/>
          <w:noProof/>
          <w:lang w:eastAsia="en-GB"/>
        </w:rPr>
        <w:t>Access to finance and scale-up pathways</w:t>
      </w:r>
      <w:r w:rsidRPr="008B13A5" w:rsidDel="00246164">
        <w:rPr>
          <w:noProof/>
          <w:lang w:eastAsia="en-GB"/>
        </w:rPr>
        <w:t xml:space="preserve">: </w:t>
      </w:r>
      <w:r w:rsidRPr="008B13A5">
        <w:rPr>
          <w:noProof/>
          <w:lang w:eastAsia="en-GB"/>
        </w:rPr>
        <w:t xml:space="preserve">Persistent late-stage funding gaps constrain EU chip start-ups and fabless SMEs from moving beyond prototypes to growth manufacturing. Although policy instruments such as the Chips Fund and InvestEU exist on paper, </w:t>
      </w:r>
      <w:r w:rsidRPr="008B13A5">
        <w:rPr>
          <w:noProof/>
        </w:rPr>
        <w:t>Interface (2024)</w:t>
      </w:r>
      <w:r w:rsidR="00F274DD" w:rsidRPr="008B13A5">
        <w:rPr>
          <w:noProof/>
        </w:rPr>
        <w:t xml:space="preserve"> </w:t>
      </w:r>
      <w:r w:rsidRPr="008B13A5">
        <w:rPr>
          <w:noProof/>
        </w:rPr>
        <w:t>(</w:t>
      </w:r>
      <w:r w:rsidRPr="008B13A5">
        <w:rPr>
          <w:rStyle w:val="FootnoteReference"/>
          <w:noProof/>
        </w:rPr>
        <w:footnoteReference w:id="215"/>
      </w:r>
      <w:r w:rsidRPr="008B13A5">
        <w:rPr>
          <w:noProof/>
        </w:rPr>
        <w:t>), IFRI (2024)</w:t>
      </w:r>
      <w:r w:rsidR="00F274DD" w:rsidRPr="008B13A5">
        <w:rPr>
          <w:noProof/>
        </w:rPr>
        <w:t xml:space="preserve"> </w:t>
      </w:r>
      <w:r w:rsidRPr="008B13A5">
        <w:rPr>
          <w:noProof/>
        </w:rPr>
        <w:t>(</w:t>
      </w:r>
      <w:r w:rsidRPr="008B13A5">
        <w:rPr>
          <w:rStyle w:val="FootnoteReference"/>
          <w:noProof/>
        </w:rPr>
        <w:footnoteReference w:id="216"/>
      </w:r>
      <w:r w:rsidRPr="008B13A5">
        <w:rPr>
          <w:noProof/>
        </w:rPr>
        <w:t xml:space="preserve">), </w:t>
      </w:r>
      <w:r w:rsidRPr="008B13A5">
        <w:rPr>
          <w:noProof/>
          <w:lang w:eastAsia="en-GB"/>
        </w:rPr>
        <w:t>and JRC (2025)</w:t>
      </w:r>
      <w:r w:rsidR="00F274DD" w:rsidRPr="008B13A5">
        <w:rPr>
          <w:noProof/>
          <w:lang w:eastAsia="en-GB"/>
        </w:rPr>
        <w:t xml:space="preserve"> </w:t>
      </w:r>
      <w:r w:rsidRPr="008B13A5">
        <w:rPr>
          <w:noProof/>
          <w:lang w:eastAsia="en-GB"/>
        </w:rPr>
        <w:t>(</w:t>
      </w:r>
      <w:r w:rsidRPr="008B13A5">
        <w:rPr>
          <w:rStyle w:val="FootnoteReference"/>
          <w:noProof/>
          <w:lang w:eastAsia="en-GB"/>
        </w:rPr>
        <w:footnoteReference w:id="217"/>
      </w:r>
      <w:r w:rsidRPr="008B13A5">
        <w:rPr>
          <w:noProof/>
          <w:lang w:eastAsia="en-GB"/>
        </w:rPr>
        <w:t>) note that investment capacity and deal flow remain limited compared with U.S. and Asian ecosystems. McKinsey (2024)</w:t>
      </w:r>
      <w:r w:rsidR="00F274DD" w:rsidRPr="008B13A5">
        <w:rPr>
          <w:noProof/>
          <w:lang w:eastAsia="en-GB"/>
        </w:rPr>
        <w:t xml:space="preserve"> </w:t>
      </w:r>
      <w:r w:rsidRPr="008B13A5">
        <w:rPr>
          <w:noProof/>
          <w:lang w:eastAsia="en-GB"/>
        </w:rPr>
        <w:t>(</w:t>
      </w:r>
      <w:r w:rsidRPr="008B13A5">
        <w:rPr>
          <w:rStyle w:val="FootnoteReference"/>
          <w:noProof/>
          <w:lang w:eastAsia="en-GB"/>
        </w:rPr>
        <w:footnoteReference w:id="218"/>
      </w:r>
      <w:r w:rsidRPr="008B13A5">
        <w:rPr>
          <w:noProof/>
          <w:lang w:eastAsia="en-GB"/>
        </w:rPr>
        <w:t>) similarly highlights Europe’s structural deficit in late-stage venture capital and corporate investment.</w:t>
      </w:r>
    </w:p>
    <w:p w14:paraId="62C0280E" w14:textId="46E20991" w:rsidR="00EC49AF" w:rsidRPr="008B13A5" w:rsidRDefault="00EC49AF" w:rsidP="00EC49AF">
      <w:pPr>
        <w:rPr>
          <w:noProof/>
          <w:lang w:eastAsia="en-GB"/>
        </w:rPr>
      </w:pPr>
      <w:r w:rsidRPr="008B13A5">
        <w:rPr>
          <w:b/>
          <w:bCs/>
          <w:noProof/>
          <w:lang w:eastAsia="en-GB"/>
        </w:rPr>
        <w:t>Access to shared infrastructure and tools</w:t>
      </w:r>
      <w:r w:rsidRPr="008B13A5">
        <w:rPr>
          <w:noProof/>
          <w:lang w:eastAsia="en-GB"/>
        </w:rPr>
        <w:t>: The Chips Act introduced a Design Platform (DP), a network of competence centres, pilot lines, and a</w:t>
      </w:r>
      <w:r w:rsidR="007F55C8">
        <w:rPr>
          <w:noProof/>
          <w:lang w:eastAsia="en-GB"/>
        </w:rPr>
        <w:t xml:space="preserve"> </w:t>
      </w:r>
      <w:r w:rsidRPr="008B13A5">
        <w:rPr>
          <w:noProof/>
          <w:lang w:eastAsia="en-GB"/>
        </w:rPr>
        <w:t>Chips Fund precisely to lower barriers for SMEs and start-ups. These measures are designed to ease access to EDA/IP, multi-project wafers (MPWs), and expert support, and to blend equity/debt for young firms. Implementation is underway but still maturing; practical access and throughput for SMEs varies by Member State.</w:t>
      </w:r>
    </w:p>
    <w:p w14:paraId="00CD85CB" w14:textId="4FB41BA2" w:rsidR="00EC49AF" w:rsidRPr="008B13A5" w:rsidRDefault="00EC49AF" w:rsidP="00EC49AF">
      <w:pPr>
        <w:rPr>
          <w:noProof/>
          <w:highlight w:val="yellow"/>
          <w:lang w:eastAsia="en-GB"/>
        </w:rPr>
      </w:pPr>
      <w:r w:rsidRPr="008B13A5">
        <w:rPr>
          <w:b/>
          <w:bCs/>
          <w:noProof/>
          <w:lang w:eastAsia="en-GB"/>
        </w:rPr>
        <w:t>Administrative burden and access to support</w:t>
      </w:r>
      <w:r w:rsidRPr="008B13A5">
        <w:rPr>
          <w:noProof/>
          <w:lang w:eastAsia="en-GB"/>
        </w:rPr>
        <w:t xml:space="preserve">: </w:t>
      </w:r>
      <w:r w:rsidRPr="008B13A5">
        <w:rPr>
          <w:noProof/>
        </w:rPr>
        <w:t>Implementation of the Chips Act spans several overlapping instruments</w:t>
      </w:r>
      <w:r w:rsidR="00F14600">
        <w:rPr>
          <w:noProof/>
        </w:rPr>
        <w:t>:</w:t>
      </w:r>
      <w:r w:rsidRPr="008B13A5">
        <w:rPr>
          <w:noProof/>
        </w:rPr>
        <w:t xml:space="preserve"> the Chips Joint Undertaking, </w:t>
      </w:r>
      <w:r w:rsidR="005F787D">
        <w:rPr>
          <w:noProof/>
        </w:rPr>
        <w:t xml:space="preserve">the </w:t>
      </w:r>
      <w:r w:rsidRPr="008B13A5">
        <w:rPr>
          <w:noProof/>
        </w:rPr>
        <w:t xml:space="preserve">Chips Fund, </w:t>
      </w:r>
      <w:r w:rsidR="005F787D">
        <w:rPr>
          <w:noProof/>
        </w:rPr>
        <w:t xml:space="preserve">the </w:t>
      </w:r>
      <w:r w:rsidRPr="008B13A5">
        <w:rPr>
          <w:noProof/>
        </w:rPr>
        <w:t xml:space="preserve">Design Platform, national state-aid schemes under Pillar II and IPCEI ME2, as well as Horizon Europe and InvestEU windows. Each of them has a separate application, eligibility, and reporting requirements. For smaller firms, this multi-layered structure results in high fixed compliance costs and lengthy approval timelines. The </w:t>
      </w:r>
      <w:r w:rsidRPr="008B13A5">
        <w:rPr>
          <w:rStyle w:val="Strong"/>
          <w:noProof/>
        </w:rPr>
        <w:t>ECA (2025)</w:t>
      </w:r>
      <w:r w:rsidR="00F274DD" w:rsidRPr="008B13A5">
        <w:rPr>
          <w:rStyle w:val="Strong"/>
          <w:noProof/>
        </w:rPr>
        <w:t xml:space="preserve"> </w:t>
      </w:r>
      <w:r w:rsidRPr="008B13A5">
        <w:rPr>
          <w:rStyle w:val="Strong"/>
          <w:noProof/>
        </w:rPr>
        <w:t>(</w:t>
      </w:r>
      <w:r w:rsidRPr="008B13A5">
        <w:rPr>
          <w:rStyle w:val="FootnoteReference"/>
          <w:noProof/>
        </w:rPr>
        <w:footnoteReference w:id="219"/>
      </w:r>
      <w:r w:rsidRPr="008B13A5">
        <w:rPr>
          <w:rStyle w:val="Strong"/>
          <w:noProof/>
        </w:rPr>
        <w:t>)</w:t>
      </w:r>
      <w:r w:rsidRPr="008B13A5">
        <w:rPr>
          <w:noProof/>
        </w:rPr>
        <w:t xml:space="preserve">  and Interface (2024)</w:t>
      </w:r>
      <w:r w:rsidR="00F274DD" w:rsidRPr="008B13A5">
        <w:rPr>
          <w:noProof/>
        </w:rPr>
        <w:t xml:space="preserve"> </w:t>
      </w:r>
      <w:r w:rsidRPr="008B13A5">
        <w:rPr>
          <w:noProof/>
        </w:rPr>
        <w:t>(</w:t>
      </w:r>
      <w:r w:rsidRPr="008B13A5">
        <w:rPr>
          <w:rStyle w:val="FootnoteReference"/>
          <w:noProof/>
        </w:rPr>
        <w:footnoteReference w:id="220"/>
      </w:r>
      <w:r w:rsidRPr="008B13A5">
        <w:rPr>
          <w:noProof/>
        </w:rPr>
        <w:t>) note that the absence of a single</w:t>
      </w:r>
      <w:r w:rsidR="00DE5FD4" w:rsidRPr="008B13A5">
        <w:rPr>
          <w:noProof/>
        </w:rPr>
        <w:t>-</w:t>
      </w:r>
      <w:r w:rsidRPr="008B13A5">
        <w:rPr>
          <w:noProof/>
        </w:rPr>
        <w:t>entry point and duplication between EU and national levels increase transaction costs, while IFRI (2024)</w:t>
      </w:r>
      <w:r w:rsidR="00F274DD" w:rsidRPr="008B13A5">
        <w:rPr>
          <w:noProof/>
        </w:rPr>
        <w:t xml:space="preserve"> </w:t>
      </w:r>
      <w:r w:rsidRPr="008B13A5">
        <w:rPr>
          <w:noProof/>
        </w:rPr>
        <w:t>(</w:t>
      </w:r>
      <w:r w:rsidRPr="008B13A5">
        <w:rPr>
          <w:rStyle w:val="FootnoteReference"/>
          <w:noProof/>
        </w:rPr>
        <w:footnoteReference w:id="221"/>
      </w:r>
      <w:r w:rsidRPr="008B13A5">
        <w:rPr>
          <w:noProof/>
        </w:rPr>
        <w:t xml:space="preserve">) and </w:t>
      </w:r>
      <w:r w:rsidRPr="008B13A5">
        <w:rPr>
          <w:noProof/>
          <w:lang w:eastAsia="en-GB"/>
        </w:rPr>
        <w:t>JRC (2025)</w:t>
      </w:r>
      <w:r w:rsidR="00F274DD" w:rsidRPr="008B13A5">
        <w:rPr>
          <w:noProof/>
          <w:lang w:eastAsia="en-GB"/>
        </w:rPr>
        <w:t xml:space="preserve"> </w:t>
      </w:r>
      <w:r w:rsidRPr="008B13A5">
        <w:rPr>
          <w:noProof/>
          <w:lang w:eastAsia="en-GB"/>
        </w:rPr>
        <w:t>(</w:t>
      </w:r>
      <w:r w:rsidRPr="008B13A5">
        <w:rPr>
          <w:rStyle w:val="FootnoteReference"/>
          <w:noProof/>
          <w:lang w:eastAsia="en-GB"/>
        </w:rPr>
        <w:footnoteReference w:id="222"/>
      </w:r>
      <w:r w:rsidRPr="008B13A5">
        <w:rPr>
          <w:noProof/>
          <w:lang w:eastAsia="en-GB"/>
        </w:rPr>
        <w:t xml:space="preserve">) </w:t>
      </w:r>
      <w:r w:rsidRPr="008B13A5">
        <w:rPr>
          <w:noProof/>
        </w:rPr>
        <w:t xml:space="preserve">highlight uneven administrative capacity across Member States, especially in </w:t>
      </w:r>
      <w:r w:rsidR="001B0CD3">
        <w:rPr>
          <w:noProof/>
        </w:rPr>
        <w:t>S</w:t>
      </w:r>
      <w:r w:rsidRPr="008B13A5">
        <w:rPr>
          <w:noProof/>
        </w:rPr>
        <w:t>tate</w:t>
      </w:r>
      <w:r w:rsidR="001B0CD3">
        <w:rPr>
          <w:noProof/>
        </w:rPr>
        <w:t xml:space="preserve"> </w:t>
      </w:r>
      <w:r w:rsidRPr="008B13A5" w:rsidDel="001B0CD3">
        <w:rPr>
          <w:noProof/>
        </w:rPr>
        <w:t>a</w:t>
      </w:r>
      <w:r w:rsidRPr="008B13A5">
        <w:rPr>
          <w:noProof/>
        </w:rPr>
        <w:t xml:space="preserve">id management. SMEs active in cross-border or pilot projects are particularly affected, as differing national procedures often require multiple notifications and audits. Large firms can absorb these costs through dedicated compliance resources, but smaller companies frequently withdraw or forgo participation. As a result, SMEs face slower access to support and lower participation rates in major semiconductor programmes. </w:t>
      </w:r>
    </w:p>
    <w:p w14:paraId="67927504" w14:textId="47FDA308" w:rsidR="00EC49AF" w:rsidRPr="008B13A5" w:rsidRDefault="00EC49AF" w:rsidP="0005276B">
      <w:pPr>
        <w:pStyle w:val="Heading3"/>
        <w:rPr>
          <w:noProof/>
        </w:rPr>
      </w:pPr>
      <w:bookmarkStart w:id="286" w:name="_Toc217395632"/>
      <w:bookmarkStart w:id="287" w:name="_Toc217396481"/>
      <w:bookmarkStart w:id="288" w:name="_Toc966542892"/>
      <w:bookmarkStart w:id="289" w:name="_Toc223620642"/>
      <w:bookmarkStart w:id="290" w:name="_Toc230010462"/>
      <w:r w:rsidRPr="008B13A5">
        <w:rPr>
          <w:noProof/>
        </w:rPr>
        <w:t>Modelling the BAU scenario</w:t>
      </w:r>
      <w:bookmarkEnd w:id="286"/>
      <w:bookmarkEnd w:id="287"/>
      <w:bookmarkEnd w:id="288"/>
      <w:bookmarkEnd w:id="289"/>
      <w:bookmarkEnd w:id="290"/>
    </w:p>
    <w:p w14:paraId="78A0041A" w14:textId="1FF9F85A" w:rsidR="00EC49AF" w:rsidRPr="008B13A5" w:rsidRDefault="00EC49AF" w:rsidP="00BD008E">
      <w:pPr>
        <w:pStyle w:val="Heading4"/>
        <w:rPr>
          <w:noProof/>
          <w:lang w:eastAsia="en-GB"/>
        </w:rPr>
      </w:pPr>
      <w:bookmarkStart w:id="291" w:name="_Toc230010463"/>
      <w:r w:rsidRPr="008B13A5">
        <w:rPr>
          <w:noProof/>
          <w:lang w:eastAsia="en-GB"/>
        </w:rPr>
        <w:t>Access to finance and scale-up</w:t>
      </w:r>
      <w:bookmarkEnd w:id="291"/>
    </w:p>
    <w:p w14:paraId="2DCA4318" w14:textId="4B94F8C2" w:rsidR="00EC49AF" w:rsidRPr="008B13A5" w:rsidRDefault="00EC49AF" w:rsidP="00F47256">
      <w:pPr>
        <w:pStyle w:val="NormalWeb"/>
        <w:numPr>
          <w:ilvl w:val="0"/>
          <w:numId w:val="28"/>
        </w:numPr>
        <w:jc w:val="both"/>
        <w:rPr>
          <w:rStyle w:val="Strong"/>
          <w:b w:val="0"/>
          <w:bCs w:val="0"/>
          <w:noProof/>
        </w:rPr>
      </w:pPr>
      <w:r w:rsidRPr="008B13A5">
        <w:rPr>
          <w:rStyle w:val="Strong"/>
          <w:noProof/>
        </w:rPr>
        <w:t xml:space="preserve">Developments expected under BAU: </w:t>
      </w:r>
      <w:r w:rsidRPr="008B13A5">
        <w:rPr>
          <w:noProof/>
        </w:rPr>
        <w:t>Gradual improvement in seed and Series A availability is expected via the Chips Fund, the Design Platform, and InvestEU windows. However, little progress is anticipated at late-stage growth and expansion rounds, as these financing gaps stem from broader structural weaknesses in the EU capital market. These issues go beyond the scope of sector-specific instruments and cannot be resolved without deeper systemic reforms such as a functioning Capital Markets Union</w:t>
      </w:r>
      <w:r w:rsidRPr="008B13A5">
        <w:rPr>
          <w:rStyle w:val="Strong"/>
          <w:noProof/>
        </w:rPr>
        <w:t>.</w:t>
      </w:r>
    </w:p>
    <w:p w14:paraId="437CCE0E" w14:textId="20061BEE" w:rsidR="00EC49AF" w:rsidRPr="00CA31C5" w:rsidRDefault="00EC49AF" w:rsidP="00F47256">
      <w:pPr>
        <w:pStyle w:val="NormalWeb"/>
        <w:numPr>
          <w:ilvl w:val="0"/>
          <w:numId w:val="28"/>
        </w:numPr>
        <w:jc w:val="both"/>
        <w:rPr>
          <w:rStyle w:val="Strong"/>
          <w:b w:val="0"/>
          <w:bCs w:val="0"/>
          <w:noProof/>
        </w:rPr>
      </w:pPr>
      <w:r w:rsidRPr="008B13A5">
        <w:rPr>
          <w:rStyle w:val="Strong"/>
          <w:noProof/>
        </w:rPr>
        <w:t xml:space="preserve">Rationale: </w:t>
      </w:r>
      <w:r w:rsidRPr="00BD008E">
        <w:rPr>
          <w:rStyle w:val="Strong"/>
          <w:b w:val="0"/>
          <w:noProof/>
        </w:rPr>
        <w:t>Interface (2024)</w:t>
      </w:r>
      <w:r w:rsidR="00F274DD" w:rsidRPr="00BD008E">
        <w:rPr>
          <w:rStyle w:val="Strong"/>
          <w:b w:val="0"/>
          <w:noProof/>
        </w:rPr>
        <w:t xml:space="preserve"> </w:t>
      </w:r>
      <w:r w:rsidRPr="00BD008E">
        <w:rPr>
          <w:rStyle w:val="Strong"/>
          <w:b w:val="0"/>
          <w:noProof/>
        </w:rPr>
        <w:t>(</w:t>
      </w:r>
      <w:r w:rsidRPr="00BD008E">
        <w:rPr>
          <w:rStyle w:val="Strong"/>
          <w:b w:val="0"/>
          <w:noProof/>
          <w:vertAlign w:val="superscript"/>
        </w:rPr>
        <w:footnoteReference w:id="223"/>
      </w:r>
      <w:r w:rsidRPr="00BD008E">
        <w:rPr>
          <w:rStyle w:val="Strong"/>
          <w:b w:val="0"/>
          <w:noProof/>
        </w:rPr>
        <w:t xml:space="preserve">) notes that while the Chips Act’s instruments such as pilot lines, </w:t>
      </w:r>
      <w:r w:rsidR="00D624C2">
        <w:rPr>
          <w:rStyle w:val="Strong"/>
          <w:b w:val="0"/>
          <w:bCs w:val="0"/>
          <w:noProof/>
        </w:rPr>
        <w:t xml:space="preserve">the </w:t>
      </w:r>
      <w:r w:rsidRPr="00BD008E">
        <w:rPr>
          <w:rStyle w:val="Strong"/>
          <w:b w:val="0"/>
          <w:noProof/>
        </w:rPr>
        <w:t>competence centres and the Chips Fund formally exist, their strategic follow-through and implementation capacity remain limited. Member States differ markedly in how they execute and resource these instruments, creating uneven access for start-ups and SMEs. As a result, the transition from prototype development to commercial manufacturing remains constrained, and the pipeline from pilot to product is only partially functional under current conditions.</w:t>
      </w:r>
    </w:p>
    <w:p w14:paraId="25F9BCDD" w14:textId="0C11789F" w:rsidR="00EC49AF" w:rsidRPr="008B13A5" w:rsidRDefault="00EC49AF" w:rsidP="00F47256">
      <w:pPr>
        <w:pStyle w:val="NormalWeb"/>
        <w:numPr>
          <w:ilvl w:val="0"/>
          <w:numId w:val="28"/>
        </w:numPr>
        <w:jc w:val="both"/>
        <w:rPr>
          <w:rStyle w:val="Strong"/>
          <w:b w:val="0"/>
          <w:bCs w:val="0"/>
          <w:noProof/>
        </w:rPr>
      </w:pPr>
      <w:r w:rsidRPr="008B13A5">
        <w:rPr>
          <w:rStyle w:val="Strong"/>
          <w:noProof/>
        </w:rPr>
        <w:t xml:space="preserve">Implications for SMEs: </w:t>
      </w:r>
      <w:r w:rsidRPr="00BD008E">
        <w:rPr>
          <w:rStyle w:val="Strong"/>
          <w:b w:val="0"/>
          <w:noProof/>
        </w:rPr>
        <w:t>By 2028, many SMEs gain first access to the Chips Act’s Design Platform and competence centres, improving their ability to design and prototype new chips. However, access to large-scale follow-on financing</w:t>
      </w:r>
      <w:r w:rsidRPr="00BD008E" w:rsidDel="00E97449">
        <w:rPr>
          <w:rStyle w:val="Strong"/>
          <w:b w:val="0"/>
          <w:noProof/>
        </w:rPr>
        <w:t xml:space="preserve"> </w:t>
      </w:r>
      <w:r w:rsidRPr="00BD008E">
        <w:rPr>
          <w:rStyle w:val="Strong"/>
          <w:b w:val="0"/>
          <w:noProof/>
        </w:rPr>
        <w:t>for industrialisation and scaling remain scarce, leaving promising fabless firms unable to design at leading edge nodes or move from prototype runs to market-ready production. Some relocate intellectual property or exit early to attract non-EU investment.</w:t>
      </w:r>
      <w:r w:rsidRPr="008B13A5">
        <w:rPr>
          <w:rStyle w:val="Strong"/>
          <w:noProof/>
        </w:rPr>
        <w:t xml:space="preserve"> </w:t>
      </w:r>
      <w:r w:rsidRPr="008B13A5">
        <w:rPr>
          <w:noProof/>
        </w:rPr>
        <w:t>The critical transition between Technology Readiness Levels 6 and 8 (the “valley of death”) therefore remains a high-risk stage under BAU conditions, and this challenge is unlikely to be fully resolved even under alternative scenarios. The underlying barriers are structural – notably the shortage of late-stage capital, limited domestic demand-pull, and Europe’s fragmented financing landscape – and extend beyond what sectoral instruments such as the Chips Act can realistically address.</w:t>
      </w:r>
    </w:p>
    <w:p w14:paraId="78CF3296" w14:textId="154D1A98" w:rsidR="00EC49AF" w:rsidRPr="008B13A5" w:rsidRDefault="00EC49AF" w:rsidP="00BD008E">
      <w:pPr>
        <w:pStyle w:val="Heading4"/>
        <w:rPr>
          <w:noProof/>
          <w:lang w:eastAsia="en-GB"/>
        </w:rPr>
      </w:pPr>
      <w:bookmarkStart w:id="292" w:name="_Toc230010464"/>
      <w:r w:rsidRPr="008B13A5">
        <w:rPr>
          <w:noProof/>
          <w:lang w:eastAsia="en-GB"/>
        </w:rPr>
        <w:t>Access to infrastructure and tools (DP, competence centres, pilot lines)</w:t>
      </w:r>
      <w:bookmarkEnd w:id="292"/>
    </w:p>
    <w:p w14:paraId="3FD4AF8F" w14:textId="2E7B377D" w:rsidR="00EC49AF" w:rsidRPr="008B13A5" w:rsidRDefault="00EC49AF" w:rsidP="00F47256">
      <w:pPr>
        <w:pStyle w:val="NormalWeb"/>
        <w:numPr>
          <w:ilvl w:val="0"/>
          <w:numId w:val="28"/>
        </w:numPr>
        <w:jc w:val="both"/>
        <w:rPr>
          <w:rStyle w:val="Strong"/>
          <w:b w:val="0"/>
          <w:bCs w:val="0"/>
          <w:noProof/>
        </w:rPr>
      </w:pPr>
      <w:r w:rsidRPr="008B13A5">
        <w:rPr>
          <w:rStyle w:val="Strong"/>
          <w:noProof/>
        </w:rPr>
        <w:t xml:space="preserve">Developments expected under BAU: </w:t>
      </w:r>
      <w:r w:rsidRPr="00BD008E">
        <w:rPr>
          <w:rStyle w:val="Strong"/>
          <w:b w:val="0"/>
          <w:noProof/>
        </w:rPr>
        <w:t>Access to shared design and prototyping infrastructure improves gradually as the Virtual Design Platform, competence centres, and pilot lines reach maturity. SMEs benefit from expanded multi-project wafer services and more predictable conditions for EDA tools, alongside financial support, which lower entry barriers and accelerate prototyping. Bottlenecks, however,</w:t>
      </w:r>
      <w:r w:rsidRPr="008B13A5">
        <w:rPr>
          <w:rStyle w:val="Strong"/>
          <w:noProof/>
        </w:rPr>
        <w:t xml:space="preserve"> </w:t>
      </w:r>
      <w:r w:rsidRPr="008B13A5">
        <w:rPr>
          <w:noProof/>
        </w:rPr>
        <w:t>persist in securing affordable access to design tools, navigating heterogeneous access conditions across Member States, and obtaining timely technical assistance, reflecting broader coordination and capacity challenges rather than specific technical constraints</w:t>
      </w:r>
      <w:r w:rsidRPr="008B13A5">
        <w:rPr>
          <w:rStyle w:val="Strong"/>
          <w:noProof/>
        </w:rPr>
        <w:t>.</w:t>
      </w:r>
    </w:p>
    <w:p w14:paraId="5D5FDF95" w14:textId="7427C9D3" w:rsidR="00EC49AF" w:rsidRPr="008B13A5" w:rsidRDefault="00EC49AF" w:rsidP="00F47256">
      <w:pPr>
        <w:pStyle w:val="NormalWeb"/>
        <w:numPr>
          <w:ilvl w:val="0"/>
          <w:numId w:val="28"/>
        </w:numPr>
        <w:jc w:val="both"/>
        <w:rPr>
          <w:rStyle w:val="Strong"/>
          <w:b w:val="0"/>
          <w:bCs w:val="0"/>
          <w:noProof/>
        </w:rPr>
      </w:pPr>
      <w:r w:rsidRPr="008B13A5">
        <w:rPr>
          <w:rStyle w:val="Strong"/>
          <w:noProof/>
        </w:rPr>
        <w:t xml:space="preserve">Rationale: </w:t>
      </w:r>
      <w:r w:rsidRPr="00BD008E">
        <w:rPr>
          <w:rStyle w:val="Strong"/>
          <w:b w:val="0"/>
          <w:noProof/>
        </w:rPr>
        <w:t>Pillar I of the Chips Act was designed to also ease SME entry into semiconductor innovation, but practical capacity and coordination are still catching up, as noted by Interface (2024)</w:t>
      </w:r>
      <w:r w:rsidR="00F274DD" w:rsidRPr="00BD008E">
        <w:rPr>
          <w:rStyle w:val="Strong"/>
          <w:b w:val="0"/>
          <w:noProof/>
        </w:rPr>
        <w:t xml:space="preserve"> </w:t>
      </w:r>
      <w:r w:rsidRPr="00BD008E">
        <w:rPr>
          <w:rStyle w:val="Strong"/>
          <w:b w:val="0"/>
          <w:noProof/>
        </w:rPr>
        <w:t>(</w:t>
      </w:r>
      <w:r w:rsidRPr="00BD008E">
        <w:rPr>
          <w:rStyle w:val="Strong"/>
          <w:b w:val="0"/>
          <w:noProof/>
          <w:vertAlign w:val="superscript"/>
        </w:rPr>
        <w:footnoteReference w:id="224"/>
      </w:r>
      <w:r w:rsidRPr="00BD008E">
        <w:rPr>
          <w:rStyle w:val="Strong"/>
          <w:b w:val="0"/>
          <w:noProof/>
        </w:rPr>
        <w:t>) and the ECA (2025)</w:t>
      </w:r>
      <w:r w:rsidR="00F274DD" w:rsidRPr="00BD008E">
        <w:rPr>
          <w:rStyle w:val="Strong"/>
          <w:b w:val="0"/>
          <w:noProof/>
        </w:rPr>
        <w:t xml:space="preserve"> </w:t>
      </w:r>
      <w:r w:rsidRPr="00BD008E">
        <w:rPr>
          <w:rStyle w:val="Strong"/>
          <w:b w:val="0"/>
          <w:noProof/>
        </w:rPr>
        <w:t>(</w:t>
      </w:r>
      <w:r w:rsidRPr="00BD008E">
        <w:rPr>
          <w:rStyle w:val="Strong"/>
          <w:b w:val="0"/>
          <w:noProof/>
          <w:vertAlign w:val="superscript"/>
        </w:rPr>
        <w:footnoteReference w:id="225"/>
      </w:r>
      <w:r w:rsidRPr="00BD008E">
        <w:rPr>
          <w:rStyle w:val="Strong"/>
          <w:b w:val="0"/>
          <w:noProof/>
        </w:rPr>
        <w:t>).</w:t>
      </w:r>
    </w:p>
    <w:p w14:paraId="421140C7" w14:textId="274F1D75" w:rsidR="00EC49AF" w:rsidRPr="008B13A5" w:rsidRDefault="00EC49AF" w:rsidP="00F47256">
      <w:pPr>
        <w:pStyle w:val="NormalWeb"/>
        <w:numPr>
          <w:ilvl w:val="0"/>
          <w:numId w:val="28"/>
        </w:numPr>
        <w:jc w:val="both"/>
        <w:rPr>
          <w:rStyle w:val="Strong"/>
          <w:rFonts w:eastAsia="Calibri"/>
          <w:b w:val="0"/>
          <w:noProof/>
        </w:rPr>
      </w:pPr>
      <w:r w:rsidRPr="008B13A5">
        <w:rPr>
          <w:rStyle w:val="Strong"/>
          <w:noProof/>
        </w:rPr>
        <w:t xml:space="preserve">Implications for SMEs: </w:t>
      </w:r>
      <w:r w:rsidRPr="00BD008E">
        <w:rPr>
          <w:rStyle w:val="Strong"/>
          <w:b w:val="0"/>
          <w:noProof/>
        </w:rPr>
        <w:t>Entry costs for first-time tape-outs and lab prototyping decline, improving time-to-prototype and customer validation. Yet cross-country disparities persist, and scaling beyond prototype remains constrained by dependence on non-EU foundries and OSATs.</w:t>
      </w:r>
    </w:p>
    <w:p w14:paraId="2AEEF07B" w14:textId="68647847" w:rsidR="00EC49AF" w:rsidRPr="008B13A5" w:rsidRDefault="00EC49AF" w:rsidP="00EC49AF">
      <w:pPr>
        <w:rPr>
          <w:noProof/>
          <w:lang w:eastAsia="en-GB"/>
        </w:rPr>
      </w:pPr>
      <w:r w:rsidRPr="008B13A5">
        <w:rPr>
          <w:rStyle w:val="Strong"/>
          <w:noProof/>
        </w:rPr>
        <w:t xml:space="preserve"> </w:t>
      </w:r>
      <w:r w:rsidRPr="008B13A5">
        <w:rPr>
          <w:noProof/>
        </w:rPr>
        <w:t xml:space="preserve">Overall, by 2035, </w:t>
      </w:r>
      <w:r w:rsidR="001F0472">
        <w:rPr>
          <w:noProof/>
        </w:rPr>
        <w:t>it is</w:t>
      </w:r>
      <w:r w:rsidR="001F0472" w:rsidRPr="008B13A5">
        <w:rPr>
          <w:noProof/>
        </w:rPr>
        <w:t xml:space="preserve"> </w:t>
      </w:r>
      <w:r w:rsidRPr="008B13A5">
        <w:rPr>
          <w:noProof/>
        </w:rPr>
        <w:t>expect</w:t>
      </w:r>
      <w:r w:rsidR="001F0472">
        <w:rPr>
          <w:noProof/>
        </w:rPr>
        <w:t>ed</w:t>
      </w:r>
      <w:r w:rsidRPr="008B13A5">
        <w:rPr>
          <w:noProof/>
        </w:rPr>
        <w:t xml:space="preserve"> that the Design Platform, competence centres, and pilot lines </w:t>
      </w:r>
      <w:r w:rsidR="007D3F03">
        <w:rPr>
          <w:noProof/>
        </w:rPr>
        <w:t xml:space="preserve">will </w:t>
      </w:r>
      <w:r w:rsidRPr="008B13A5">
        <w:rPr>
          <w:noProof/>
        </w:rPr>
        <w:t xml:space="preserve">have expanded and become </w:t>
      </w:r>
      <w:r w:rsidR="001F0472">
        <w:rPr>
          <w:noProof/>
        </w:rPr>
        <w:t>accessible</w:t>
      </w:r>
      <w:r w:rsidRPr="008B13A5">
        <w:rPr>
          <w:noProof/>
        </w:rPr>
        <w:t>, lowering entry barriers and improving prototyping speed for SMEs. Some regional clusters strengthen around Europe’s established niches in equipment, materials, and power electronics. Yet core structural constraints persist</w:t>
      </w:r>
      <w:r w:rsidR="007D3F03">
        <w:rPr>
          <w:noProof/>
        </w:rPr>
        <w:t xml:space="preserve"> and </w:t>
      </w:r>
      <w:r w:rsidRPr="008B13A5">
        <w:rPr>
          <w:noProof/>
        </w:rPr>
        <w:t>the late-stage financing gap remains wide</w:t>
      </w:r>
      <w:r w:rsidRPr="008B13A5" w:rsidDel="007D3F03">
        <w:rPr>
          <w:noProof/>
        </w:rPr>
        <w:t>.</w:t>
      </w:r>
      <w:r w:rsidRPr="008B13A5">
        <w:rPr>
          <w:noProof/>
        </w:rPr>
        <w:t xml:space="preserve"> </w:t>
      </w:r>
    </w:p>
    <w:p w14:paraId="2B8C5E86" w14:textId="3CF7CDC3" w:rsidR="00EC49AF" w:rsidRPr="008B13A5" w:rsidRDefault="00EC49AF" w:rsidP="00E73AD6">
      <w:pPr>
        <w:pStyle w:val="Heading2"/>
        <w:rPr>
          <w:noProof/>
        </w:rPr>
      </w:pPr>
      <w:bookmarkStart w:id="293" w:name="_Toc217394780"/>
      <w:bookmarkStart w:id="294" w:name="_Toc217395633"/>
      <w:bookmarkStart w:id="295" w:name="_Toc217396482"/>
      <w:bookmarkStart w:id="296" w:name="_Toc1765674565"/>
      <w:bookmarkStart w:id="297" w:name="_Toc223620643"/>
      <w:bookmarkStart w:id="298" w:name="_Toc230010465"/>
      <w:r w:rsidRPr="008B13A5">
        <w:rPr>
          <w:noProof/>
        </w:rPr>
        <w:t>R&amp;D&amp;I leadership in the EU semiconductor industry</w:t>
      </w:r>
      <w:bookmarkEnd w:id="293"/>
      <w:bookmarkEnd w:id="294"/>
      <w:bookmarkEnd w:id="295"/>
      <w:bookmarkEnd w:id="296"/>
      <w:bookmarkEnd w:id="297"/>
      <w:bookmarkEnd w:id="298"/>
    </w:p>
    <w:p w14:paraId="43130B3A" w14:textId="53414741" w:rsidR="00EC49AF" w:rsidRPr="008B13A5" w:rsidRDefault="00EC49AF" w:rsidP="00EC49AF">
      <w:pPr>
        <w:rPr>
          <w:noProof/>
          <w:szCs w:val="22"/>
        </w:rPr>
      </w:pPr>
      <w:r w:rsidRPr="008B13A5">
        <w:rPr>
          <w:noProof/>
          <w:szCs w:val="22"/>
        </w:rPr>
        <w:t xml:space="preserve">Competitive advantage can be achieved through cost (and hence price) or the innovation, sophistication and quality of chips. As discussed in </w:t>
      </w:r>
      <w:r w:rsidR="00CC56DD">
        <w:rPr>
          <w:noProof/>
          <w:szCs w:val="22"/>
        </w:rPr>
        <w:t>S</w:t>
      </w:r>
      <w:r w:rsidRPr="008B13A5">
        <w:rPr>
          <w:noProof/>
          <w:szCs w:val="22"/>
        </w:rPr>
        <w:t xml:space="preserve">ection </w:t>
      </w:r>
      <w:r w:rsidR="00CC56DD">
        <w:rPr>
          <w:noProof/>
          <w:szCs w:val="22"/>
        </w:rPr>
        <w:t>1.3 of</w:t>
      </w:r>
      <w:r w:rsidRPr="008B13A5">
        <w:rPr>
          <w:noProof/>
          <w:szCs w:val="22"/>
        </w:rPr>
        <w:t xml:space="preserve"> this annex, the EU holds a strong market position in the design and manufacture of </w:t>
      </w:r>
      <w:r w:rsidR="00621343" w:rsidRPr="008B13A5">
        <w:rPr>
          <w:noProof/>
          <w:szCs w:val="22"/>
        </w:rPr>
        <w:t>analogue</w:t>
      </w:r>
      <w:r w:rsidRPr="008B13A5">
        <w:rPr>
          <w:noProof/>
          <w:szCs w:val="22"/>
        </w:rPr>
        <w:t xml:space="preserve"> chips, radio-frequency (RF) components, sensors and MEMS, power semiconductors, microcontrollers, and silicon photonics</w:t>
      </w:r>
      <w:r w:rsidR="00F274DD" w:rsidRPr="008B13A5">
        <w:rPr>
          <w:noProof/>
          <w:szCs w:val="22"/>
        </w:rPr>
        <w:t xml:space="preserve"> </w:t>
      </w:r>
      <w:r w:rsidRPr="008B13A5">
        <w:rPr>
          <w:noProof/>
          <w:szCs w:val="22"/>
        </w:rPr>
        <w:t>(</w:t>
      </w:r>
      <w:r w:rsidRPr="008B13A5">
        <w:rPr>
          <w:rStyle w:val="FootnoteReference"/>
          <w:noProof/>
          <w:szCs w:val="22"/>
        </w:rPr>
        <w:footnoteReference w:id="226"/>
      </w:r>
      <w:r w:rsidRPr="008B13A5">
        <w:rPr>
          <w:noProof/>
          <w:szCs w:val="22"/>
        </w:rPr>
        <w:t>)</w:t>
      </w:r>
      <w:r w:rsidRPr="008B13A5">
        <w:rPr>
          <w:noProof/>
          <w:szCs w:val="22"/>
          <w:vertAlign w:val="superscript"/>
        </w:rPr>
        <w:t>,</w:t>
      </w:r>
      <w:r w:rsidR="00F274DD" w:rsidRPr="008B13A5">
        <w:rPr>
          <w:noProof/>
          <w:szCs w:val="22"/>
          <w:vertAlign w:val="superscript"/>
        </w:rPr>
        <w:t xml:space="preserve"> </w:t>
      </w:r>
      <w:r w:rsidRPr="008B13A5">
        <w:rPr>
          <w:noProof/>
          <w:szCs w:val="22"/>
          <w:vertAlign w:val="superscript"/>
        </w:rPr>
        <w:t>(</w:t>
      </w:r>
      <w:r w:rsidRPr="008B13A5">
        <w:rPr>
          <w:rStyle w:val="FootnoteReference"/>
          <w:noProof/>
          <w:szCs w:val="22"/>
        </w:rPr>
        <w:footnoteReference w:id="227"/>
      </w:r>
      <w:r w:rsidRPr="008B13A5">
        <w:rPr>
          <w:noProof/>
          <w:szCs w:val="22"/>
          <w:vertAlign w:val="superscript"/>
        </w:rPr>
        <w:t>)</w:t>
      </w:r>
      <w:r w:rsidRPr="008B13A5">
        <w:rPr>
          <w:noProof/>
          <w:szCs w:val="22"/>
        </w:rPr>
        <w:t>. European suppliers are global leaders in embedded systems serving strategic industrial sectors such as automotive, robotics, energy, healthcare, aerospace, defence, and telecommunications infrastructures</w:t>
      </w:r>
      <w:r w:rsidR="00F274DD" w:rsidRPr="008B13A5">
        <w:rPr>
          <w:noProof/>
          <w:szCs w:val="22"/>
        </w:rPr>
        <w:t xml:space="preserve"> </w:t>
      </w:r>
      <w:r w:rsidRPr="008B13A5">
        <w:rPr>
          <w:noProof/>
          <w:szCs w:val="22"/>
        </w:rPr>
        <w:t>(</w:t>
      </w:r>
      <w:r w:rsidRPr="008B13A5">
        <w:rPr>
          <w:rStyle w:val="FootnoteReference"/>
          <w:noProof/>
          <w:szCs w:val="22"/>
        </w:rPr>
        <w:footnoteReference w:id="228"/>
      </w:r>
      <w:r w:rsidRPr="008B13A5">
        <w:rPr>
          <w:noProof/>
          <w:szCs w:val="22"/>
        </w:rPr>
        <w:t>)</w:t>
      </w:r>
      <w:r w:rsidRPr="008B13A5">
        <w:rPr>
          <w:noProof/>
          <w:szCs w:val="22"/>
          <w:vertAlign w:val="superscript"/>
        </w:rPr>
        <w:t>,</w:t>
      </w:r>
      <w:r w:rsidR="00F274DD" w:rsidRPr="008B13A5">
        <w:rPr>
          <w:noProof/>
          <w:szCs w:val="22"/>
          <w:vertAlign w:val="superscript"/>
        </w:rPr>
        <w:t xml:space="preserve"> </w:t>
      </w:r>
      <w:r w:rsidRPr="00BD008E">
        <w:rPr>
          <w:noProof/>
          <w:szCs w:val="22"/>
        </w:rPr>
        <w:t>(</w:t>
      </w:r>
      <w:r w:rsidRPr="008B13A5">
        <w:rPr>
          <w:rStyle w:val="FootnoteReference"/>
          <w:noProof/>
          <w:szCs w:val="22"/>
        </w:rPr>
        <w:footnoteReference w:id="229"/>
      </w:r>
      <w:r w:rsidRPr="00BD008E">
        <w:rPr>
          <w:noProof/>
          <w:szCs w:val="22"/>
        </w:rPr>
        <w:t>)</w:t>
      </w:r>
      <w:r w:rsidRPr="008B13A5">
        <w:rPr>
          <w:noProof/>
          <w:szCs w:val="22"/>
          <w:vertAlign w:val="superscript"/>
        </w:rPr>
        <w:t>,</w:t>
      </w:r>
      <w:r w:rsidR="00F274DD" w:rsidRPr="008B13A5">
        <w:rPr>
          <w:noProof/>
          <w:szCs w:val="22"/>
          <w:vertAlign w:val="superscript"/>
        </w:rPr>
        <w:t xml:space="preserve"> </w:t>
      </w:r>
      <w:r w:rsidRPr="00BD008E">
        <w:rPr>
          <w:noProof/>
          <w:szCs w:val="22"/>
        </w:rPr>
        <w:t>(</w:t>
      </w:r>
      <w:r w:rsidRPr="008B13A5">
        <w:rPr>
          <w:rStyle w:val="FootnoteReference"/>
          <w:noProof/>
          <w:szCs w:val="22"/>
        </w:rPr>
        <w:footnoteReference w:id="230"/>
      </w:r>
      <w:r w:rsidRPr="00BD008E">
        <w:rPr>
          <w:noProof/>
          <w:szCs w:val="22"/>
        </w:rPr>
        <w:t>)</w:t>
      </w:r>
      <w:r w:rsidRPr="008B13A5">
        <w:rPr>
          <w:noProof/>
          <w:szCs w:val="22"/>
        </w:rPr>
        <w:t xml:space="preserve">. European firms such as STMicroelectronics, Infineon, </w:t>
      </w:r>
      <w:r w:rsidR="00004ACE">
        <w:rPr>
          <w:noProof/>
          <w:szCs w:val="22"/>
        </w:rPr>
        <w:t xml:space="preserve">Robert Bosch, </w:t>
      </w:r>
      <w:r w:rsidRPr="008B13A5">
        <w:rPr>
          <w:noProof/>
          <w:szCs w:val="22"/>
        </w:rPr>
        <w:t>and NXP are recognised global leaders in power electronics and sensors, particularly for heavy industrial and automotive uses</w:t>
      </w:r>
      <w:r w:rsidR="00F274DD" w:rsidRPr="008B13A5">
        <w:rPr>
          <w:noProof/>
          <w:szCs w:val="22"/>
        </w:rPr>
        <w:t xml:space="preserve"> </w:t>
      </w:r>
      <w:r w:rsidRPr="008B13A5">
        <w:rPr>
          <w:noProof/>
          <w:szCs w:val="22"/>
        </w:rPr>
        <w:t>(</w:t>
      </w:r>
      <w:r w:rsidRPr="008B13A5">
        <w:rPr>
          <w:rStyle w:val="FootnoteReference"/>
          <w:noProof/>
          <w:szCs w:val="22"/>
        </w:rPr>
        <w:footnoteReference w:id="231"/>
      </w:r>
      <w:r w:rsidRPr="008B13A5">
        <w:rPr>
          <w:noProof/>
          <w:szCs w:val="22"/>
        </w:rPr>
        <w:t>)</w:t>
      </w:r>
      <w:r w:rsidRPr="008B13A5">
        <w:rPr>
          <w:noProof/>
          <w:szCs w:val="22"/>
          <w:vertAlign w:val="superscript"/>
        </w:rPr>
        <w:t>,</w:t>
      </w:r>
      <w:r w:rsidR="00F274DD" w:rsidRPr="008B13A5">
        <w:rPr>
          <w:noProof/>
          <w:szCs w:val="22"/>
          <w:vertAlign w:val="superscript"/>
        </w:rPr>
        <w:t xml:space="preserve"> </w:t>
      </w:r>
      <w:r w:rsidRPr="008B13A5">
        <w:rPr>
          <w:noProof/>
          <w:szCs w:val="22"/>
          <w:vertAlign w:val="superscript"/>
        </w:rPr>
        <w:t>(</w:t>
      </w:r>
      <w:r w:rsidRPr="008B13A5">
        <w:rPr>
          <w:rStyle w:val="FootnoteReference"/>
          <w:noProof/>
          <w:szCs w:val="22"/>
        </w:rPr>
        <w:footnoteReference w:id="232"/>
      </w:r>
      <w:r w:rsidRPr="008B13A5">
        <w:rPr>
          <w:noProof/>
          <w:szCs w:val="22"/>
          <w:vertAlign w:val="superscript"/>
        </w:rPr>
        <w:t>)</w:t>
      </w:r>
      <w:r w:rsidRPr="008B13A5">
        <w:rPr>
          <w:noProof/>
          <w:szCs w:val="22"/>
        </w:rPr>
        <w:t>.</w:t>
      </w:r>
    </w:p>
    <w:p w14:paraId="4CA29406" w14:textId="1D77A4FE" w:rsidR="00EC49AF" w:rsidRPr="008B13A5" w:rsidRDefault="00EC49AF" w:rsidP="00EC49AF">
      <w:pPr>
        <w:rPr>
          <w:noProof/>
          <w:szCs w:val="22"/>
        </w:rPr>
      </w:pPr>
      <w:r w:rsidRPr="008B13A5">
        <w:rPr>
          <w:noProof/>
          <w:szCs w:val="22"/>
        </w:rPr>
        <w:t>The EU is also home to world-class research and innovation centres, including IMEC in Belgium, CEA-Leti in France, and Fraunhofer in Germany, which have contributed to major technological breakthroughs in microelectronics</w:t>
      </w:r>
      <w:r w:rsidR="00F274DD" w:rsidRPr="008B13A5">
        <w:rPr>
          <w:noProof/>
          <w:szCs w:val="22"/>
        </w:rPr>
        <w:t xml:space="preserve"> </w:t>
      </w:r>
      <w:r w:rsidRPr="008B13A5">
        <w:rPr>
          <w:noProof/>
          <w:szCs w:val="22"/>
        </w:rPr>
        <w:t>(</w:t>
      </w:r>
      <w:r w:rsidRPr="008B13A5">
        <w:rPr>
          <w:rStyle w:val="FootnoteReference"/>
          <w:noProof/>
          <w:szCs w:val="22"/>
        </w:rPr>
        <w:footnoteReference w:id="233"/>
      </w:r>
      <w:r w:rsidRPr="008B13A5">
        <w:rPr>
          <w:noProof/>
          <w:szCs w:val="22"/>
        </w:rPr>
        <w:t>),</w:t>
      </w:r>
      <w:r w:rsidR="00F274DD" w:rsidRPr="008B13A5">
        <w:rPr>
          <w:noProof/>
          <w:szCs w:val="22"/>
        </w:rPr>
        <w:t xml:space="preserve"> </w:t>
      </w:r>
      <w:r w:rsidRPr="008B13A5">
        <w:rPr>
          <w:noProof/>
          <w:szCs w:val="22"/>
        </w:rPr>
        <w:t>(</w:t>
      </w:r>
      <w:r w:rsidRPr="008B13A5">
        <w:rPr>
          <w:rStyle w:val="FootnoteReference"/>
          <w:noProof/>
          <w:szCs w:val="22"/>
        </w:rPr>
        <w:footnoteReference w:id="234"/>
      </w:r>
      <w:r w:rsidRPr="008B13A5">
        <w:rPr>
          <w:noProof/>
          <w:szCs w:val="22"/>
        </w:rPr>
        <w:t>),</w:t>
      </w:r>
      <w:r w:rsidR="00F274DD" w:rsidRPr="008B13A5">
        <w:rPr>
          <w:noProof/>
          <w:szCs w:val="22"/>
        </w:rPr>
        <w:t xml:space="preserve"> </w:t>
      </w:r>
      <w:r w:rsidRPr="008B13A5">
        <w:rPr>
          <w:noProof/>
          <w:szCs w:val="22"/>
        </w:rPr>
        <w:t>(</w:t>
      </w:r>
      <w:r w:rsidRPr="008B13A5">
        <w:rPr>
          <w:rStyle w:val="FootnoteReference"/>
          <w:noProof/>
          <w:szCs w:val="22"/>
        </w:rPr>
        <w:footnoteReference w:id="235"/>
      </w:r>
      <w:r w:rsidRPr="008B13A5">
        <w:rPr>
          <w:noProof/>
          <w:szCs w:val="22"/>
        </w:rPr>
        <w:t xml:space="preserve">). </w:t>
      </w:r>
    </w:p>
    <w:p w14:paraId="14158FDC" w14:textId="59532FEA" w:rsidR="00EC49AF" w:rsidRPr="008B13A5" w:rsidRDefault="00EC49AF" w:rsidP="00EC49AF">
      <w:pPr>
        <w:rPr>
          <w:noProof/>
          <w:szCs w:val="22"/>
        </w:rPr>
      </w:pPr>
      <w:r w:rsidRPr="008B13A5">
        <w:rPr>
          <w:noProof/>
          <w:szCs w:val="22"/>
        </w:rPr>
        <w:t xml:space="preserve">Within the supply chain, the EU possesses a clear competitive advantage in manufacturing equipment, led by ASML in the Netherlands, the world’s sole provider of extreme ultraviolet (EUV) lithography tools </w:t>
      </w:r>
      <w:r w:rsidR="00984511">
        <w:rPr>
          <w:noProof/>
          <w:szCs w:val="22"/>
        </w:rPr>
        <w:t xml:space="preserve">and </w:t>
      </w:r>
      <w:r w:rsidRPr="008B13A5">
        <w:rPr>
          <w:noProof/>
          <w:szCs w:val="22"/>
        </w:rPr>
        <w:t>with an 88% market share in</w:t>
      </w:r>
      <w:r w:rsidR="00984511">
        <w:rPr>
          <w:noProof/>
          <w:szCs w:val="22"/>
        </w:rPr>
        <w:t xml:space="preserve"> the broader lithography market in</w:t>
      </w:r>
      <w:r w:rsidRPr="008B13A5">
        <w:rPr>
          <w:noProof/>
          <w:szCs w:val="22"/>
        </w:rPr>
        <w:t xml:space="preserve"> 2022</w:t>
      </w:r>
      <w:r w:rsidR="00F274DD" w:rsidRPr="008B13A5">
        <w:rPr>
          <w:noProof/>
          <w:szCs w:val="22"/>
        </w:rPr>
        <w:t xml:space="preserve"> </w:t>
      </w:r>
      <w:r w:rsidRPr="008B13A5">
        <w:rPr>
          <w:noProof/>
          <w:szCs w:val="22"/>
        </w:rPr>
        <w:t>(</w:t>
      </w:r>
      <w:r w:rsidRPr="008B13A5">
        <w:rPr>
          <w:rStyle w:val="FootnoteReference"/>
          <w:noProof/>
          <w:szCs w:val="22"/>
        </w:rPr>
        <w:footnoteReference w:id="236"/>
      </w:r>
      <w:r w:rsidRPr="008B13A5">
        <w:rPr>
          <w:noProof/>
          <w:szCs w:val="22"/>
        </w:rPr>
        <w:t>)</w:t>
      </w:r>
      <w:r w:rsidRPr="008B13A5">
        <w:rPr>
          <w:noProof/>
          <w:szCs w:val="22"/>
          <w:vertAlign w:val="superscript"/>
        </w:rPr>
        <w:t>,</w:t>
      </w:r>
      <w:r w:rsidR="00F274DD" w:rsidRPr="008B13A5">
        <w:rPr>
          <w:noProof/>
          <w:szCs w:val="22"/>
          <w:vertAlign w:val="superscript"/>
        </w:rPr>
        <w:t xml:space="preserve"> </w:t>
      </w:r>
      <w:r w:rsidRPr="008B13A5">
        <w:rPr>
          <w:noProof/>
          <w:szCs w:val="22"/>
          <w:vertAlign w:val="superscript"/>
        </w:rPr>
        <w:t>(</w:t>
      </w:r>
      <w:r w:rsidRPr="008B13A5">
        <w:rPr>
          <w:rStyle w:val="FootnoteReference"/>
          <w:noProof/>
          <w:szCs w:val="22"/>
        </w:rPr>
        <w:footnoteReference w:id="237"/>
      </w:r>
      <w:r w:rsidRPr="008B13A5">
        <w:rPr>
          <w:noProof/>
          <w:szCs w:val="22"/>
          <w:vertAlign w:val="superscript"/>
        </w:rPr>
        <w:t>)</w:t>
      </w:r>
      <w:r w:rsidRPr="008B13A5">
        <w:rPr>
          <w:noProof/>
          <w:szCs w:val="22"/>
        </w:rPr>
        <w:t>. Germany’s Siemens also plays a critical role in electronic design software</w:t>
      </w:r>
      <w:r w:rsidR="00F274DD" w:rsidRPr="008B13A5">
        <w:rPr>
          <w:noProof/>
          <w:szCs w:val="22"/>
        </w:rPr>
        <w:t xml:space="preserve"> </w:t>
      </w:r>
      <w:r w:rsidRPr="008B13A5">
        <w:rPr>
          <w:noProof/>
          <w:szCs w:val="22"/>
        </w:rPr>
        <w:t>(</w:t>
      </w:r>
      <w:r w:rsidRPr="008B13A5">
        <w:rPr>
          <w:rStyle w:val="FootnoteReference"/>
          <w:noProof/>
          <w:szCs w:val="22"/>
        </w:rPr>
        <w:footnoteReference w:id="238"/>
      </w:r>
      <w:r w:rsidRPr="008B13A5">
        <w:rPr>
          <w:noProof/>
          <w:szCs w:val="22"/>
        </w:rPr>
        <w:t xml:space="preserve">). </w:t>
      </w:r>
    </w:p>
    <w:p w14:paraId="1A3CB10F" w14:textId="3FC4815B" w:rsidR="00EC49AF" w:rsidRDefault="00EC49AF" w:rsidP="00EC49AF">
      <w:pPr>
        <w:pStyle w:val="NormalWeb"/>
        <w:jc w:val="both"/>
        <w:rPr>
          <w:noProof/>
        </w:rPr>
      </w:pPr>
      <w:r w:rsidRPr="008B13A5">
        <w:rPr>
          <w:noProof/>
        </w:rPr>
        <w:t>However, despite these strengths, the EU remains absent from the technological frontier of semiconductor innovation. It plays only a minor role in global chip design, accounting for about 9% of the global market</w:t>
      </w:r>
      <w:r w:rsidR="00F274DD" w:rsidRPr="008B13A5">
        <w:rPr>
          <w:noProof/>
        </w:rPr>
        <w:t xml:space="preserve"> </w:t>
      </w:r>
      <w:r w:rsidRPr="008B13A5">
        <w:rPr>
          <w:noProof/>
        </w:rPr>
        <w:t>(</w:t>
      </w:r>
      <w:r w:rsidRPr="008B13A5">
        <w:rPr>
          <w:rStyle w:val="FootnoteReference"/>
          <w:noProof/>
        </w:rPr>
        <w:footnoteReference w:id="239"/>
      </w:r>
      <w:r w:rsidRPr="008B13A5">
        <w:rPr>
          <w:noProof/>
        </w:rPr>
        <w:t>), and lacks production capacity for the leading edge and advanced nodes (below 16 nm)</w:t>
      </w:r>
      <w:r w:rsidR="00F274DD" w:rsidRPr="008B13A5">
        <w:rPr>
          <w:noProof/>
        </w:rPr>
        <w:t xml:space="preserve"> </w:t>
      </w:r>
      <w:r w:rsidRPr="008B13A5">
        <w:rPr>
          <w:noProof/>
        </w:rPr>
        <w:t>(</w:t>
      </w:r>
      <w:r w:rsidRPr="008B13A5">
        <w:rPr>
          <w:rStyle w:val="FootnoteReference"/>
          <w:noProof/>
        </w:rPr>
        <w:footnoteReference w:id="240"/>
      </w:r>
      <w:r w:rsidRPr="008B13A5">
        <w:rPr>
          <w:noProof/>
        </w:rPr>
        <w:t>), which are overwhelmingly concentrated in Taiwan and South Korea, with a smaller share in the US</w:t>
      </w:r>
      <w:r w:rsidR="00F274DD" w:rsidRPr="008B13A5">
        <w:rPr>
          <w:noProof/>
        </w:rPr>
        <w:t xml:space="preserve"> </w:t>
      </w:r>
      <w:r w:rsidRPr="008B13A5">
        <w:rPr>
          <w:noProof/>
        </w:rPr>
        <w:t>(</w:t>
      </w:r>
      <w:r w:rsidRPr="008B13A5">
        <w:rPr>
          <w:rStyle w:val="FootnoteReference"/>
          <w:noProof/>
        </w:rPr>
        <w:footnoteReference w:id="241"/>
      </w:r>
      <w:r w:rsidRPr="008B13A5">
        <w:rPr>
          <w:noProof/>
        </w:rPr>
        <w:t>)</w:t>
      </w:r>
      <w:r w:rsidRPr="008B13A5">
        <w:rPr>
          <w:noProof/>
          <w:vertAlign w:val="superscript"/>
        </w:rPr>
        <w:t>,</w:t>
      </w:r>
      <w:r w:rsidR="00F274DD" w:rsidRPr="008B13A5">
        <w:rPr>
          <w:noProof/>
          <w:vertAlign w:val="superscript"/>
        </w:rPr>
        <w:t xml:space="preserve"> </w:t>
      </w:r>
      <w:r w:rsidRPr="008B13A5">
        <w:rPr>
          <w:noProof/>
          <w:vertAlign w:val="superscript"/>
        </w:rPr>
        <w:t>(</w:t>
      </w:r>
      <w:r w:rsidRPr="008B13A5">
        <w:rPr>
          <w:rStyle w:val="FootnoteReference"/>
          <w:noProof/>
        </w:rPr>
        <w:footnoteReference w:id="242"/>
      </w:r>
      <w:r w:rsidRPr="008B13A5">
        <w:rPr>
          <w:noProof/>
          <w:vertAlign w:val="superscript"/>
        </w:rPr>
        <w:t>)</w:t>
      </w:r>
      <w:r w:rsidRPr="008B13A5">
        <w:rPr>
          <w:noProof/>
        </w:rPr>
        <w:t>. Most EU production focuses on mature nodes (40 nm and above), serving industrial and automotive demand rather than leading-edge computing applications</w:t>
      </w:r>
      <w:r w:rsidR="00F274DD" w:rsidRPr="008B13A5">
        <w:rPr>
          <w:noProof/>
        </w:rPr>
        <w:t xml:space="preserve"> </w:t>
      </w:r>
      <w:r w:rsidRPr="008B13A5">
        <w:rPr>
          <w:noProof/>
        </w:rPr>
        <w:t>(</w:t>
      </w:r>
      <w:r w:rsidRPr="008B13A5">
        <w:rPr>
          <w:rStyle w:val="FootnoteReference"/>
          <w:noProof/>
        </w:rPr>
        <w:footnoteReference w:id="243"/>
      </w:r>
      <w:r w:rsidRPr="008B13A5">
        <w:rPr>
          <w:noProof/>
        </w:rPr>
        <w:t xml:space="preserve">). Europe also lacks large-scale pure-play foundries and depends on </w:t>
      </w:r>
      <w:r w:rsidR="00A71F4F">
        <w:rPr>
          <w:noProof/>
        </w:rPr>
        <w:t>other regions for</w:t>
      </w:r>
      <w:r w:rsidRPr="008B13A5">
        <w:rPr>
          <w:noProof/>
        </w:rPr>
        <w:t xml:space="preserve"> advanced-node manufacturing</w:t>
      </w:r>
      <w:r w:rsidR="00F274DD" w:rsidRPr="008B13A5">
        <w:rPr>
          <w:noProof/>
        </w:rPr>
        <w:t xml:space="preserve"> </w:t>
      </w:r>
      <w:r w:rsidRPr="008B13A5">
        <w:rPr>
          <w:noProof/>
        </w:rPr>
        <w:t>(</w:t>
      </w:r>
      <w:r w:rsidRPr="008B13A5">
        <w:rPr>
          <w:rStyle w:val="FootnoteReference"/>
          <w:noProof/>
        </w:rPr>
        <w:footnoteReference w:id="244"/>
      </w:r>
      <w:r w:rsidRPr="008B13A5">
        <w:rPr>
          <w:noProof/>
        </w:rPr>
        <w:t>). In addition, Europe’s strong public research base does not consistently translate into industrial leadership. Although organisations such as IMEC, CEA-Leti and Fraunhofer develop world-class technologies, commercialisation channels and scaling partnerships remain limited and many innovations pioneered in European pilot lines are industrialised in non-EU foundries. While the EU benefits from a growing base of innovative fabless startups, collaboration between large incumbents and smaller firms remains limited</w:t>
      </w:r>
      <w:r w:rsidR="00F274DD" w:rsidRPr="008B13A5">
        <w:rPr>
          <w:noProof/>
        </w:rPr>
        <w:t xml:space="preserve"> </w:t>
      </w:r>
      <w:r w:rsidRPr="008B13A5">
        <w:rPr>
          <w:noProof/>
        </w:rPr>
        <w:t>(</w:t>
      </w:r>
      <w:r w:rsidRPr="008B13A5">
        <w:rPr>
          <w:rStyle w:val="FootnoteReference"/>
          <w:noProof/>
        </w:rPr>
        <w:footnoteReference w:id="245"/>
      </w:r>
      <w:r w:rsidRPr="008B13A5">
        <w:rPr>
          <w:noProof/>
        </w:rPr>
        <w:t>). Finally, structural barriers, including fragmented markets, and complex regulatory environments, further constrain the translation of research into competitive industrial capacity. As a result, the EU’s semiconductor ecosystem shows high technological sophistication but does not convert its research excellence into global leadership in advanced chip design and manufacturing</w:t>
      </w:r>
      <w:r w:rsidR="00F274DD" w:rsidRPr="008B13A5">
        <w:rPr>
          <w:noProof/>
        </w:rPr>
        <w:t xml:space="preserve"> </w:t>
      </w:r>
      <w:r w:rsidRPr="008B13A5">
        <w:rPr>
          <w:noProof/>
        </w:rPr>
        <w:t>(</w:t>
      </w:r>
      <w:r w:rsidRPr="008B13A5">
        <w:rPr>
          <w:rStyle w:val="FootnoteReference"/>
          <w:noProof/>
        </w:rPr>
        <w:footnoteReference w:id="246"/>
      </w:r>
      <w:r w:rsidRPr="008B13A5">
        <w:rPr>
          <w:noProof/>
        </w:rPr>
        <w:t>)</w:t>
      </w:r>
      <w:r w:rsidRPr="008B13A5">
        <w:rPr>
          <w:noProof/>
          <w:vertAlign w:val="superscript"/>
        </w:rPr>
        <w:t>,</w:t>
      </w:r>
      <w:r w:rsidR="002D4011" w:rsidRPr="00BD008E">
        <w:rPr>
          <w:noProof/>
        </w:rPr>
        <w:t>(</w:t>
      </w:r>
      <w:r w:rsidRPr="008B13A5">
        <w:rPr>
          <w:rStyle w:val="FootnoteReference"/>
          <w:noProof/>
        </w:rPr>
        <w:footnoteReference w:id="247"/>
      </w:r>
      <w:r w:rsidRPr="00BD008E">
        <w:rPr>
          <w:noProof/>
        </w:rPr>
        <w:t>)</w:t>
      </w:r>
      <w:r w:rsidRPr="008B13A5">
        <w:rPr>
          <w:noProof/>
        </w:rPr>
        <w:t>.</w:t>
      </w:r>
    </w:p>
    <w:p w14:paraId="023A07B3" w14:textId="77777777" w:rsidR="00E555C7" w:rsidRPr="008B13A5" w:rsidRDefault="00E555C7" w:rsidP="00EC49AF">
      <w:pPr>
        <w:pStyle w:val="NormalWeb"/>
        <w:jc w:val="both"/>
        <w:rPr>
          <w:noProof/>
        </w:rPr>
      </w:pPr>
    </w:p>
    <w:p w14:paraId="2E629780" w14:textId="77777777" w:rsidR="00652DD9" w:rsidRPr="008B13A5" w:rsidRDefault="00652DD9" w:rsidP="00EC49AF">
      <w:pPr>
        <w:pStyle w:val="NormalWeb"/>
        <w:jc w:val="both"/>
        <w:rPr>
          <w:noProof/>
        </w:rPr>
      </w:pPr>
    </w:p>
    <w:p w14:paraId="25614087" w14:textId="689EE9C5" w:rsidR="00EC49AF" w:rsidRPr="008B13A5" w:rsidRDefault="00EC49AF" w:rsidP="00E73AD6">
      <w:pPr>
        <w:pStyle w:val="Heading3"/>
        <w:rPr>
          <w:noProof/>
        </w:rPr>
      </w:pPr>
      <w:bookmarkStart w:id="299" w:name="_Toc217395634"/>
      <w:bookmarkStart w:id="300" w:name="_Toc217396483"/>
      <w:bookmarkStart w:id="301" w:name="_Toc1718088977"/>
      <w:bookmarkStart w:id="302" w:name="_Toc223620644"/>
      <w:bookmarkStart w:id="303" w:name="_Toc230010466"/>
      <w:r w:rsidRPr="008B13A5">
        <w:rPr>
          <w:noProof/>
        </w:rPr>
        <w:t>Establishing a starting point for BAU scenario</w:t>
      </w:r>
      <w:bookmarkEnd w:id="299"/>
      <w:bookmarkEnd w:id="300"/>
      <w:bookmarkEnd w:id="301"/>
      <w:bookmarkEnd w:id="302"/>
      <w:bookmarkEnd w:id="303"/>
    </w:p>
    <w:p w14:paraId="1EF537BD" w14:textId="0657FF6D" w:rsidR="00EC49AF" w:rsidRPr="008B13A5" w:rsidRDefault="00EC49AF" w:rsidP="0005276B">
      <w:pPr>
        <w:rPr>
          <w:b/>
          <w:bCs/>
          <w:noProof/>
        </w:rPr>
      </w:pPr>
      <w:r w:rsidRPr="008B13A5">
        <w:rPr>
          <w:b/>
          <w:bCs/>
          <w:noProof/>
        </w:rPr>
        <w:t>Quantitative indicators of R&amp;D and innovation effort</w:t>
      </w:r>
    </w:p>
    <w:p w14:paraId="40680615" w14:textId="70A35F71" w:rsidR="00EC49AF" w:rsidRPr="008B13A5" w:rsidRDefault="00EC49AF" w:rsidP="0005276B">
      <w:pPr>
        <w:pStyle w:val="NormalWeb"/>
        <w:jc w:val="both"/>
        <w:rPr>
          <w:noProof/>
        </w:rPr>
      </w:pPr>
      <w:r w:rsidRPr="008B13A5">
        <w:rPr>
          <w:noProof/>
        </w:rPr>
        <w:t>The EU semiconductor ecosystem demonstrates high R&amp;D intensity but remains structurally constrained in scale, market penetration, advanced-node chip design</w:t>
      </w:r>
      <w:r w:rsidRPr="008B13A5">
        <w:rPr>
          <w:rStyle w:val="Heading1Char"/>
          <w:noProof/>
          <w:szCs w:val="24"/>
        </w:rPr>
        <w:t xml:space="preserve"> </w:t>
      </w:r>
      <w:r w:rsidRPr="00BD008E">
        <w:rPr>
          <w:rStyle w:val="Strong"/>
          <w:b w:val="0"/>
          <w:noProof/>
        </w:rPr>
        <w:t>and high-volume manufacturing</w:t>
      </w:r>
      <w:r w:rsidRPr="008B13A5">
        <w:rPr>
          <w:noProof/>
        </w:rPr>
        <w:t>, despite strong European leadership in process research and enabling technologies such as EUV lithography. The table below summarises the key indicators that define the 2023 starting point, benchmarked against major global competitors.</w:t>
      </w:r>
    </w:p>
    <w:p w14:paraId="71BE24D9" w14:textId="469154A8" w:rsidR="00EC49AF" w:rsidRPr="008B13A5" w:rsidRDefault="00EC49AF" w:rsidP="00EC49AF">
      <w:pPr>
        <w:pStyle w:val="NormalWeb"/>
        <w:spacing w:before="0" w:beforeAutospacing="0"/>
        <w:jc w:val="both"/>
        <w:rPr>
          <w:b/>
          <w:bCs/>
          <w:noProof/>
          <w:sz w:val="22"/>
          <w:szCs w:val="22"/>
        </w:rPr>
      </w:pPr>
      <w:r w:rsidRPr="008B13A5">
        <w:rPr>
          <w:b/>
          <w:bCs/>
          <w:noProof/>
          <w:sz w:val="22"/>
          <w:szCs w:val="22"/>
        </w:rPr>
        <w:t xml:space="preserve">Table </w:t>
      </w:r>
      <w:r w:rsidR="00C02ABA">
        <w:rPr>
          <w:b/>
          <w:bCs/>
          <w:noProof/>
          <w:sz w:val="22"/>
          <w:szCs w:val="22"/>
        </w:rPr>
        <w:t>13</w:t>
      </w:r>
      <w:r w:rsidRPr="008B13A5">
        <w:rPr>
          <w:b/>
          <w:bCs/>
          <w:noProof/>
          <w:sz w:val="22"/>
          <w:szCs w:val="22"/>
        </w:rPr>
        <w:t xml:space="preserve">. Starting point for R&amp;D and innovation BAU. </w:t>
      </w:r>
      <w:r w:rsidRPr="008B13A5">
        <w:rPr>
          <w:i/>
          <w:iCs/>
          <w:noProof/>
          <w:sz w:val="22"/>
          <w:szCs w:val="22"/>
        </w:rPr>
        <w:t xml:space="preserve">Source: Compiled by the authors. </w:t>
      </w:r>
    </w:p>
    <w:tbl>
      <w:tblPr>
        <w:tblStyle w:val="TableGrid"/>
        <w:tblW w:w="0" w:type="auto"/>
        <w:tblInd w:w="-116" w:type="dxa"/>
        <w:tblCellMar>
          <w:left w:w="0" w:type="dxa"/>
          <w:right w:w="0" w:type="dxa"/>
        </w:tblCellMar>
        <w:tblLook w:val="04A0" w:firstRow="1" w:lastRow="0" w:firstColumn="1" w:lastColumn="0" w:noHBand="0" w:noVBand="1"/>
      </w:tblPr>
      <w:tblGrid>
        <w:gridCol w:w="2039"/>
        <w:gridCol w:w="1902"/>
        <w:gridCol w:w="1540"/>
        <w:gridCol w:w="3715"/>
      </w:tblGrid>
      <w:tr w:rsidR="00EC49AF" w:rsidRPr="008B13A5" w14:paraId="30BC6F10" w14:textId="77777777">
        <w:tc>
          <w:tcPr>
            <w:tcW w:w="0" w:type="auto"/>
          </w:tcPr>
          <w:p w14:paraId="26989524" w14:textId="77777777" w:rsidR="00EC49AF" w:rsidRPr="008B13A5" w:rsidRDefault="00EC49AF">
            <w:pPr>
              <w:jc w:val="center"/>
              <w:rPr>
                <w:b/>
                <w:noProof/>
                <w:szCs w:val="22"/>
              </w:rPr>
            </w:pPr>
            <w:r w:rsidRPr="008B13A5">
              <w:rPr>
                <w:b/>
                <w:noProof/>
                <w:szCs w:val="22"/>
              </w:rPr>
              <w:t>Indicator</w:t>
            </w:r>
          </w:p>
        </w:tc>
        <w:tc>
          <w:tcPr>
            <w:tcW w:w="0" w:type="auto"/>
          </w:tcPr>
          <w:p w14:paraId="469E46BE" w14:textId="60AE9DF6" w:rsidR="00EC49AF" w:rsidRPr="008B13A5" w:rsidRDefault="00EC49AF">
            <w:pPr>
              <w:jc w:val="center"/>
              <w:rPr>
                <w:b/>
                <w:noProof/>
                <w:szCs w:val="22"/>
              </w:rPr>
            </w:pPr>
            <w:r w:rsidRPr="008B13A5">
              <w:rPr>
                <w:b/>
                <w:noProof/>
                <w:szCs w:val="22"/>
              </w:rPr>
              <w:t>Indicative EU figure (2023)</w:t>
            </w:r>
          </w:p>
        </w:tc>
        <w:tc>
          <w:tcPr>
            <w:tcW w:w="0" w:type="auto"/>
          </w:tcPr>
          <w:p w14:paraId="410CB77F" w14:textId="54D77156" w:rsidR="00EC49AF" w:rsidRPr="008B13A5" w:rsidRDefault="00EC49AF">
            <w:pPr>
              <w:jc w:val="center"/>
              <w:rPr>
                <w:b/>
                <w:noProof/>
                <w:szCs w:val="22"/>
              </w:rPr>
            </w:pPr>
            <w:r w:rsidRPr="008B13A5">
              <w:rPr>
                <w:b/>
                <w:noProof/>
                <w:szCs w:val="22"/>
              </w:rPr>
              <w:t>Benchmark comparison</w:t>
            </w:r>
          </w:p>
        </w:tc>
        <w:tc>
          <w:tcPr>
            <w:tcW w:w="0" w:type="auto"/>
          </w:tcPr>
          <w:p w14:paraId="1FE86020" w14:textId="5FE45D58" w:rsidR="00EC49AF" w:rsidRPr="008B13A5" w:rsidRDefault="00EC49AF">
            <w:pPr>
              <w:jc w:val="center"/>
              <w:rPr>
                <w:b/>
                <w:noProof/>
                <w:szCs w:val="22"/>
              </w:rPr>
            </w:pPr>
            <w:r w:rsidRPr="008B13A5">
              <w:rPr>
                <w:b/>
                <w:noProof/>
                <w:szCs w:val="22"/>
              </w:rPr>
              <w:t>Reference and justification</w:t>
            </w:r>
          </w:p>
        </w:tc>
      </w:tr>
      <w:tr w:rsidR="00EC49AF" w:rsidRPr="008B13A5" w14:paraId="4C58C325" w14:textId="77777777">
        <w:tc>
          <w:tcPr>
            <w:tcW w:w="0" w:type="auto"/>
          </w:tcPr>
          <w:p w14:paraId="47FD7E92" w14:textId="764DC820" w:rsidR="00EC49AF" w:rsidRPr="008B13A5" w:rsidRDefault="00EC49AF">
            <w:pPr>
              <w:jc w:val="left"/>
              <w:rPr>
                <w:noProof/>
                <w:szCs w:val="22"/>
              </w:rPr>
            </w:pPr>
            <w:r w:rsidRPr="008B13A5">
              <w:rPr>
                <w:noProof/>
                <w:szCs w:val="22"/>
              </w:rPr>
              <w:t>Effectiveness of technology transfer (lab-to-fab conversion of research outputs)</w:t>
            </w:r>
          </w:p>
        </w:tc>
        <w:tc>
          <w:tcPr>
            <w:tcW w:w="0" w:type="auto"/>
          </w:tcPr>
          <w:p w14:paraId="62ED84FF" w14:textId="416AA0F3" w:rsidR="00EC49AF" w:rsidRPr="008B13A5" w:rsidRDefault="00EC49AF">
            <w:pPr>
              <w:jc w:val="left"/>
              <w:rPr>
                <w:noProof/>
                <w:szCs w:val="22"/>
              </w:rPr>
            </w:pPr>
            <w:r w:rsidRPr="008B13A5">
              <w:rPr>
                <w:noProof/>
                <w:szCs w:val="22"/>
              </w:rPr>
              <w:t>Low to moderate; a significant proportion of pilot-line technologies are industrialised outside the EU</w:t>
            </w:r>
          </w:p>
        </w:tc>
        <w:tc>
          <w:tcPr>
            <w:tcW w:w="0" w:type="auto"/>
          </w:tcPr>
          <w:p w14:paraId="4D14224C" w14:textId="5F42C356" w:rsidR="00EC49AF" w:rsidRPr="008B13A5" w:rsidRDefault="00EC49AF">
            <w:pPr>
              <w:jc w:val="left"/>
              <w:rPr>
                <w:noProof/>
                <w:szCs w:val="22"/>
              </w:rPr>
            </w:pPr>
            <w:r w:rsidRPr="008B13A5">
              <w:rPr>
                <w:noProof/>
                <w:szCs w:val="22"/>
              </w:rPr>
              <w:t>Higher conversion rates in the US, Taiwan, and South Korea</w:t>
            </w:r>
          </w:p>
        </w:tc>
        <w:tc>
          <w:tcPr>
            <w:tcW w:w="0" w:type="auto"/>
          </w:tcPr>
          <w:p w14:paraId="18749A86" w14:textId="283D4739" w:rsidR="00EC49AF" w:rsidRPr="008B13A5" w:rsidRDefault="00EC49AF">
            <w:pPr>
              <w:rPr>
                <w:rStyle w:val="Strong"/>
                <w:b w:val="0"/>
                <w:noProof/>
                <w:szCs w:val="22"/>
              </w:rPr>
            </w:pPr>
            <w:r w:rsidRPr="00BD008E">
              <w:rPr>
                <w:rStyle w:val="Strong"/>
                <w:b w:val="0"/>
                <w:noProof/>
                <w:szCs w:val="22"/>
              </w:rPr>
              <w:t>JRC (2025)</w:t>
            </w:r>
            <w:r w:rsidR="00F274DD" w:rsidRPr="00BD008E">
              <w:rPr>
                <w:rStyle w:val="Strong"/>
                <w:b w:val="0"/>
                <w:noProof/>
                <w:szCs w:val="22"/>
              </w:rPr>
              <w:t xml:space="preserve"> </w:t>
            </w:r>
            <w:r w:rsidRPr="00BD008E">
              <w:rPr>
                <w:rStyle w:val="Strong"/>
                <w:b w:val="0"/>
                <w:noProof/>
                <w:szCs w:val="22"/>
              </w:rPr>
              <w:t>(</w:t>
            </w:r>
            <w:r w:rsidRPr="00BD008E">
              <w:rPr>
                <w:rStyle w:val="FootnoteReference"/>
                <w:b/>
                <w:noProof/>
                <w:szCs w:val="22"/>
              </w:rPr>
              <w:footnoteReference w:id="248"/>
            </w:r>
            <w:r w:rsidRPr="00BD008E">
              <w:rPr>
                <w:rStyle w:val="Strong"/>
                <w:b w:val="0"/>
                <w:noProof/>
                <w:szCs w:val="22"/>
              </w:rPr>
              <w:t>) highlights fragmentation between research and manufacturing; ECA (2025)</w:t>
            </w:r>
            <w:r w:rsidR="00F274DD" w:rsidRPr="00BD008E">
              <w:rPr>
                <w:rStyle w:val="Strong"/>
                <w:b w:val="0"/>
                <w:noProof/>
                <w:szCs w:val="22"/>
              </w:rPr>
              <w:t xml:space="preserve"> </w:t>
            </w:r>
            <w:r w:rsidRPr="00BD008E">
              <w:rPr>
                <w:rStyle w:val="Strong"/>
                <w:b w:val="0"/>
                <w:noProof/>
                <w:szCs w:val="22"/>
              </w:rPr>
              <w:t>(</w:t>
            </w:r>
            <w:r w:rsidRPr="00BD008E">
              <w:rPr>
                <w:rStyle w:val="FootnoteReference"/>
                <w:b/>
                <w:noProof/>
                <w:szCs w:val="22"/>
              </w:rPr>
              <w:footnoteReference w:id="249"/>
            </w:r>
            <w:r w:rsidRPr="00BD008E">
              <w:rPr>
                <w:rStyle w:val="Strong"/>
                <w:b w:val="0"/>
                <w:noProof/>
                <w:szCs w:val="22"/>
              </w:rPr>
              <w:t>) notes that technology developed in EU pilot lines is frequently scaled abroad; IFRI (2024)</w:t>
            </w:r>
            <w:r w:rsidR="00F274DD" w:rsidRPr="00BD008E">
              <w:rPr>
                <w:rStyle w:val="Strong"/>
                <w:b w:val="0"/>
                <w:noProof/>
                <w:szCs w:val="22"/>
              </w:rPr>
              <w:t xml:space="preserve"> </w:t>
            </w:r>
            <w:r w:rsidRPr="00BD008E">
              <w:rPr>
                <w:rStyle w:val="Strong"/>
                <w:b w:val="0"/>
                <w:noProof/>
                <w:szCs w:val="22"/>
              </w:rPr>
              <w:t>(</w:t>
            </w:r>
            <w:r w:rsidRPr="00BD008E">
              <w:rPr>
                <w:rStyle w:val="FootnoteReference"/>
                <w:b/>
                <w:noProof/>
                <w:szCs w:val="22"/>
              </w:rPr>
              <w:footnoteReference w:id="250"/>
            </w:r>
            <w:r w:rsidRPr="00BD008E">
              <w:rPr>
                <w:rStyle w:val="Strong"/>
                <w:b w:val="0"/>
                <w:noProof/>
                <w:szCs w:val="22"/>
              </w:rPr>
              <w:t>) and BCG &amp; SIA (2024)</w:t>
            </w:r>
            <w:r w:rsidR="00F274DD" w:rsidRPr="00BD008E">
              <w:rPr>
                <w:rStyle w:val="Strong"/>
                <w:b w:val="0"/>
                <w:noProof/>
                <w:szCs w:val="22"/>
              </w:rPr>
              <w:t xml:space="preserve"> </w:t>
            </w:r>
            <w:r w:rsidRPr="00BD008E">
              <w:rPr>
                <w:rStyle w:val="Strong"/>
                <w:b w:val="0"/>
                <w:noProof/>
                <w:szCs w:val="22"/>
              </w:rPr>
              <w:t>(</w:t>
            </w:r>
            <w:r w:rsidRPr="00BD008E">
              <w:rPr>
                <w:rStyle w:val="FootnoteReference"/>
                <w:b/>
                <w:noProof/>
                <w:szCs w:val="22"/>
              </w:rPr>
              <w:footnoteReference w:id="251"/>
            </w:r>
            <w:r w:rsidRPr="00BD008E">
              <w:rPr>
                <w:rStyle w:val="Strong"/>
                <w:b w:val="0"/>
                <w:noProof/>
                <w:szCs w:val="22"/>
              </w:rPr>
              <w:t>) underline the absence of large-scale EU foundries capable of absorbing advanced research.</w:t>
            </w:r>
          </w:p>
        </w:tc>
      </w:tr>
      <w:tr w:rsidR="00EC49AF" w:rsidRPr="008B13A5" w14:paraId="2C0E01EC" w14:textId="77777777">
        <w:tc>
          <w:tcPr>
            <w:tcW w:w="0" w:type="auto"/>
          </w:tcPr>
          <w:p w14:paraId="044352B0" w14:textId="10D04247" w:rsidR="00EC49AF" w:rsidRPr="008B13A5" w:rsidRDefault="00EC49AF">
            <w:pPr>
              <w:jc w:val="left"/>
              <w:rPr>
                <w:noProof/>
                <w:szCs w:val="22"/>
              </w:rPr>
            </w:pPr>
            <w:r w:rsidRPr="008B13A5">
              <w:rPr>
                <w:noProof/>
                <w:szCs w:val="22"/>
              </w:rPr>
              <w:t>R&amp;D intensity (R&amp;D expenditure as % of semiconductor revenue)</w:t>
            </w:r>
          </w:p>
        </w:tc>
        <w:tc>
          <w:tcPr>
            <w:tcW w:w="0" w:type="auto"/>
          </w:tcPr>
          <w:p w14:paraId="25C7E129" w14:textId="75F6ADD1" w:rsidR="00EC49AF" w:rsidRPr="008B13A5" w:rsidRDefault="00EC49AF">
            <w:pPr>
              <w:jc w:val="left"/>
              <w:rPr>
                <w:noProof/>
                <w:szCs w:val="22"/>
              </w:rPr>
            </w:pPr>
            <w:r w:rsidRPr="008B13A5">
              <w:rPr>
                <w:noProof/>
                <w:szCs w:val="22"/>
              </w:rPr>
              <w:t>≈ 22 % (± 2 pp)</w:t>
            </w:r>
          </w:p>
        </w:tc>
        <w:tc>
          <w:tcPr>
            <w:tcW w:w="0" w:type="auto"/>
          </w:tcPr>
          <w:p w14:paraId="0015B6B8" w14:textId="1A0BCCFB" w:rsidR="00EC49AF" w:rsidRPr="008B13A5" w:rsidRDefault="00EC49AF">
            <w:pPr>
              <w:jc w:val="left"/>
              <w:rPr>
                <w:noProof/>
                <w:szCs w:val="22"/>
              </w:rPr>
            </w:pPr>
            <w:r w:rsidRPr="008B13A5">
              <w:rPr>
                <w:noProof/>
                <w:szCs w:val="22"/>
              </w:rPr>
              <w:t>Global average ~22 % (U.S. 23 %; Asia 21 %)</w:t>
            </w:r>
          </w:p>
        </w:tc>
        <w:tc>
          <w:tcPr>
            <w:tcW w:w="0" w:type="auto"/>
          </w:tcPr>
          <w:p w14:paraId="5C0F55A2" w14:textId="6A0248AC" w:rsidR="00EC49AF" w:rsidRPr="008B13A5" w:rsidRDefault="00EC49AF">
            <w:pPr>
              <w:rPr>
                <w:noProof/>
                <w:szCs w:val="22"/>
              </w:rPr>
            </w:pPr>
            <w:r w:rsidRPr="008B13A5">
              <w:rPr>
                <w:rStyle w:val="Strong"/>
                <w:noProof/>
                <w:szCs w:val="22"/>
              </w:rPr>
              <w:t>McKinsey &amp; Company (2025)</w:t>
            </w:r>
            <w:r w:rsidR="00F274DD" w:rsidRPr="008B13A5">
              <w:rPr>
                <w:rStyle w:val="Strong"/>
                <w:noProof/>
                <w:szCs w:val="22"/>
              </w:rPr>
              <w:t xml:space="preserve"> </w:t>
            </w:r>
            <w:r w:rsidRPr="008B13A5">
              <w:rPr>
                <w:rStyle w:val="Strong"/>
                <w:noProof/>
                <w:szCs w:val="22"/>
              </w:rPr>
              <w:t>(</w:t>
            </w:r>
            <w:r w:rsidRPr="008B13A5">
              <w:rPr>
                <w:rStyle w:val="FootnoteReference"/>
                <w:noProof/>
                <w:szCs w:val="22"/>
              </w:rPr>
              <w:footnoteReference w:id="252"/>
            </w:r>
            <w:r w:rsidRPr="008B13A5">
              <w:rPr>
                <w:rStyle w:val="Strong"/>
                <w:noProof/>
                <w:szCs w:val="22"/>
              </w:rPr>
              <w:t>)</w:t>
            </w:r>
            <w:r w:rsidRPr="008B13A5">
              <w:rPr>
                <w:noProof/>
                <w:szCs w:val="22"/>
              </w:rPr>
              <w:t>: “Semiconductor industry averages about 22 % of revenue in R&amp;D.”</w:t>
            </w:r>
          </w:p>
          <w:p w14:paraId="535508CF" w14:textId="6C95D29A" w:rsidR="00EC49AF" w:rsidRPr="008B13A5" w:rsidRDefault="00EC49AF">
            <w:pPr>
              <w:rPr>
                <w:noProof/>
                <w:szCs w:val="22"/>
              </w:rPr>
            </w:pPr>
            <w:r w:rsidRPr="008B13A5">
              <w:rPr>
                <w:rStyle w:val="Strong"/>
                <w:noProof/>
                <w:szCs w:val="22"/>
              </w:rPr>
              <w:t>Deloitte (2021)</w:t>
            </w:r>
            <w:r w:rsidR="00F274DD" w:rsidRPr="008B13A5">
              <w:rPr>
                <w:rStyle w:val="Strong"/>
                <w:noProof/>
                <w:szCs w:val="22"/>
              </w:rPr>
              <w:t xml:space="preserve"> </w:t>
            </w:r>
            <w:r w:rsidRPr="008B13A5">
              <w:rPr>
                <w:rStyle w:val="Strong"/>
                <w:noProof/>
                <w:szCs w:val="22"/>
              </w:rPr>
              <w:t>(</w:t>
            </w:r>
            <w:r w:rsidRPr="008B13A5">
              <w:rPr>
                <w:rStyle w:val="FootnoteReference"/>
                <w:noProof/>
                <w:szCs w:val="22"/>
              </w:rPr>
              <w:footnoteReference w:id="253"/>
            </w:r>
            <w:r w:rsidRPr="008B13A5">
              <w:rPr>
                <w:rStyle w:val="Strong"/>
                <w:noProof/>
                <w:szCs w:val="22"/>
              </w:rPr>
              <w:t>)</w:t>
            </w:r>
            <w:r w:rsidRPr="008B13A5">
              <w:rPr>
                <w:noProof/>
                <w:szCs w:val="22"/>
              </w:rPr>
              <w:t xml:space="preserve">: “Typically reinvest 20–25 % of revenue in R&amp;D.” </w:t>
            </w:r>
          </w:p>
          <w:p w14:paraId="003FD654" w14:textId="76162CD1" w:rsidR="00EC49AF" w:rsidRPr="008B13A5" w:rsidRDefault="00EC49AF">
            <w:pPr>
              <w:rPr>
                <w:noProof/>
                <w:szCs w:val="22"/>
              </w:rPr>
            </w:pPr>
            <w:r w:rsidRPr="008B13A5">
              <w:rPr>
                <w:rStyle w:val="Strong"/>
                <w:noProof/>
                <w:szCs w:val="22"/>
              </w:rPr>
              <w:t>Company reports</w:t>
            </w:r>
            <w:r w:rsidRPr="008B13A5">
              <w:rPr>
                <w:noProof/>
                <w:szCs w:val="22"/>
              </w:rPr>
              <w:t>: ASML 15 %, Infineon 14 %, ST 13 %, NXP 16 %. Adjusted upward for Europe’s strong public-research component gives ≈ 22 %.</w:t>
            </w:r>
          </w:p>
        </w:tc>
      </w:tr>
      <w:tr w:rsidR="00EC49AF" w:rsidRPr="008B13A5" w14:paraId="054AAE83" w14:textId="77777777">
        <w:tc>
          <w:tcPr>
            <w:tcW w:w="0" w:type="auto"/>
          </w:tcPr>
          <w:p w14:paraId="306C976C" w14:textId="479B6E99" w:rsidR="00EC49AF" w:rsidRPr="008B13A5" w:rsidRDefault="00EC49AF">
            <w:pPr>
              <w:jc w:val="left"/>
              <w:rPr>
                <w:noProof/>
                <w:szCs w:val="22"/>
              </w:rPr>
            </w:pPr>
            <w:r w:rsidRPr="008B13A5">
              <w:rPr>
                <w:noProof/>
                <w:szCs w:val="22"/>
              </w:rPr>
              <w:t>Share of global semiconductor R&amp;D spending</w:t>
            </w:r>
          </w:p>
        </w:tc>
        <w:tc>
          <w:tcPr>
            <w:tcW w:w="0" w:type="auto"/>
          </w:tcPr>
          <w:p w14:paraId="50F9E68C" w14:textId="16BC15FD" w:rsidR="00EC49AF" w:rsidRPr="008B13A5" w:rsidRDefault="00EC49AF">
            <w:pPr>
              <w:jc w:val="left"/>
              <w:rPr>
                <w:noProof/>
                <w:szCs w:val="22"/>
              </w:rPr>
            </w:pPr>
            <w:r w:rsidRPr="008B13A5">
              <w:rPr>
                <w:noProof/>
                <w:szCs w:val="22"/>
              </w:rPr>
              <w:t>≈ 9–10 % (± 2 pp)</w:t>
            </w:r>
          </w:p>
        </w:tc>
        <w:tc>
          <w:tcPr>
            <w:tcW w:w="0" w:type="auto"/>
          </w:tcPr>
          <w:p w14:paraId="1E0E5A4F" w14:textId="2107F6B3" w:rsidR="00EC49AF" w:rsidRPr="008B13A5" w:rsidRDefault="00EC49AF">
            <w:pPr>
              <w:jc w:val="left"/>
              <w:rPr>
                <w:noProof/>
                <w:szCs w:val="22"/>
              </w:rPr>
            </w:pPr>
            <w:r w:rsidRPr="008B13A5">
              <w:rPr>
                <w:noProof/>
                <w:szCs w:val="22"/>
              </w:rPr>
              <w:t>U.S. ≈ 50 %; Asia ≈ 35 %</w:t>
            </w:r>
          </w:p>
        </w:tc>
        <w:tc>
          <w:tcPr>
            <w:tcW w:w="0" w:type="auto"/>
          </w:tcPr>
          <w:p w14:paraId="27AB4D2F" w14:textId="7605D349" w:rsidR="00EC49AF" w:rsidRPr="008B13A5" w:rsidRDefault="00EC49AF">
            <w:pPr>
              <w:rPr>
                <w:noProof/>
                <w:szCs w:val="22"/>
              </w:rPr>
            </w:pPr>
            <w:r w:rsidRPr="008B13A5">
              <w:rPr>
                <w:rStyle w:val="Strong"/>
                <w:noProof/>
                <w:szCs w:val="22"/>
              </w:rPr>
              <w:t>McKinsey (2024)</w:t>
            </w:r>
            <w:r w:rsidR="00F274DD" w:rsidRPr="008B13A5">
              <w:rPr>
                <w:rStyle w:val="Strong"/>
                <w:noProof/>
                <w:szCs w:val="22"/>
              </w:rPr>
              <w:t xml:space="preserve"> </w:t>
            </w:r>
            <w:r w:rsidRPr="008B13A5">
              <w:rPr>
                <w:rStyle w:val="Strong"/>
                <w:noProof/>
                <w:szCs w:val="22"/>
              </w:rPr>
              <w:t>(</w:t>
            </w:r>
            <w:r w:rsidRPr="008B13A5">
              <w:rPr>
                <w:rStyle w:val="FootnoteReference"/>
                <w:noProof/>
                <w:szCs w:val="22"/>
              </w:rPr>
              <w:footnoteReference w:id="254"/>
            </w:r>
            <w:r w:rsidRPr="008B13A5">
              <w:rPr>
                <w:rStyle w:val="Strong"/>
                <w:noProof/>
                <w:szCs w:val="22"/>
              </w:rPr>
              <w:t>)</w:t>
            </w:r>
            <w:r w:rsidRPr="008B13A5">
              <w:rPr>
                <w:noProof/>
                <w:szCs w:val="22"/>
              </w:rPr>
              <w:t xml:space="preserve">: Europe’s revenue share ≈ 10 % of global industry → assumed proportional R&amp;D share. </w:t>
            </w:r>
          </w:p>
          <w:p w14:paraId="71BCDEA9" w14:textId="50698C5E" w:rsidR="00EC49AF" w:rsidRPr="008B13A5" w:rsidRDefault="00EC49AF">
            <w:pPr>
              <w:rPr>
                <w:noProof/>
                <w:szCs w:val="22"/>
              </w:rPr>
            </w:pPr>
            <w:r w:rsidRPr="00BD008E">
              <w:rPr>
                <w:rStyle w:val="Strong"/>
                <w:b w:val="0"/>
                <w:noProof/>
                <w:szCs w:val="22"/>
              </w:rPr>
              <w:t>JRC (2025)</w:t>
            </w:r>
            <w:r w:rsidR="00F274DD" w:rsidRPr="008B13A5">
              <w:rPr>
                <w:rStyle w:val="Strong"/>
                <w:noProof/>
                <w:szCs w:val="22"/>
              </w:rPr>
              <w:t xml:space="preserve"> </w:t>
            </w:r>
            <w:r w:rsidRPr="008B13A5">
              <w:rPr>
                <w:rStyle w:val="Strong"/>
                <w:noProof/>
                <w:szCs w:val="22"/>
              </w:rPr>
              <w:t>(</w:t>
            </w:r>
            <w:r w:rsidRPr="008B13A5">
              <w:rPr>
                <w:rStyle w:val="FootnoteReference"/>
                <w:noProof/>
                <w:szCs w:val="22"/>
              </w:rPr>
              <w:footnoteReference w:id="255"/>
            </w:r>
            <w:r w:rsidRPr="008B13A5">
              <w:rPr>
                <w:rStyle w:val="Strong"/>
                <w:noProof/>
                <w:szCs w:val="22"/>
              </w:rPr>
              <w:t>)</w:t>
            </w:r>
            <w:r w:rsidRPr="008B13A5">
              <w:rPr>
                <w:noProof/>
                <w:szCs w:val="22"/>
              </w:rPr>
              <w:t xml:space="preserve"> reports EU accounts for roughly 10% of semiconductor value-added.</w:t>
            </w:r>
          </w:p>
          <w:p w14:paraId="75B6EA62" w14:textId="7C3ADC18" w:rsidR="00EC49AF" w:rsidRPr="00BD008E" w:rsidRDefault="00EC49AF">
            <w:pPr>
              <w:rPr>
                <w:b/>
                <w:noProof/>
                <w:szCs w:val="22"/>
              </w:rPr>
            </w:pPr>
            <w:r w:rsidRPr="00BD008E">
              <w:rPr>
                <w:rStyle w:val="Strong"/>
                <w:b w:val="0"/>
                <w:noProof/>
                <w:szCs w:val="22"/>
              </w:rPr>
              <w:t>Given that semiconductor R&amp;D intensity is relatively constant worldwide (around 20–25 % of revenue; McKinsey 2025; Deloitte 2021), it is reasonable to assume that regional R&amp;D spending scales proportionally with regional industry revenue. Accordingly, Europe’s approximate 10% share of global semiconductor revenue implies a similar order of magnitude for its share of global R&amp;D expenditure (≈ 9–10 %).</w:t>
            </w:r>
          </w:p>
        </w:tc>
      </w:tr>
      <w:tr w:rsidR="00EC49AF" w:rsidRPr="008B13A5" w14:paraId="0971017A" w14:textId="77777777">
        <w:tc>
          <w:tcPr>
            <w:tcW w:w="0" w:type="auto"/>
          </w:tcPr>
          <w:p w14:paraId="1D158347" w14:textId="377240C0" w:rsidR="00EC49AF" w:rsidRPr="008B13A5" w:rsidRDefault="00EC49AF">
            <w:pPr>
              <w:jc w:val="left"/>
              <w:rPr>
                <w:noProof/>
                <w:szCs w:val="22"/>
              </w:rPr>
            </w:pPr>
            <w:r w:rsidRPr="008B13A5">
              <w:rPr>
                <w:noProof/>
                <w:szCs w:val="22"/>
              </w:rPr>
              <w:t>Share of global chip-design market</w:t>
            </w:r>
          </w:p>
        </w:tc>
        <w:tc>
          <w:tcPr>
            <w:tcW w:w="0" w:type="auto"/>
          </w:tcPr>
          <w:p w14:paraId="5D59EA4C" w14:textId="7964DCEB" w:rsidR="00EC49AF" w:rsidRPr="008B13A5" w:rsidRDefault="00EC49AF">
            <w:pPr>
              <w:jc w:val="left"/>
              <w:rPr>
                <w:noProof/>
                <w:szCs w:val="22"/>
              </w:rPr>
            </w:pPr>
            <w:r w:rsidRPr="008B13A5">
              <w:rPr>
                <w:noProof/>
                <w:szCs w:val="22"/>
              </w:rPr>
              <w:t>≈ 9 %</w:t>
            </w:r>
          </w:p>
        </w:tc>
        <w:tc>
          <w:tcPr>
            <w:tcW w:w="0" w:type="auto"/>
          </w:tcPr>
          <w:p w14:paraId="5D7E4597" w14:textId="33D97E20" w:rsidR="00EC49AF" w:rsidRPr="008B13A5" w:rsidRDefault="00EC49AF">
            <w:pPr>
              <w:jc w:val="left"/>
              <w:rPr>
                <w:noProof/>
                <w:szCs w:val="22"/>
              </w:rPr>
            </w:pPr>
            <w:r w:rsidRPr="008B13A5">
              <w:rPr>
                <w:noProof/>
                <w:szCs w:val="22"/>
              </w:rPr>
              <w:t>`U.S. ≈ 60 %; China ≈ 16 %; Taiwan ≈ 8 %</w:t>
            </w:r>
          </w:p>
        </w:tc>
        <w:tc>
          <w:tcPr>
            <w:tcW w:w="0" w:type="auto"/>
          </w:tcPr>
          <w:p w14:paraId="5040A5D8" w14:textId="44ECC16C" w:rsidR="00EC49AF" w:rsidRPr="008B13A5" w:rsidRDefault="00EC49AF">
            <w:pPr>
              <w:rPr>
                <w:noProof/>
                <w:szCs w:val="22"/>
              </w:rPr>
            </w:pPr>
            <w:r w:rsidRPr="008B13A5">
              <w:rPr>
                <w:rStyle w:val="Strong"/>
                <w:noProof/>
                <w:szCs w:val="22"/>
              </w:rPr>
              <w:t>JRC (2025)</w:t>
            </w:r>
            <w:r w:rsidR="00F274DD" w:rsidRPr="008B13A5">
              <w:rPr>
                <w:rStyle w:val="Strong"/>
                <w:noProof/>
                <w:szCs w:val="22"/>
              </w:rPr>
              <w:t xml:space="preserve"> </w:t>
            </w:r>
            <w:r w:rsidRPr="008B13A5">
              <w:rPr>
                <w:rStyle w:val="Strong"/>
                <w:noProof/>
                <w:szCs w:val="22"/>
              </w:rPr>
              <w:t>(</w:t>
            </w:r>
            <w:r w:rsidRPr="008B13A5">
              <w:rPr>
                <w:rStyle w:val="FootnoteReference"/>
                <w:noProof/>
                <w:szCs w:val="22"/>
              </w:rPr>
              <w:footnoteReference w:id="256"/>
            </w:r>
            <w:r w:rsidRPr="008B13A5">
              <w:rPr>
                <w:rStyle w:val="Strong"/>
                <w:noProof/>
                <w:szCs w:val="22"/>
              </w:rPr>
              <w:t>)</w:t>
            </w:r>
            <w:r w:rsidRPr="008B13A5">
              <w:rPr>
                <w:noProof/>
                <w:szCs w:val="22"/>
              </w:rPr>
              <w:t xml:space="preserve">: EU ≈ 9 % of global chip-design revenue (including European IDMs). </w:t>
            </w:r>
          </w:p>
          <w:p w14:paraId="5B273033" w14:textId="0944DCCA" w:rsidR="00EC49AF" w:rsidRPr="008B13A5" w:rsidRDefault="00EC49AF">
            <w:pPr>
              <w:rPr>
                <w:noProof/>
                <w:szCs w:val="22"/>
              </w:rPr>
            </w:pPr>
            <w:r w:rsidRPr="008B13A5">
              <w:rPr>
                <w:rStyle w:val="Strong"/>
                <w:noProof/>
                <w:szCs w:val="22"/>
              </w:rPr>
              <w:t>BCG &amp; SIA (2024)</w:t>
            </w:r>
            <w:r w:rsidR="00F274DD" w:rsidRPr="008B13A5">
              <w:rPr>
                <w:rStyle w:val="Strong"/>
                <w:noProof/>
                <w:szCs w:val="22"/>
              </w:rPr>
              <w:t xml:space="preserve"> </w:t>
            </w:r>
            <w:r w:rsidRPr="008B13A5">
              <w:rPr>
                <w:rStyle w:val="Strong"/>
                <w:noProof/>
                <w:szCs w:val="22"/>
              </w:rPr>
              <w:t>(</w:t>
            </w:r>
            <w:r w:rsidRPr="008B13A5">
              <w:rPr>
                <w:rStyle w:val="FootnoteReference"/>
                <w:noProof/>
                <w:szCs w:val="22"/>
              </w:rPr>
              <w:footnoteReference w:id="257"/>
            </w:r>
            <w:r w:rsidRPr="008B13A5">
              <w:rPr>
                <w:rStyle w:val="Strong"/>
                <w:noProof/>
                <w:szCs w:val="22"/>
              </w:rPr>
              <w:t>)</w:t>
            </w:r>
            <w:r w:rsidRPr="008B13A5">
              <w:rPr>
                <w:noProof/>
                <w:szCs w:val="22"/>
              </w:rPr>
              <w:t xml:space="preserve">: “The US retains &gt; 60 % of global chip-design.” </w:t>
            </w:r>
          </w:p>
        </w:tc>
      </w:tr>
      <w:tr w:rsidR="00EC49AF" w:rsidRPr="008B13A5" w14:paraId="09B64F2D" w14:textId="77777777">
        <w:tc>
          <w:tcPr>
            <w:tcW w:w="0" w:type="auto"/>
          </w:tcPr>
          <w:p w14:paraId="4F525CD7" w14:textId="6DEB9D5B" w:rsidR="00EC49AF" w:rsidRPr="008B13A5" w:rsidRDefault="00EC49AF">
            <w:pPr>
              <w:jc w:val="left"/>
              <w:rPr>
                <w:noProof/>
                <w:szCs w:val="22"/>
              </w:rPr>
            </w:pPr>
            <w:r w:rsidRPr="008B13A5">
              <w:rPr>
                <w:noProof/>
                <w:szCs w:val="22"/>
              </w:rPr>
              <w:t>Share of global advanced-node patents (&lt; 16 nm)</w:t>
            </w:r>
          </w:p>
        </w:tc>
        <w:tc>
          <w:tcPr>
            <w:tcW w:w="0" w:type="auto"/>
          </w:tcPr>
          <w:p w14:paraId="25C094CD" w14:textId="2A2157A8" w:rsidR="00EC49AF" w:rsidRPr="008B13A5" w:rsidRDefault="00EC49AF">
            <w:pPr>
              <w:jc w:val="left"/>
              <w:rPr>
                <w:noProof/>
                <w:szCs w:val="22"/>
              </w:rPr>
            </w:pPr>
            <w:r w:rsidRPr="008B13A5">
              <w:rPr>
                <w:noProof/>
                <w:szCs w:val="22"/>
              </w:rPr>
              <w:t>&lt; 5 %</w:t>
            </w:r>
          </w:p>
        </w:tc>
        <w:tc>
          <w:tcPr>
            <w:tcW w:w="0" w:type="auto"/>
          </w:tcPr>
          <w:p w14:paraId="68193724" w14:textId="560D45B3" w:rsidR="00EC49AF" w:rsidRPr="008B13A5" w:rsidRDefault="00EC49AF">
            <w:pPr>
              <w:jc w:val="left"/>
              <w:rPr>
                <w:noProof/>
                <w:szCs w:val="22"/>
              </w:rPr>
            </w:pPr>
            <w:r w:rsidRPr="008B13A5">
              <w:rPr>
                <w:noProof/>
                <w:szCs w:val="22"/>
              </w:rPr>
              <w:t>Dominated by U.S., Taiwan, Korea</w:t>
            </w:r>
          </w:p>
        </w:tc>
        <w:tc>
          <w:tcPr>
            <w:tcW w:w="0" w:type="auto"/>
          </w:tcPr>
          <w:p w14:paraId="2A654289" w14:textId="60298B81" w:rsidR="00EC49AF" w:rsidRPr="008B13A5" w:rsidRDefault="00EC49AF">
            <w:pPr>
              <w:rPr>
                <w:noProof/>
                <w:szCs w:val="22"/>
              </w:rPr>
            </w:pPr>
            <w:r w:rsidRPr="008B13A5">
              <w:rPr>
                <w:noProof/>
                <w:szCs w:val="22"/>
              </w:rPr>
              <w:t>JRC (2025), IFRI (2024), and BCG–SIA (2024) show that the EU has limited domestic production capacity at &lt;16 nm except for the Intel manufacturing in Leixlip, Ireland. Advanced-node process innovation is concentrated in Taiwan (TSMC), South Korea (Samsung) and the US (Intel and leading U.S. design–EDA ecosystems), though IMEC and CEA-Leti are innovating a lot for manufacturing below 2nm and FD-SOI below 7nm. Outside of the patents hold by RTOs, European patenting strength lies in equipment, materials, lithography and photonics rather than advanced CMOS logic. Given the strong correlation between leading-edge manufacturing and process-technology patenting, Europe’s share of &lt;16 nm patents is therefore inferred to be very small, typically estimated at below 5 %.</w:t>
            </w:r>
          </w:p>
        </w:tc>
      </w:tr>
      <w:tr w:rsidR="00EC49AF" w:rsidRPr="008B13A5" w14:paraId="3433B1B3" w14:textId="77777777">
        <w:tc>
          <w:tcPr>
            <w:tcW w:w="0" w:type="auto"/>
          </w:tcPr>
          <w:p w14:paraId="320816D0" w14:textId="791A7EC6" w:rsidR="00EC49AF" w:rsidRPr="008B13A5" w:rsidRDefault="00EC49AF">
            <w:pPr>
              <w:jc w:val="left"/>
              <w:rPr>
                <w:noProof/>
                <w:szCs w:val="22"/>
              </w:rPr>
            </w:pPr>
            <w:r w:rsidRPr="008B13A5">
              <w:rPr>
                <w:noProof/>
                <w:szCs w:val="22"/>
              </w:rPr>
              <w:t>Top</w:t>
            </w:r>
            <w:r w:rsidR="00692ABD" w:rsidRPr="008B13A5">
              <w:rPr>
                <w:noProof/>
                <w:szCs w:val="22"/>
              </w:rPr>
              <w:t xml:space="preserve"> </w:t>
            </w:r>
            <w:r w:rsidRPr="008B13A5">
              <w:rPr>
                <w:noProof/>
                <w:szCs w:val="22"/>
              </w:rPr>
              <w:t>10 EDA/design-tool vendors headquartered in EU</w:t>
            </w:r>
          </w:p>
        </w:tc>
        <w:tc>
          <w:tcPr>
            <w:tcW w:w="0" w:type="auto"/>
          </w:tcPr>
          <w:p w14:paraId="7B5FFC81" w14:textId="72584644" w:rsidR="00EC49AF" w:rsidRPr="008B13A5" w:rsidRDefault="00EC49AF">
            <w:pPr>
              <w:jc w:val="left"/>
              <w:rPr>
                <w:noProof/>
                <w:szCs w:val="22"/>
              </w:rPr>
            </w:pPr>
            <w:r w:rsidRPr="008B13A5">
              <w:rPr>
                <w:noProof/>
                <w:szCs w:val="22"/>
              </w:rPr>
              <w:t>1 (Siemens EDA)</w:t>
            </w:r>
          </w:p>
        </w:tc>
        <w:tc>
          <w:tcPr>
            <w:tcW w:w="0" w:type="auto"/>
          </w:tcPr>
          <w:p w14:paraId="2C66E3FD" w14:textId="71B19E93" w:rsidR="00EC49AF" w:rsidRPr="008B13A5" w:rsidRDefault="00EC49AF">
            <w:pPr>
              <w:jc w:val="left"/>
              <w:rPr>
                <w:noProof/>
                <w:szCs w:val="22"/>
              </w:rPr>
            </w:pPr>
            <w:r w:rsidRPr="008B13A5">
              <w:rPr>
                <w:noProof/>
                <w:szCs w:val="22"/>
              </w:rPr>
              <w:t>3 in U.S.</w:t>
            </w:r>
          </w:p>
        </w:tc>
        <w:tc>
          <w:tcPr>
            <w:tcW w:w="0" w:type="auto"/>
          </w:tcPr>
          <w:p w14:paraId="024535F5" w14:textId="20D7EDC6" w:rsidR="00EC49AF" w:rsidRPr="008B13A5" w:rsidRDefault="00EC49AF">
            <w:pPr>
              <w:rPr>
                <w:noProof/>
                <w:szCs w:val="22"/>
              </w:rPr>
            </w:pPr>
            <w:r w:rsidRPr="008B13A5">
              <w:rPr>
                <w:rStyle w:val="Strong"/>
                <w:noProof/>
                <w:szCs w:val="22"/>
              </w:rPr>
              <w:t>IFRI (2024)</w:t>
            </w:r>
            <w:r w:rsidR="00F274DD" w:rsidRPr="008B13A5">
              <w:rPr>
                <w:rStyle w:val="Strong"/>
                <w:noProof/>
                <w:szCs w:val="22"/>
              </w:rPr>
              <w:t xml:space="preserve"> </w:t>
            </w:r>
            <w:r w:rsidRPr="008B13A5">
              <w:rPr>
                <w:rStyle w:val="Strong"/>
                <w:noProof/>
                <w:szCs w:val="22"/>
              </w:rPr>
              <w:t>(</w:t>
            </w:r>
            <w:r w:rsidRPr="008B13A5">
              <w:rPr>
                <w:rStyle w:val="FootnoteReference"/>
                <w:noProof/>
                <w:szCs w:val="22"/>
              </w:rPr>
              <w:footnoteReference w:id="258"/>
            </w:r>
            <w:r w:rsidRPr="008B13A5">
              <w:rPr>
                <w:rStyle w:val="Strong"/>
                <w:noProof/>
                <w:szCs w:val="22"/>
              </w:rPr>
              <w:t>)</w:t>
            </w:r>
            <w:r w:rsidRPr="008B13A5">
              <w:rPr>
                <w:noProof/>
                <w:szCs w:val="22"/>
              </w:rPr>
              <w:t xml:space="preserve">: lists Siemens EDA as Europe’s sole global-tier EDA provider. </w:t>
            </w:r>
          </w:p>
        </w:tc>
      </w:tr>
      <w:tr w:rsidR="00EC49AF" w:rsidRPr="008B13A5" w14:paraId="5965E95C" w14:textId="77777777">
        <w:tc>
          <w:tcPr>
            <w:tcW w:w="0" w:type="auto"/>
          </w:tcPr>
          <w:p w14:paraId="3E34F4A0" w14:textId="55CCFACA" w:rsidR="00EC49AF" w:rsidRPr="008B13A5" w:rsidRDefault="00EC49AF">
            <w:pPr>
              <w:jc w:val="left"/>
              <w:rPr>
                <w:noProof/>
                <w:szCs w:val="22"/>
              </w:rPr>
            </w:pPr>
            <w:r w:rsidRPr="008B13A5">
              <w:rPr>
                <w:noProof/>
                <w:szCs w:val="22"/>
              </w:rPr>
              <w:t>Public R&amp;D funding for microelectronics (EU + MS)</w:t>
            </w:r>
          </w:p>
        </w:tc>
        <w:tc>
          <w:tcPr>
            <w:tcW w:w="0" w:type="auto"/>
          </w:tcPr>
          <w:p w14:paraId="10996B61" w14:textId="24428B22" w:rsidR="00EC49AF" w:rsidRPr="008B13A5" w:rsidRDefault="00EC49AF">
            <w:pPr>
              <w:jc w:val="left"/>
              <w:rPr>
                <w:noProof/>
                <w:szCs w:val="22"/>
              </w:rPr>
            </w:pPr>
            <w:r w:rsidRPr="008B13A5">
              <w:rPr>
                <w:noProof/>
                <w:szCs w:val="22"/>
              </w:rPr>
              <w:t>≈ EUR  3–4 billion annually</w:t>
            </w:r>
          </w:p>
        </w:tc>
        <w:tc>
          <w:tcPr>
            <w:tcW w:w="0" w:type="auto"/>
          </w:tcPr>
          <w:p w14:paraId="68B92620" w14:textId="7FE21F24" w:rsidR="00EC49AF" w:rsidRPr="008B13A5" w:rsidRDefault="00EC49AF">
            <w:pPr>
              <w:jc w:val="left"/>
              <w:rPr>
                <w:noProof/>
                <w:szCs w:val="22"/>
              </w:rPr>
            </w:pPr>
            <w:r w:rsidRPr="008B13A5">
              <w:rPr>
                <w:noProof/>
                <w:szCs w:val="22"/>
              </w:rPr>
              <w:t>U.S./Asia ≈ EUR  7–15 billion</w:t>
            </w:r>
          </w:p>
        </w:tc>
        <w:tc>
          <w:tcPr>
            <w:tcW w:w="0" w:type="auto"/>
          </w:tcPr>
          <w:p w14:paraId="21F89B2E" w14:textId="23EFDBDB" w:rsidR="00EC49AF" w:rsidRPr="008B13A5" w:rsidRDefault="00EC49AF">
            <w:pPr>
              <w:rPr>
                <w:noProof/>
                <w:szCs w:val="22"/>
              </w:rPr>
            </w:pPr>
            <w:r w:rsidRPr="008B13A5">
              <w:rPr>
                <w:rStyle w:val="Strong"/>
                <w:noProof/>
                <w:szCs w:val="22"/>
              </w:rPr>
              <w:t>ECA (2025)</w:t>
            </w:r>
            <w:r w:rsidR="00F274DD" w:rsidRPr="008B13A5">
              <w:rPr>
                <w:rStyle w:val="Strong"/>
                <w:noProof/>
                <w:szCs w:val="22"/>
              </w:rPr>
              <w:t xml:space="preserve"> </w:t>
            </w:r>
            <w:r w:rsidRPr="008B13A5">
              <w:rPr>
                <w:rStyle w:val="Strong"/>
                <w:noProof/>
                <w:szCs w:val="22"/>
              </w:rPr>
              <w:t>(</w:t>
            </w:r>
            <w:r w:rsidRPr="008B13A5">
              <w:rPr>
                <w:rStyle w:val="FootnoteReference"/>
                <w:noProof/>
                <w:szCs w:val="22"/>
              </w:rPr>
              <w:footnoteReference w:id="259"/>
            </w:r>
            <w:r w:rsidRPr="008B13A5">
              <w:rPr>
                <w:rStyle w:val="Strong"/>
                <w:noProof/>
                <w:szCs w:val="22"/>
              </w:rPr>
              <w:t>)</w:t>
            </w:r>
            <w:r w:rsidRPr="008B13A5">
              <w:rPr>
                <w:noProof/>
                <w:szCs w:val="22"/>
              </w:rPr>
              <w:t>: notes Chips Act public component “covers a small fraction” of global subsidies; combined EU-level and national programmes ≈ EUR 43 billion over 2021–2030, this translates to an annual average of roughly EUR  4 billion per year.</w:t>
            </w:r>
          </w:p>
        </w:tc>
      </w:tr>
    </w:tbl>
    <w:p w14:paraId="35B64A5C" w14:textId="6F1677CA" w:rsidR="00EC49AF" w:rsidRPr="008B13A5" w:rsidRDefault="00EC49AF" w:rsidP="00E73AD6">
      <w:pPr>
        <w:pStyle w:val="Heading3"/>
        <w:rPr>
          <w:noProof/>
        </w:rPr>
      </w:pPr>
      <w:bookmarkStart w:id="304" w:name="_Toc217395635"/>
      <w:bookmarkStart w:id="305" w:name="_Toc217396484"/>
      <w:bookmarkStart w:id="306" w:name="_Toc1095872718"/>
      <w:bookmarkStart w:id="307" w:name="_Toc223620645"/>
      <w:bookmarkStart w:id="308" w:name="_Toc230010467"/>
      <w:r w:rsidRPr="008B13A5">
        <w:rPr>
          <w:noProof/>
        </w:rPr>
        <w:t>Modelling the BAU scenario</w:t>
      </w:r>
      <w:bookmarkEnd w:id="304"/>
      <w:bookmarkEnd w:id="305"/>
      <w:bookmarkEnd w:id="306"/>
      <w:bookmarkEnd w:id="307"/>
      <w:bookmarkEnd w:id="308"/>
    </w:p>
    <w:p w14:paraId="2D4F8064" w14:textId="4E614E4F" w:rsidR="00EC49AF" w:rsidRPr="008B13A5" w:rsidRDefault="00EC49AF" w:rsidP="00EC49AF">
      <w:pPr>
        <w:rPr>
          <w:rStyle w:val="Strong"/>
          <w:b w:val="0"/>
          <w:bCs w:val="0"/>
          <w:noProof/>
        </w:rPr>
      </w:pPr>
      <w:r w:rsidRPr="00BD008E">
        <w:rPr>
          <w:rStyle w:val="Strong"/>
          <w:b w:val="0"/>
          <w:noProof/>
        </w:rPr>
        <w:t>In the BAU model, we explicitly assume that Europe’s strong research base does not translate proportionally into industrial capacity, due to persistent lab-to-fab bottlenecks, limited domestic absorption capacity, and structural fragmentation. As a result, R&amp;D inputs increase, but technology-transfer outcomes remain modest, in line with the evidence from JRC (2025)</w:t>
      </w:r>
      <w:r w:rsidRPr="00BD008E">
        <w:rPr>
          <w:rStyle w:val="FootnoteReference"/>
          <w:b/>
          <w:noProof/>
        </w:rPr>
        <w:t xml:space="preserve"> </w:t>
      </w:r>
      <w:r w:rsidR="00F274DD" w:rsidRPr="00BD008E">
        <w:rPr>
          <w:b/>
          <w:noProof/>
        </w:rPr>
        <w:t xml:space="preserve"> </w:t>
      </w:r>
      <w:r w:rsidRPr="00BD008E">
        <w:rPr>
          <w:b/>
          <w:noProof/>
        </w:rPr>
        <w:t>(</w:t>
      </w:r>
      <w:r w:rsidRPr="00BD008E">
        <w:rPr>
          <w:rStyle w:val="FootnoteReference"/>
          <w:b/>
          <w:noProof/>
        </w:rPr>
        <w:footnoteReference w:id="260"/>
      </w:r>
      <w:r w:rsidRPr="00BD008E">
        <w:rPr>
          <w:b/>
          <w:noProof/>
        </w:rPr>
        <w:t>)</w:t>
      </w:r>
      <w:r w:rsidRPr="00BD008E">
        <w:rPr>
          <w:rStyle w:val="Strong"/>
          <w:b w:val="0"/>
          <w:noProof/>
        </w:rPr>
        <w:t>, ECA (2025)</w:t>
      </w:r>
      <w:r w:rsidRPr="00BD008E">
        <w:rPr>
          <w:rStyle w:val="FootnoteReference"/>
          <w:b/>
          <w:noProof/>
        </w:rPr>
        <w:t xml:space="preserve"> </w:t>
      </w:r>
      <w:r w:rsidR="00F274DD" w:rsidRPr="00BD008E">
        <w:rPr>
          <w:b/>
          <w:noProof/>
        </w:rPr>
        <w:t xml:space="preserve"> </w:t>
      </w:r>
      <w:r w:rsidRPr="00BD008E">
        <w:rPr>
          <w:b/>
          <w:noProof/>
        </w:rPr>
        <w:t>(</w:t>
      </w:r>
      <w:r w:rsidRPr="00BD008E">
        <w:rPr>
          <w:rStyle w:val="FootnoteReference"/>
          <w:b/>
          <w:noProof/>
        </w:rPr>
        <w:footnoteReference w:id="261"/>
      </w:r>
      <w:r w:rsidRPr="00BD008E">
        <w:rPr>
          <w:b/>
          <w:noProof/>
        </w:rPr>
        <w:t>)</w:t>
      </w:r>
      <w:r w:rsidRPr="00BD008E">
        <w:rPr>
          <w:rStyle w:val="Strong"/>
          <w:b w:val="0"/>
          <w:noProof/>
        </w:rPr>
        <w:t>, IFRI (2024)</w:t>
      </w:r>
      <w:r w:rsidRPr="00BD008E">
        <w:rPr>
          <w:rStyle w:val="FootnoteReference"/>
          <w:b/>
          <w:noProof/>
        </w:rPr>
        <w:t xml:space="preserve"> </w:t>
      </w:r>
      <w:r w:rsidR="00F274DD" w:rsidRPr="00BD008E">
        <w:rPr>
          <w:b/>
          <w:noProof/>
        </w:rPr>
        <w:t xml:space="preserve"> </w:t>
      </w:r>
      <w:r w:rsidRPr="00BD008E">
        <w:rPr>
          <w:b/>
          <w:noProof/>
        </w:rPr>
        <w:t>(</w:t>
      </w:r>
      <w:r w:rsidRPr="00BD008E">
        <w:rPr>
          <w:rStyle w:val="FootnoteReference"/>
          <w:b/>
          <w:noProof/>
        </w:rPr>
        <w:footnoteReference w:id="262"/>
      </w:r>
      <w:r w:rsidRPr="00BD008E">
        <w:rPr>
          <w:b/>
          <w:noProof/>
        </w:rPr>
        <w:t>)</w:t>
      </w:r>
      <w:r w:rsidRPr="00BD008E">
        <w:rPr>
          <w:rStyle w:val="Strong"/>
          <w:b w:val="0"/>
          <w:noProof/>
        </w:rPr>
        <w:t>, and BCG–SIA (2024)</w:t>
      </w:r>
      <w:r w:rsidRPr="00BD008E">
        <w:rPr>
          <w:rStyle w:val="FootnoteReference"/>
          <w:b/>
          <w:noProof/>
        </w:rPr>
        <w:t xml:space="preserve"> </w:t>
      </w:r>
      <w:r w:rsidR="00F274DD" w:rsidRPr="00BD008E">
        <w:rPr>
          <w:b/>
          <w:noProof/>
        </w:rPr>
        <w:t xml:space="preserve"> </w:t>
      </w:r>
      <w:r w:rsidRPr="00BD008E">
        <w:rPr>
          <w:b/>
          <w:noProof/>
        </w:rPr>
        <w:t>(</w:t>
      </w:r>
      <w:r w:rsidRPr="00BD008E">
        <w:rPr>
          <w:rStyle w:val="FootnoteReference"/>
          <w:b/>
          <w:noProof/>
        </w:rPr>
        <w:footnoteReference w:id="263"/>
      </w:r>
      <w:r w:rsidRPr="00BD008E">
        <w:rPr>
          <w:b/>
          <w:noProof/>
        </w:rPr>
        <w:t>)</w:t>
      </w:r>
      <w:r w:rsidRPr="00BD008E">
        <w:rPr>
          <w:rStyle w:val="Strong"/>
          <w:b w:val="0"/>
          <w:noProof/>
        </w:rPr>
        <w:t>.</w:t>
      </w:r>
    </w:p>
    <w:p w14:paraId="5DFD556B" w14:textId="5967939F" w:rsidR="00EC49AF" w:rsidRPr="008B13A5" w:rsidRDefault="00EC49AF" w:rsidP="00EC49AF">
      <w:pPr>
        <w:rPr>
          <w:b/>
          <w:bCs/>
          <w:noProof/>
          <w:lang w:eastAsia="en-GB"/>
        </w:rPr>
      </w:pPr>
      <w:r w:rsidRPr="008B13A5">
        <w:rPr>
          <w:b/>
          <w:bCs/>
          <w:noProof/>
          <w:lang w:eastAsia="en-GB"/>
        </w:rPr>
        <w:t>Technology transfer and industrial scaling (lab-to-fab)</w:t>
      </w:r>
    </w:p>
    <w:p w14:paraId="5AC2C296" w14:textId="2BE3D4B8" w:rsidR="00EC49AF" w:rsidRPr="008B13A5" w:rsidRDefault="00EC49AF" w:rsidP="00F47256">
      <w:pPr>
        <w:pStyle w:val="ListParagraph"/>
        <w:numPr>
          <w:ilvl w:val="0"/>
          <w:numId w:val="42"/>
        </w:numPr>
        <w:spacing w:after="120"/>
        <w:rPr>
          <w:noProof/>
        </w:rPr>
      </w:pPr>
      <w:r w:rsidRPr="008B13A5">
        <w:rPr>
          <w:b/>
          <w:bCs/>
          <w:noProof/>
        </w:rPr>
        <w:t>Developments expected under BAU</w:t>
      </w:r>
      <w:r w:rsidRPr="008B13A5">
        <w:rPr>
          <w:noProof/>
        </w:rPr>
        <w:t>: Under the business-as-usual scenario, Europe’s pilot lines continue to generate high-quality scientific outputs in advanced logic, power electronics, compound semiconductors, photonics, and materials engineering. However, the rate of industrial uptake remains limited. Most European IDMs operate at mature nodes and demonstrate only partial incentives to integrate new process modules that require costly requalification. The EU’s limited presence in advanced-node manufacturing further restricts opportunities for domestic scaling. Consequently, although pilot lines strengthen Europe’s technological capabilities, a significant share of innovations is expected to be commercialised in non-EU foundries where larger design ecosystems and high-volume manufacturing platforms are available.</w:t>
      </w:r>
    </w:p>
    <w:p w14:paraId="7CAFD0BA" w14:textId="283626F2" w:rsidR="00EC49AF" w:rsidRPr="008B13A5" w:rsidRDefault="00EC49AF" w:rsidP="00F47256">
      <w:pPr>
        <w:pStyle w:val="ListParagraph"/>
        <w:numPr>
          <w:ilvl w:val="0"/>
          <w:numId w:val="42"/>
        </w:numPr>
        <w:spacing w:after="120"/>
        <w:rPr>
          <w:noProof/>
        </w:rPr>
      </w:pPr>
      <w:r w:rsidRPr="008B13A5">
        <w:rPr>
          <w:b/>
          <w:bCs/>
          <w:noProof/>
        </w:rPr>
        <w:t>Rationale</w:t>
      </w:r>
      <w:r w:rsidRPr="008B13A5">
        <w:rPr>
          <w:noProof/>
        </w:rPr>
        <w:t>: Evidence from the JRC (2025)</w:t>
      </w:r>
      <w:r w:rsidRPr="008B13A5">
        <w:rPr>
          <w:rStyle w:val="FootnoteReference"/>
          <w:noProof/>
        </w:rPr>
        <w:t xml:space="preserve"> </w:t>
      </w:r>
      <w:r w:rsidR="00F274DD" w:rsidRPr="008B13A5">
        <w:rPr>
          <w:noProof/>
        </w:rPr>
        <w:t xml:space="preserve"> </w:t>
      </w:r>
      <w:r w:rsidRPr="008B13A5">
        <w:rPr>
          <w:noProof/>
        </w:rPr>
        <w:t>(</w:t>
      </w:r>
      <w:r w:rsidRPr="008B13A5">
        <w:rPr>
          <w:rStyle w:val="FootnoteReference"/>
          <w:noProof/>
        </w:rPr>
        <w:footnoteReference w:id="264"/>
      </w:r>
      <w:r w:rsidRPr="008B13A5">
        <w:rPr>
          <w:noProof/>
        </w:rPr>
        <w:t>), IFRI (2024)</w:t>
      </w:r>
      <w:r w:rsidRPr="008B13A5">
        <w:rPr>
          <w:rStyle w:val="FootnoteReference"/>
          <w:noProof/>
        </w:rPr>
        <w:t xml:space="preserve"> </w:t>
      </w:r>
      <w:r w:rsidR="00F274DD" w:rsidRPr="008B13A5">
        <w:rPr>
          <w:noProof/>
        </w:rPr>
        <w:t xml:space="preserve"> </w:t>
      </w:r>
      <w:r w:rsidRPr="008B13A5">
        <w:rPr>
          <w:noProof/>
        </w:rPr>
        <w:t>(</w:t>
      </w:r>
      <w:r w:rsidRPr="008B13A5">
        <w:rPr>
          <w:rStyle w:val="FootnoteReference"/>
          <w:noProof/>
        </w:rPr>
        <w:footnoteReference w:id="265"/>
      </w:r>
      <w:r w:rsidRPr="008B13A5">
        <w:rPr>
          <w:noProof/>
        </w:rPr>
        <w:t>), and BCG–SIA (2024)</w:t>
      </w:r>
      <w:r w:rsidRPr="008B13A5">
        <w:rPr>
          <w:rStyle w:val="FootnoteReference"/>
          <w:noProof/>
        </w:rPr>
        <w:t xml:space="preserve"> </w:t>
      </w:r>
      <w:r w:rsidR="00F274DD" w:rsidRPr="008B13A5">
        <w:rPr>
          <w:noProof/>
        </w:rPr>
        <w:t xml:space="preserve"> </w:t>
      </w:r>
      <w:r w:rsidRPr="008B13A5">
        <w:rPr>
          <w:noProof/>
        </w:rPr>
        <w:t>(</w:t>
      </w:r>
      <w:r w:rsidRPr="008B13A5">
        <w:rPr>
          <w:rStyle w:val="FootnoteReference"/>
          <w:noProof/>
        </w:rPr>
        <w:footnoteReference w:id="266"/>
      </w:r>
      <w:r w:rsidRPr="008B13A5">
        <w:rPr>
          <w:noProof/>
        </w:rPr>
        <w:t>) shows that the EU’s innovation pipeline is weakened by structural fragmentation between research organisations, early-stage firms, and large industrial players. The ECA (2025)</w:t>
      </w:r>
      <w:r w:rsidRPr="008B13A5">
        <w:rPr>
          <w:rStyle w:val="FootnoteReference"/>
          <w:noProof/>
        </w:rPr>
        <w:t xml:space="preserve"> </w:t>
      </w:r>
      <w:r w:rsidR="00F274DD" w:rsidRPr="008B13A5">
        <w:rPr>
          <w:noProof/>
        </w:rPr>
        <w:t xml:space="preserve"> </w:t>
      </w:r>
      <w:r w:rsidRPr="008B13A5">
        <w:rPr>
          <w:noProof/>
        </w:rPr>
        <w:t>(</w:t>
      </w:r>
      <w:r w:rsidRPr="008B13A5">
        <w:rPr>
          <w:rStyle w:val="FootnoteReference"/>
          <w:noProof/>
        </w:rPr>
        <w:footnoteReference w:id="267"/>
      </w:r>
      <w:r w:rsidRPr="008B13A5">
        <w:rPr>
          <w:noProof/>
        </w:rPr>
        <w:t>) stresses that technologies developed within EU-funded pilot lines are often industrialised abroad, underscoring limited domestic absorption capacity. In contrast, the US, Taiwan, and South Korea benefit from dense co-development ecosystems in which research institutes, EDA suppliers, design houses, and advanced foundries jointly validate and scale innovations. Without a comparable industrial base, Europe’s capability to transform research excellence into competitive market positions remains constrained.</w:t>
      </w:r>
    </w:p>
    <w:p w14:paraId="7FE76069" w14:textId="4E19F90F" w:rsidR="00EC49AF" w:rsidRPr="008B13A5" w:rsidRDefault="00EC49AF" w:rsidP="00F47256">
      <w:pPr>
        <w:pStyle w:val="ListParagraph"/>
        <w:numPr>
          <w:ilvl w:val="0"/>
          <w:numId w:val="42"/>
        </w:numPr>
        <w:spacing w:after="120"/>
        <w:rPr>
          <w:noProof/>
        </w:rPr>
      </w:pPr>
      <w:r w:rsidRPr="008B13A5">
        <w:rPr>
          <w:b/>
          <w:bCs/>
          <w:noProof/>
        </w:rPr>
        <w:t>Implication for competitiveness</w:t>
      </w:r>
      <w:r w:rsidRPr="008B13A5">
        <w:rPr>
          <w:noProof/>
        </w:rPr>
        <w:t>: Under BAU, Europe’s research institutions consolidate their position as global leaders in semiconductor science, but the Union makes only modest progress in commercialising these advances domestically. Weak lab-to-fab scaling reduces the economic return on public R&amp;D investment, slows the emergence of European design champions, and allows competing regions to capture value added from technologies that originate in Europe. As a result, Europe’s innovation strengths translate into incremental rather than structural competitiveness gains in high-growth semiconductor segments.</w:t>
      </w:r>
    </w:p>
    <w:p w14:paraId="6A6A8B43" w14:textId="59755FBA" w:rsidR="00EC49AF" w:rsidRPr="008B13A5" w:rsidRDefault="00EC49AF" w:rsidP="00EC49AF">
      <w:pPr>
        <w:rPr>
          <w:b/>
          <w:bCs/>
          <w:noProof/>
        </w:rPr>
      </w:pPr>
      <w:r w:rsidRPr="008B13A5">
        <w:rPr>
          <w:b/>
          <w:bCs/>
          <w:noProof/>
        </w:rPr>
        <w:t>R&amp;D intensity (R&amp;D as % of semiconductor revenue)</w:t>
      </w:r>
    </w:p>
    <w:p w14:paraId="146D7191" w14:textId="7685DBE4" w:rsidR="00EC49AF" w:rsidRPr="008B13A5" w:rsidRDefault="00EC49AF" w:rsidP="00F47256">
      <w:pPr>
        <w:pStyle w:val="NormalWeb"/>
        <w:numPr>
          <w:ilvl w:val="0"/>
          <w:numId w:val="25"/>
        </w:numPr>
        <w:jc w:val="both"/>
        <w:rPr>
          <w:noProof/>
        </w:rPr>
      </w:pPr>
      <w:r w:rsidRPr="008B13A5">
        <w:rPr>
          <w:rStyle w:val="Strong"/>
          <w:noProof/>
        </w:rPr>
        <w:t xml:space="preserve">Developments expected under BAU: </w:t>
      </w:r>
      <w:r w:rsidRPr="008B13A5">
        <w:rPr>
          <w:noProof/>
        </w:rPr>
        <w:t xml:space="preserve">The European semiconductor ecosystem maintains a structurally high R&amp;D intensity. Newly built fabs in Ireland, France, Germany, and Italy reinforce the applied-research interface between equipment suppliers, materials firms, and integrated device manufacturers. Pilot lines increase Europe’s leadership in the development of process technology. However, these additions mainly broaden production rather than altering the R&amp;D-to-revenue ratio, which remains close to the global average. </w:t>
      </w:r>
    </w:p>
    <w:p w14:paraId="45AA948D" w14:textId="0369E467" w:rsidR="00EC49AF" w:rsidRPr="008B13A5" w:rsidRDefault="00EC49AF" w:rsidP="00F47256">
      <w:pPr>
        <w:pStyle w:val="NormalWeb"/>
        <w:numPr>
          <w:ilvl w:val="0"/>
          <w:numId w:val="25"/>
        </w:numPr>
        <w:jc w:val="both"/>
        <w:rPr>
          <w:noProof/>
        </w:rPr>
      </w:pPr>
      <w:r w:rsidRPr="008B13A5">
        <w:rPr>
          <w:rStyle w:val="Strong"/>
          <w:noProof/>
        </w:rPr>
        <w:t xml:space="preserve">Rationale: </w:t>
      </w:r>
      <w:r w:rsidRPr="008B13A5">
        <w:rPr>
          <w:noProof/>
        </w:rPr>
        <w:t>McKinsey (2025)</w:t>
      </w:r>
      <w:r w:rsidR="00F274DD" w:rsidRPr="008B13A5">
        <w:rPr>
          <w:noProof/>
        </w:rPr>
        <w:t xml:space="preserve"> </w:t>
      </w:r>
      <w:r w:rsidRPr="008B13A5">
        <w:rPr>
          <w:noProof/>
        </w:rPr>
        <w:t>(</w:t>
      </w:r>
      <w:r w:rsidRPr="008B13A5">
        <w:rPr>
          <w:rStyle w:val="FootnoteReference"/>
          <w:noProof/>
        </w:rPr>
        <w:footnoteReference w:id="268"/>
      </w:r>
      <w:r w:rsidRPr="008B13A5">
        <w:rPr>
          <w:noProof/>
        </w:rPr>
        <w:t>) and Deloitte (2021)</w:t>
      </w:r>
      <w:r w:rsidR="00F274DD" w:rsidRPr="008B13A5">
        <w:rPr>
          <w:noProof/>
        </w:rPr>
        <w:t xml:space="preserve"> </w:t>
      </w:r>
      <w:r w:rsidRPr="008B13A5">
        <w:rPr>
          <w:noProof/>
        </w:rPr>
        <w:t>(</w:t>
      </w:r>
      <w:r w:rsidRPr="008B13A5">
        <w:rPr>
          <w:rStyle w:val="FootnoteReference"/>
          <w:noProof/>
        </w:rPr>
        <w:footnoteReference w:id="269"/>
      </w:r>
      <w:r w:rsidRPr="008B13A5">
        <w:rPr>
          <w:noProof/>
        </w:rPr>
        <w:t xml:space="preserve">) find that R&amp;D intensity in semiconductors is remarkably uniform worldwide at about one-fifth of revenue. Company data for ASML, Infineon, STMicroelectronics, and NXP confirm that European firms already operate within this band. Neither new subsidies nor new fabs are expected to change this structural parameter. </w:t>
      </w:r>
    </w:p>
    <w:p w14:paraId="3C11CD00" w14:textId="2D170E68" w:rsidR="00EC49AF" w:rsidRPr="008B13A5" w:rsidRDefault="00EC49AF" w:rsidP="00F47256">
      <w:pPr>
        <w:pStyle w:val="NormalWeb"/>
        <w:numPr>
          <w:ilvl w:val="0"/>
          <w:numId w:val="25"/>
        </w:numPr>
        <w:jc w:val="both"/>
        <w:rPr>
          <w:noProof/>
        </w:rPr>
      </w:pPr>
      <w:r w:rsidRPr="008B13A5">
        <w:rPr>
          <w:rStyle w:val="Strong"/>
          <w:noProof/>
        </w:rPr>
        <w:t xml:space="preserve">Implication for competitiveness: </w:t>
      </w:r>
      <w:r w:rsidRPr="008B13A5">
        <w:rPr>
          <w:noProof/>
        </w:rPr>
        <w:t>The EU sustains a world-class research effort and strong public-private science base, but high R&amp;D intensity alone does not guarantee technological leadership. Without greater design scale or faster commercialisation, high R&amp;D effort continues to yield incremental rather than transformational advantages.</w:t>
      </w:r>
    </w:p>
    <w:p w14:paraId="11F2426F" w14:textId="1F96A03A" w:rsidR="00EC49AF" w:rsidRPr="008B13A5" w:rsidRDefault="00EC49AF" w:rsidP="00EC49AF">
      <w:pPr>
        <w:rPr>
          <w:b/>
          <w:bCs/>
          <w:noProof/>
        </w:rPr>
      </w:pPr>
      <w:r w:rsidRPr="008B13A5">
        <w:rPr>
          <w:b/>
          <w:bCs/>
          <w:noProof/>
        </w:rPr>
        <w:t>Share of global semiconductor R&amp;D spending</w:t>
      </w:r>
    </w:p>
    <w:p w14:paraId="15EB501A" w14:textId="437FC976" w:rsidR="00EC49AF" w:rsidRPr="008B13A5" w:rsidRDefault="00EC49AF" w:rsidP="00F47256">
      <w:pPr>
        <w:pStyle w:val="NormalWeb"/>
        <w:numPr>
          <w:ilvl w:val="0"/>
          <w:numId w:val="25"/>
        </w:numPr>
        <w:jc w:val="both"/>
        <w:rPr>
          <w:noProof/>
        </w:rPr>
      </w:pPr>
      <w:r w:rsidRPr="008B13A5">
        <w:rPr>
          <w:rStyle w:val="Strong"/>
          <w:noProof/>
        </w:rPr>
        <w:t xml:space="preserve">Developments expected under BAU: </w:t>
      </w:r>
      <w:r w:rsidRPr="008B13A5">
        <w:rPr>
          <w:noProof/>
        </w:rPr>
        <w:t xml:space="preserve">Absolute R&amp;D spending in Europe rises as new fabs and pilot lines come online, yet the EU’s global share changes little. Growth elsewhere, particularly in Asia and the US, keeps relative positions broadly stable through 2035. European technology developed in the pilot lines is industrialised elsewhere. </w:t>
      </w:r>
    </w:p>
    <w:p w14:paraId="7F6CBCA0" w14:textId="4C627C54" w:rsidR="00EC49AF" w:rsidRPr="008B13A5" w:rsidRDefault="00EC49AF" w:rsidP="00F47256">
      <w:pPr>
        <w:pStyle w:val="NormalWeb"/>
        <w:numPr>
          <w:ilvl w:val="0"/>
          <w:numId w:val="25"/>
        </w:numPr>
        <w:jc w:val="both"/>
        <w:rPr>
          <w:noProof/>
        </w:rPr>
      </w:pPr>
      <w:r w:rsidRPr="008B13A5">
        <w:rPr>
          <w:rStyle w:val="Strong"/>
          <w:noProof/>
        </w:rPr>
        <w:t xml:space="preserve">Rationale: </w:t>
      </w:r>
      <w:r w:rsidRPr="008B13A5">
        <w:rPr>
          <w:noProof/>
        </w:rPr>
        <w:t>Global R&amp;D intensity remains constant, meaning regional spending scales with output. Europe’s announced fabs expand capacity but not enough to alter the global distribution. The ECA (2025)</w:t>
      </w:r>
      <w:r w:rsidR="00F274DD" w:rsidRPr="008B13A5">
        <w:rPr>
          <w:noProof/>
        </w:rPr>
        <w:t xml:space="preserve"> </w:t>
      </w:r>
      <w:r w:rsidRPr="008B13A5">
        <w:rPr>
          <w:noProof/>
        </w:rPr>
        <w:t>(</w:t>
      </w:r>
      <w:r w:rsidRPr="008B13A5">
        <w:rPr>
          <w:rStyle w:val="FootnoteReference"/>
          <w:noProof/>
        </w:rPr>
        <w:footnoteReference w:id="270"/>
      </w:r>
      <w:r w:rsidRPr="008B13A5">
        <w:rPr>
          <w:noProof/>
        </w:rPr>
        <w:t>) and JRC (2025)</w:t>
      </w:r>
      <w:r w:rsidR="00F274DD" w:rsidRPr="008B13A5">
        <w:rPr>
          <w:noProof/>
        </w:rPr>
        <w:t xml:space="preserve"> </w:t>
      </w:r>
      <w:r w:rsidRPr="008B13A5">
        <w:rPr>
          <w:noProof/>
        </w:rPr>
        <w:t>(</w:t>
      </w:r>
      <w:r w:rsidRPr="008B13A5">
        <w:rPr>
          <w:rStyle w:val="FootnoteReference"/>
          <w:noProof/>
        </w:rPr>
        <w:footnoteReference w:id="271"/>
      </w:r>
      <w:r w:rsidRPr="008B13A5">
        <w:rPr>
          <w:noProof/>
        </w:rPr>
        <w:t>) both note that current investment levels are modest compared with the subsidy waves in Asia and North America.</w:t>
      </w:r>
    </w:p>
    <w:p w14:paraId="098D3566" w14:textId="6E728E3C" w:rsidR="00EC49AF" w:rsidRPr="008B13A5" w:rsidRDefault="00EC49AF" w:rsidP="00F47256">
      <w:pPr>
        <w:pStyle w:val="NormalWeb"/>
        <w:numPr>
          <w:ilvl w:val="0"/>
          <w:numId w:val="25"/>
        </w:numPr>
        <w:jc w:val="both"/>
        <w:rPr>
          <w:noProof/>
        </w:rPr>
      </w:pPr>
      <w:r w:rsidRPr="008B13A5">
        <w:rPr>
          <w:rStyle w:val="Strong"/>
          <w:noProof/>
        </w:rPr>
        <w:t xml:space="preserve">Implication for competitiveness: </w:t>
      </w:r>
      <w:r w:rsidRPr="008B13A5">
        <w:rPr>
          <w:noProof/>
        </w:rPr>
        <w:t>Europe strengthens its applied-research network and process-engineering skills, but its overall share of global semiconductor R&amp;D remains modest. Without a wider industrial base, Europe’s innovation influence grows only gradually.</w:t>
      </w:r>
    </w:p>
    <w:p w14:paraId="0946337E" w14:textId="5239E26F" w:rsidR="00EC49AF" w:rsidRPr="008B13A5" w:rsidRDefault="00EC49AF" w:rsidP="00EC49AF">
      <w:pPr>
        <w:rPr>
          <w:b/>
          <w:bCs/>
          <w:noProof/>
        </w:rPr>
      </w:pPr>
      <w:r w:rsidRPr="008B13A5">
        <w:rPr>
          <w:b/>
          <w:bCs/>
          <w:noProof/>
        </w:rPr>
        <w:t>Share of global chip-design market</w:t>
      </w:r>
    </w:p>
    <w:p w14:paraId="65322D68" w14:textId="645602F7" w:rsidR="00EC49AF" w:rsidRPr="008B13A5" w:rsidRDefault="00EC49AF" w:rsidP="00F47256">
      <w:pPr>
        <w:pStyle w:val="NormalWeb"/>
        <w:numPr>
          <w:ilvl w:val="0"/>
          <w:numId w:val="25"/>
        </w:numPr>
        <w:jc w:val="both"/>
        <w:rPr>
          <w:noProof/>
        </w:rPr>
      </w:pPr>
      <w:r w:rsidRPr="008B13A5">
        <w:rPr>
          <w:rStyle w:val="Strong"/>
          <w:noProof/>
        </w:rPr>
        <w:t xml:space="preserve">Developments expected under BAU: </w:t>
      </w:r>
      <w:r w:rsidRPr="008B13A5">
        <w:rPr>
          <w:noProof/>
        </w:rPr>
        <w:t>The EU’s design activity grows within its established strengths such as embedded systems, automotive, industrial control, and RF/power electronics. New FD-SOI and automotive-logic fabs stimulate local design collaboration but this does not alter Europe’s marginal position in the global fabless design market, which remains dominated by U.S. and Asian firms.</w:t>
      </w:r>
    </w:p>
    <w:p w14:paraId="5104D74E" w14:textId="1D6DBA2C" w:rsidR="00EC49AF" w:rsidRPr="008B13A5" w:rsidRDefault="00EC49AF" w:rsidP="00F47256">
      <w:pPr>
        <w:pStyle w:val="NormalWeb"/>
        <w:numPr>
          <w:ilvl w:val="0"/>
          <w:numId w:val="25"/>
        </w:numPr>
        <w:jc w:val="both"/>
        <w:rPr>
          <w:noProof/>
        </w:rPr>
      </w:pPr>
      <w:r w:rsidRPr="008B13A5">
        <w:rPr>
          <w:rStyle w:val="Strong"/>
          <w:noProof/>
        </w:rPr>
        <w:t xml:space="preserve">Rationale: </w:t>
      </w:r>
      <w:r w:rsidRPr="008B13A5">
        <w:rPr>
          <w:noProof/>
        </w:rPr>
        <w:t>The JRC (2025)</w:t>
      </w:r>
      <w:r w:rsidR="00F274DD" w:rsidRPr="008B13A5">
        <w:rPr>
          <w:noProof/>
        </w:rPr>
        <w:t xml:space="preserve"> </w:t>
      </w:r>
      <w:r w:rsidRPr="008B13A5">
        <w:rPr>
          <w:noProof/>
        </w:rPr>
        <w:t>(</w:t>
      </w:r>
      <w:r w:rsidRPr="008B13A5">
        <w:rPr>
          <w:rStyle w:val="FootnoteReference"/>
          <w:noProof/>
        </w:rPr>
        <w:footnoteReference w:id="272"/>
      </w:r>
      <w:r w:rsidRPr="008B13A5">
        <w:rPr>
          <w:noProof/>
        </w:rPr>
        <w:t>) reports that Europe accounts for around 9 % of global design revenues when including design carried out within IDMs and embedded-system suppliers, while the BCG &amp; SIA (2024)</w:t>
      </w:r>
      <w:r w:rsidR="00F274DD" w:rsidRPr="008B13A5">
        <w:rPr>
          <w:noProof/>
        </w:rPr>
        <w:t xml:space="preserve"> </w:t>
      </w:r>
      <w:r w:rsidRPr="008B13A5">
        <w:rPr>
          <w:noProof/>
        </w:rPr>
        <w:t>(</w:t>
      </w:r>
      <w:r w:rsidRPr="008B13A5">
        <w:rPr>
          <w:rStyle w:val="FootnoteReference"/>
          <w:noProof/>
        </w:rPr>
        <w:footnoteReference w:id="273"/>
      </w:r>
      <w:r w:rsidRPr="008B13A5">
        <w:rPr>
          <w:noProof/>
        </w:rPr>
        <w:t xml:space="preserve">) estimate that the US retains more than 60 %.  However, Europe’s share of the global </w:t>
      </w:r>
      <w:r w:rsidRPr="008B13A5">
        <w:rPr>
          <w:rStyle w:val="Strong"/>
          <w:noProof/>
        </w:rPr>
        <w:t>fabless semiconductor market</w:t>
      </w:r>
      <w:r w:rsidRPr="008B13A5">
        <w:rPr>
          <w:noProof/>
        </w:rPr>
        <w:t xml:space="preserve">, the segment that defines global competitiveness in advanced chip design, is </w:t>
      </w:r>
      <w:r w:rsidRPr="008B13A5">
        <w:rPr>
          <w:rStyle w:val="Strong"/>
          <w:noProof/>
        </w:rPr>
        <w:t>below 1 %</w:t>
      </w:r>
      <w:r w:rsidRPr="008B13A5">
        <w:rPr>
          <w:noProof/>
        </w:rPr>
        <w:t>, according to IFRI (2024) and BCG–SIA (2024). This reflects both the limited scale of Europe’s fabless sector and persistent dependence on non-EU EDA tools and manufacturing ecosystems.</w:t>
      </w:r>
    </w:p>
    <w:p w14:paraId="41C4B416" w14:textId="201D0648" w:rsidR="00EC49AF" w:rsidRPr="008B13A5" w:rsidRDefault="00EC49AF" w:rsidP="00F47256">
      <w:pPr>
        <w:pStyle w:val="NormalWeb"/>
        <w:numPr>
          <w:ilvl w:val="0"/>
          <w:numId w:val="25"/>
        </w:numPr>
        <w:jc w:val="both"/>
        <w:rPr>
          <w:noProof/>
        </w:rPr>
      </w:pPr>
      <w:r w:rsidRPr="008B13A5">
        <w:rPr>
          <w:rStyle w:val="Strong"/>
          <w:noProof/>
        </w:rPr>
        <w:t xml:space="preserve">Implication for competitiveness: </w:t>
      </w:r>
      <w:r w:rsidRPr="008B13A5">
        <w:rPr>
          <w:noProof/>
        </w:rPr>
        <w:t>Incremental design growth reinforces Europe’s role in high-reliability and industrial segments but Europe’s position in globally competitive fabless design remains largely unchanged. Limited EDA autonomy, scale constraints, and shallow late-stage venture capital restrict the emergence of European design champions capable of competing in leading-edge markets.</w:t>
      </w:r>
    </w:p>
    <w:p w14:paraId="323D8749" w14:textId="014A9328" w:rsidR="00EC49AF" w:rsidRPr="008B13A5" w:rsidRDefault="00EC49AF" w:rsidP="00EC49AF">
      <w:pPr>
        <w:rPr>
          <w:b/>
          <w:bCs/>
          <w:noProof/>
        </w:rPr>
      </w:pPr>
      <w:r w:rsidRPr="008B13A5">
        <w:rPr>
          <w:b/>
          <w:bCs/>
          <w:noProof/>
        </w:rPr>
        <w:t>Share of global advanced-node patents</w:t>
      </w:r>
    </w:p>
    <w:p w14:paraId="7D7BC672" w14:textId="0A708630" w:rsidR="00EC49AF" w:rsidRPr="008B13A5" w:rsidRDefault="00EC49AF" w:rsidP="00F47256">
      <w:pPr>
        <w:pStyle w:val="NormalWeb"/>
        <w:numPr>
          <w:ilvl w:val="0"/>
          <w:numId w:val="25"/>
        </w:numPr>
        <w:jc w:val="both"/>
        <w:rPr>
          <w:noProof/>
        </w:rPr>
      </w:pPr>
      <w:r w:rsidRPr="008B13A5">
        <w:rPr>
          <w:rStyle w:val="Strong"/>
          <w:noProof/>
        </w:rPr>
        <w:t xml:space="preserve">Developments expected under BAU: </w:t>
      </w:r>
      <w:r w:rsidRPr="008B13A5">
        <w:rPr>
          <w:noProof/>
        </w:rPr>
        <w:t>Most leading-edge process patents continue to originate outside the EU. New facilities hosting advanced-node production (e.g. Intel Ireland and ESMC Dresden) operate with process IP developed abroad. European patenting remains concentrated in enabling technologies, notably EUV lithography, advanced metrology, power devices, SiC/GaN, and photonics. These fields are at the cutting edge of semiconductor innovation, but they do not substitute for the scale and design ecosystems required for advanced-node CMOS process development.</w:t>
      </w:r>
    </w:p>
    <w:p w14:paraId="1078F5D5" w14:textId="0F4AA251" w:rsidR="00EC49AF" w:rsidRPr="008B13A5" w:rsidRDefault="00EC49AF" w:rsidP="00F47256">
      <w:pPr>
        <w:pStyle w:val="NormalWeb"/>
        <w:numPr>
          <w:ilvl w:val="0"/>
          <w:numId w:val="25"/>
        </w:numPr>
        <w:jc w:val="both"/>
        <w:rPr>
          <w:noProof/>
        </w:rPr>
      </w:pPr>
      <w:r w:rsidRPr="008B13A5">
        <w:rPr>
          <w:rStyle w:val="Strong"/>
          <w:noProof/>
        </w:rPr>
        <w:t xml:space="preserve">Rationale: </w:t>
      </w:r>
      <w:r w:rsidRPr="008B13A5">
        <w:rPr>
          <w:noProof/>
        </w:rPr>
        <w:t>Bruegel (2025)</w:t>
      </w:r>
      <w:r w:rsidR="00F274DD" w:rsidRPr="008B13A5">
        <w:rPr>
          <w:noProof/>
        </w:rPr>
        <w:t xml:space="preserve"> </w:t>
      </w:r>
      <w:r w:rsidRPr="008B13A5">
        <w:rPr>
          <w:noProof/>
        </w:rPr>
        <w:t>(</w:t>
      </w:r>
      <w:r w:rsidRPr="008B13A5">
        <w:rPr>
          <w:rStyle w:val="FootnoteReference"/>
          <w:noProof/>
        </w:rPr>
        <w:footnoteReference w:id="274"/>
      </w:r>
      <w:r w:rsidRPr="008B13A5">
        <w:rPr>
          <w:noProof/>
        </w:rPr>
        <w:t>) shows that the EU accounts for only a small fraction of radical innovation patents</w:t>
      </w:r>
      <w:r w:rsidR="00F274DD" w:rsidRPr="008B13A5">
        <w:rPr>
          <w:noProof/>
        </w:rPr>
        <w:t xml:space="preserve"> </w:t>
      </w:r>
      <w:r w:rsidRPr="008B13A5">
        <w:rPr>
          <w:noProof/>
        </w:rPr>
        <w:t>(</w:t>
      </w:r>
      <w:r w:rsidRPr="008B13A5">
        <w:rPr>
          <w:rStyle w:val="FootnoteReference"/>
          <w:noProof/>
        </w:rPr>
        <w:footnoteReference w:id="275"/>
      </w:r>
      <w:r w:rsidRPr="008B13A5">
        <w:rPr>
          <w:noProof/>
        </w:rPr>
        <w:t>), while McKinsey (2025)</w:t>
      </w:r>
      <w:r w:rsidR="00F274DD" w:rsidRPr="008B13A5">
        <w:rPr>
          <w:noProof/>
        </w:rPr>
        <w:t xml:space="preserve"> </w:t>
      </w:r>
      <w:r w:rsidRPr="008B13A5">
        <w:rPr>
          <w:noProof/>
        </w:rPr>
        <w:t>(</w:t>
      </w:r>
      <w:r w:rsidRPr="008B13A5">
        <w:rPr>
          <w:rStyle w:val="FootnoteReference"/>
          <w:noProof/>
        </w:rPr>
        <w:footnoteReference w:id="276"/>
      </w:r>
      <w:r w:rsidRPr="008B13A5">
        <w:rPr>
          <w:noProof/>
        </w:rPr>
        <w:t>)and JRC (2025)</w:t>
      </w:r>
      <w:r w:rsidR="00F274DD" w:rsidRPr="008B13A5">
        <w:rPr>
          <w:noProof/>
        </w:rPr>
        <w:t xml:space="preserve"> </w:t>
      </w:r>
      <w:r w:rsidRPr="008B13A5">
        <w:rPr>
          <w:noProof/>
        </w:rPr>
        <w:t>(</w:t>
      </w:r>
      <w:r w:rsidRPr="008B13A5">
        <w:rPr>
          <w:rStyle w:val="FootnoteReference"/>
          <w:noProof/>
        </w:rPr>
        <w:footnoteReference w:id="277"/>
      </w:r>
      <w:r w:rsidRPr="008B13A5">
        <w:rPr>
          <w:noProof/>
        </w:rPr>
        <w:t>) confirm that Europe’s innovation strength lies upstream in equipment and materials rather than node development.</w:t>
      </w:r>
    </w:p>
    <w:p w14:paraId="0B7BADF2" w14:textId="662EFE27" w:rsidR="00EC49AF" w:rsidRPr="008B13A5" w:rsidRDefault="00EC49AF" w:rsidP="00F47256">
      <w:pPr>
        <w:pStyle w:val="NormalWeb"/>
        <w:numPr>
          <w:ilvl w:val="0"/>
          <w:numId w:val="25"/>
        </w:numPr>
        <w:jc w:val="both"/>
        <w:rPr>
          <w:rStyle w:val="Strong"/>
          <w:rFonts w:eastAsia="Calibri"/>
          <w:noProof/>
          <w:lang w:eastAsia="en-US"/>
        </w:rPr>
      </w:pPr>
      <w:r w:rsidRPr="008B13A5">
        <w:rPr>
          <w:rStyle w:val="Strong"/>
          <w:noProof/>
        </w:rPr>
        <w:t xml:space="preserve">Implication for competitiveness: </w:t>
      </w:r>
      <w:r w:rsidRPr="008B13A5">
        <w:rPr>
          <w:noProof/>
        </w:rPr>
        <w:t>The EU maintains technological leadership in production equipment and materials science, but it does not close the frontier gap in logic and memory process innovation. Its comparative advantage remains in enabling rather than defining the leading edge.</w:t>
      </w:r>
    </w:p>
    <w:p w14:paraId="22CCCDEB" w14:textId="5548E838" w:rsidR="00EC49AF" w:rsidRPr="008B13A5" w:rsidRDefault="00EC49AF" w:rsidP="00EC49AF">
      <w:pPr>
        <w:rPr>
          <w:b/>
          <w:bCs/>
          <w:noProof/>
        </w:rPr>
      </w:pPr>
      <w:r w:rsidRPr="008B13A5">
        <w:rPr>
          <w:b/>
          <w:bCs/>
          <w:noProof/>
        </w:rPr>
        <w:t>Public R&amp;D funding for microelectronics (EU + Member States)</w:t>
      </w:r>
    </w:p>
    <w:p w14:paraId="26048245" w14:textId="40E1AA36" w:rsidR="00EC49AF" w:rsidRPr="008B13A5" w:rsidRDefault="00EC49AF" w:rsidP="00F47256">
      <w:pPr>
        <w:pStyle w:val="NormalWeb"/>
        <w:numPr>
          <w:ilvl w:val="0"/>
          <w:numId w:val="25"/>
        </w:numPr>
        <w:jc w:val="both"/>
        <w:rPr>
          <w:noProof/>
        </w:rPr>
      </w:pPr>
      <w:r w:rsidRPr="008B13A5">
        <w:rPr>
          <w:rStyle w:val="Strong"/>
          <w:noProof/>
        </w:rPr>
        <w:t xml:space="preserve">Developments expected under BAU: </w:t>
      </w:r>
      <w:r w:rsidRPr="008B13A5">
        <w:rPr>
          <w:noProof/>
        </w:rPr>
        <w:t>Public support through the Chips Act, IPCEI ME2, and national programmes remains broadly stable at around the current annual level. Funding streams shift towards construction phases of the new fabs but remain modest compared with U.S. and Asian subsidy envelopes.</w:t>
      </w:r>
    </w:p>
    <w:p w14:paraId="16065900" w14:textId="193F2D7A" w:rsidR="00EC49AF" w:rsidRPr="008B13A5" w:rsidRDefault="00EC49AF" w:rsidP="00F47256">
      <w:pPr>
        <w:pStyle w:val="NormalWeb"/>
        <w:numPr>
          <w:ilvl w:val="0"/>
          <w:numId w:val="25"/>
        </w:numPr>
        <w:jc w:val="both"/>
        <w:rPr>
          <w:noProof/>
        </w:rPr>
      </w:pPr>
      <w:r w:rsidRPr="008B13A5">
        <w:rPr>
          <w:rStyle w:val="Strong"/>
          <w:noProof/>
        </w:rPr>
        <w:t xml:space="preserve">Rationale: </w:t>
      </w:r>
      <w:r w:rsidRPr="008B13A5">
        <w:rPr>
          <w:noProof/>
        </w:rPr>
        <w:t>ECA (2025)</w:t>
      </w:r>
      <w:r w:rsidR="00F274DD" w:rsidRPr="008B13A5">
        <w:rPr>
          <w:noProof/>
        </w:rPr>
        <w:t xml:space="preserve"> </w:t>
      </w:r>
      <w:r w:rsidRPr="008B13A5">
        <w:rPr>
          <w:noProof/>
        </w:rPr>
        <w:t>(</w:t>
      </w:r>
      <w:r w:rsidRPr="008B13A5">
        <w:rPr>
          <w:rStyle w:val="FootnoteReference"/>
          <w:noProof/>
        </w:rPr>
        <w:footnoteReference w:id="278"/>
      </w:r>
      <w:r w:rsidRPr="008B13A5">
        <w:rPr>
          <w:noProof/>
        </w:rPr>
        <w:t>) calculates combined EU and Member-State commitments at about EUR 11 billion over 2021–2030 and describes this as “a small fraction” of global support. The JRC (2025)</w:t>
      </w:r>
      <w:r w:rsidR="00F274DD" w:rsidRPr="008B13A5">
        <w:rPr>
          <w:noProof/>
        </w:rPr>
        <w:t xml:space="preserve"> </w:t>
      </w:r>
      <w:r w:rsidRPr="008B13A5">
        <w:rPr>
          <w:noProof/>
        </w:rPr>
        <w:t>(</w:t>
      </w:r>
      <w:r w:rsidRPr="008B13A5">
        <w:rPr>
          <w:rStyle w:val="FootnoteReference"/>
          <w:noProof/>
        </w:rPr>
        <w:footnoteReference w:id="279"/>
      </w:r>
      <w:r w:rsidRPr="008B13A5">
        <w:rPr>
          <w:noProof/>
        </w:rPr>
        <w:t>) confirms that Asian and U.S. programmes are considerably larger in scale and faster in implementation.</w:t>
      </w:r>
    </w:p>
    <w:p w14:paraId="0C9116DE" w14:textId="1E4E8705" w:rsidR="00EC49AF" w:rsidRPr="008B13A5" w:rsidRDefault="00EC49AF" w:rsidP="00F47256">
      <w:pPr>
        <w:pStyle w:val="NormalWeb"/>
        <w:numPr>
          <w:ilvl w:val="0"/>
          <w:numId w:val="25"/>
        </w:numPr>
        <w:jc w:val="both"/>
        <w:rPr>
          <w:noProof/>
          <w:sz w:val="22"/>
          <w:szCs w:val="22"/>
        </w:rPr>
      </w:pPr>
      <w:r w:rsidRPr="008B13A5">
        <w:rPr>
          <w:rStyle w:val="Strong"/>
          <w:noProof/>
        </w:rPr>
        <w:t xml:space="preserve">Implication for competitiveness: </w:t>
      </w:r>
      <w:r w:rsidRPr="008B13A5">
        <w:rPr>
          <w:noProof/>
        </w:rPr>
        <w:t>Existing funding is sufficient to maintain Europe’s strong research institutions and pilot lines but not to transform its position in global innovation hierarchies. Without a significant increase in scale or focus on design and back-end innovation, structural gaps persist.</w:t>
      </w:r>
    </w:p>
    <w:p w14:paraId="3526E92A" w14:textId="3E6C22DC" w:rsidR="00EC49AF" w:rsidRPr="008B13A5" w:rsidRDefault="00EC49AF" w:rsidP="00973E6C">
      <w:pPr>
        <w:pStyle w:val="Heading1"/>
        <w:rPr>
          <w:noProof/>
        </w:rPr>
      </w:pPr>
      <w:bookmarkStart w:id="309" w:name="_Toc217394781"/>
      <w:bookmarkStart w:id="310" w:name="_Toc217395636"/>
      <w:bookmarkStart w:id="311" w:name="_Toc217396485"/>
      <w:bookmarkStart w:id="312" w:name="_Toc771455483"/>
      <w:bookmarkStart w:id="313" w:name="_Toc223620646"/>
      <w:bookmarkStart w:id="314" w:name="_Toc230010468"/>
      <w:r w:rsidRPr="008B13A5">
        <w:rPr>
          <w:noProof/>
        </w:rPr>
        <w:t>Regional and territorial effects</w:t>
      </w:r>
      <w:bookmarkEnd w:id="309"/>
      <w:bookmarkEnd w:id="310"/>
      <w:bookmarkEnd w:id="311"/>
      <w:bookmarkEnd w:id="312"/>
      <w:bookmarkEnd w:id="313"/>
      <w:bookmarkEnd w:id="314"/>
    </w:p>
    <w:p w14:paraId="30CBB1AC" w14:textId="5A96DF04" w:rsidR="00EC49AF" w:rsidRPr="008B13A5" w:rsidRDefault="00EC49AF" w:rsidP="00973E6C">
      <w:pPr>
        <w:pStyle w:val="Heading2"/>
        <w:rPr>
          <w:noProof/>
        </w:rPr>
      </w:pPr>
      <w:bookmarkStart w:id="315" w:name="_Toc217395637"/>
      <w:bookmarkStart w:id="316" w:name="_Toc217396486"/>
      <w:bookmarkStart w:id="317" w:name="_Toc301704890"/>
      <w:bookmarkStart w:id="318" w:name="_Toc223620647"/>
      <w:bookmarkStart w:id="319" w:name="_Toc230010469"/>
      <w:r w:rsidRPr="008B13A5">
        <w:rPr>
          <w:noProof/>
        </w:rPr>
        <w:t>Establishing a starting point for BAU scenario</w:t>
      </w:r>
      <w:bookmarkEnd w:id="315"/>
      <w:bookmarkEnd w:id="316"/>
      <w:bookmarkEnd w:id="317"/>
      <w:bookmarkEnd w:id="318"/>
      <w:bookmarkEnd w:id="319"/>
    </w:p>
    <w:p w14:paraId="116BDCEB" w14:textId="7764CE54" w:rsidR="00EC49AF" w:rsidRPr="008B13A5" w:rsidRDefault="00EC49AF" w:rsidP="00EC49AF">
      <w:pPr>
        <w:rPr>
          <w:noProof/>
        </w:rPr>
      </w:pPr>
      <w:bookmarkStart w:id="320" w:name="_Hlk215607623"/>
      <w:r w:rsidRPr="008B13A5">
        <w:rPr>
          <w:noProof/>
        </w:rPr>
        <w:t xml:space="preserve">The European semiconductor landscape is </w:t>
      </w:r>
      <w:r w:rsidRPr="008B13A5">
        <w:rPr>
          <w:rStyle w:val="Strong"/>
          <w:noProof/>
        </w:rPr>
        <w:t>polycentric but highly uneven</w:t>
      </w:r>
      <w:r w:rsidRPr="008B13A5">
        <w:rPr>
          <w:noProof/>
        </w:rPr>
        <w:t xml:space="preserve">. A handful of core clusters such as </w:t>
      </w:r>
      <w:r w:rsidRPr="008B13A5">
        <w:rPr>
          <w:rStyle w:val="Strong"/>
          <w:noProof/>
        </w:rPr>
        <w:t xml:space="preserve">Leuven-Eindhoven (Belgium – the Netherlands), the Dresden area / Saxony (Germany), the Munich area (Germany), the Grenoble area (France), Ireland, the axis Graz-Villach (Austria), and the axis Milano-Turino (Italy) </w:t>
      </w:r>
      <w:r w:rsidRPr="008B13A5">
        <w:rPr>
          <w:noProof/>
        </w:rPr>
        <w:t>account for the majority of industrial output, R&amp;D investment, and employment. Other regions contribute mainly through packaging, materials, or design services</w:t>
      </w:r>
      <w:r w:rsidR="00F274DD" w:rsidRPr="008B13A5">
        <w:rPr>
          <w:noProof/>
        </w:rPr>
        <w:t xml:space="preserve"> </w:t>
      </w:r>
      <w:r w:rsidRPr="008B13A5">
        <w:rPr>
          <w:noProof/>
        </w:rPr>
        <w:t>(</w:t>
      </w:r>
      <w:r w:rsidRPr="008B13A5">
        <w:rPr>
          <w:rStyle w:val="FootnoteReference"/>
          <w:noProof/>
        </w:rPr>
        <w:footnoteReference w:id="280"/>
      </w:r>
      <w:r w:rsidRPr="008B13A5">
        <w:rPr>
          <w:noProof/>
        </w:rPr>
        <w:t xml:space="preserve">). </w:t>
      </w:r>
    </w:p>
    <w:p w14:paraId="616002CB" w14:textId="1E2E640C" w:rsidR="00EC49AF" w:rsidRPr="008B13A5" w:rsidRDefault="00EC49AF" w:rsidP="2932BCE0">
      <w:pPr>
        <w:rPr>
          <w:noProof/>
          <w:lang w:eastAsia="en-GB"/>
        </w:rPr>
      </w:pPr>
      <w:bookmarkStart w:id="321" w:name="_Hlk215607579"/>
      <w:bookmarkEnd w:id="320"/>
      <w:r w:rsidRPr="008B13A5">
        <w:rPr>
          <w:noProof/>
        </w:rPr>
        <w:t>The six core clusters,</w:t>
      </w:r>
      <w:r w:rsidR="00757ADC" w:rsidRPr="008B13A5">
        <w:rPr>
          <w:noProof/>
        </w:rPr>
        <w:t xml:space="preserve"> that</w:t>
      </w:r>
      <w:r w:rsidRPr="008B13A5">
        <w:rPr>
          <w:noProof/>
        </w:rPr>
        <w:t xml:space="preserve"> collectively cover less than </w:t>
      </w:r>
      <w:r w:rsidRPr="008B13A5">
        <w:rPr>
          <w:rStyle w:val="Strong"/>
          <w:noProof/>
        </w:rPr>
        <w:t>8 % of the EU population</w:t>
      </w:r>
      <w:r w:rsidRPr="008B13A5">
        <w:rPr>
          <w:noProof/>
        </w:rPr>
        <w:t xml:space="preserve">, account for the vast majority of semiconductor value creation. Data from </w:t>
      </w:r>
      <w:r w:rsidRPr="008B13A5">
        <w:rPr>
          <w:rStyle w:val="Strong"/>
          <w:noProof/>
        </w:rPr>
        <w:t>McKinsey (2025)</w:t>
      </w:r>
      <w:r w:rsidR="00F274DD" w:rsidRPr="008B13A5">
        <w:rPr>
          <w:rStyle w:val="Strong"/>
          <w:noProof/>
        </w:rPr>
        <w:t xml:space="preserve"> </w:t>
      </w:r>
      <w:r w:rsidRPr="008B13A5">
        <w:rPr>
          <w:rStyle w:val="Strong"/>
          <w:noProof/>
        </w:rPr>
        <w:t>(</w:t>
      </w:r>
      <w:r w:rsidRPr="008B13A5">
        <w:rPr>
          <w:rStyle w:val="FootnoteReference"/>
          <w:noProof/>
        </w:rPr>
        <w:footnoteReference w:id="281"/>
      </w:r>
      <w:r w:rsidRPr="008B13A5">
        <w:rPr>
          <w:rStyle w:val="Strong"/>
          <w:noProof/>
        </w:rPr>
        <w:t>)</w:t>
      </w:r>
      <w:r w:rsidRPr="008B13A5">
        <w:rPr>
          <w:noProof/>
        </w:rPr>
        <w:t xml:space="preserve"> indicate that approximately </w:t>
      </w:r>
      <w:r w:rsidRPr="008B13A5">
        <w:rPr>
          <w:rStyle w:val="Strong"/>
          <w:noProof/>
        </w:rPr>
        <w:t>80 % of wafer-fabrication capacity</w:t>
      </w:r>
      <w:r w:rsidRPr="008B13A5">
        <w:rPr>
          <w:noProof/>
        </w:rPr>
        <w:t xml:space="preserve"> and </w:t>
      </w:r>
      <w:r w:rsidRPr="008B13A5">
        <w:rPr>
          <w:rStyle w:val="Strong"/>
          <w:noProof/>
        </w:rPr>
        <w:t>over 70 % of semiconductor-related R&amp;D personnel</w:t>
      </w:r>
      <w:r w:rsidRPr="008B13A5">
        <w:rPr>
          <w:noProof/>
        </w:rPr>
        <w:t xml:space="preserve"> are concentrated in these areas, confirming Europe’s exceptionally high locational concentration relative to other advanced industries.</w:t>
      </w:r>
    </w:p>
    <w:bookmarkEnd w:id="321"/>
    <w:p w14:paraId="3B57FDB6" w14:textId="1367DFEB" w:rsidR="00EC49AF" w:rsidRPr="008B13A5" w:rsidRDefault="00EC49AF" w:rsidP="00EC49AF">
      <w:pPr>
        <w:pStyle w:val="NormalWeb"/>
        <w:jc w:val="both"/>
        <w:rPr>
          <w:noProof/>
        </w:rPr>
      </w:pPr>
      <w:r w:rsidRPr="008B13A5">
        <w:rPr>
          <w:noProof/>
        </w:rPr>
        <w:t xml:space="preserve">The </w:t>
      </w:r>
      <w:r w:rsidRPr="008B13A5">
        <w:rPr>
          <w:rStyle w:val="Strong"/>
          <w:noProof/>
        </w:rPr>
        <w:t>Joint Research Centre</w:t>
      </w:r>
      <w:r w:rsidR="00F274DD" w:rsidRPr="008B13A5">
        <w:rPr>
          <w:rStyle w:val="Strong"/>
          <w:noProof/>
        </w:rPr>
        <w:t xml:space="preserve"> </w:t>
      </w:r>
      <w:r w:rsidRPr="008B13A5">
        <w:rPr>
          <w:rStyle w:val="Strong"/>
          <w:noProof/>
        </w:rPr>
        <w:t>(</w:t>
      </w:r>
      <w:r w:rsidRPr="008B13A5">
        <w:rPr>
          <w:rStyle w:val="FootnoteReference"/>
          <w:noProof/>
        </w:rPr>
        <w:footnoteReference w:id="282"/>
      </w:r>
      <w:r w:rsidRPr="008B13A5">
        <w:rPr>
          <w:rStyle w:val="Strong"/>
          <w:noProof/>
        </w:rPr>
        <w:t>)</w:t>
      </w:r>
      <w:r w:rsidRPr="008B13A5">
        <w:rPr>
          <w:noProof/>
        </w:rPr>
        <w:t xml:space="preserve"> similarly identifies this pattern as one of </w:t>
      </w:r>
      <w:r w:rsidRPr="008B13A5">
        <w:rPr>
          <w:rStyle w:val="Emphasis"/>
          <w:noProof/>
        </w:rPr>
        <w:t>geographical lock-in</w:t>
      </w:r>
      <w:r w:rsidRPr="008B13A5">
        <w:rPr>
          <w:noProof/>
        </w:rPr>
        <w:t>, where existing clusters continue to attract incremental investment due to cumulative advantages in know-how, infrastructure, and established industrial ecosystems. These regions have become self-reinforcing “centres of gravity” within the European semiconductor landscape, benefiting disproportionately from new fab announcements under the Chips Act and IPCEI ME2.</w:t>
      </w:r>
    </w:p>
    <w:p w14:paraId="39AD1266" w14:textId="168DABFD" w:rsidR="00EC49AF" w:rsidRPr="008B13A5" w:rsidRDefault="00EC49AF" w:rsidP="00EC49AF">
      <w:pPr>
        <w:pStyle w:val="NormalWeb"/>
        <w:jc w:val="both"/>
        <w:rPr>
          <w:noProof/>
        </w:rPr>
      </w:pPr>
      <w:r w:rsidRPr="008B13A5">
        <w:rPr>
          <w:rStyle w:val="Strong"/>
          <w:noProof/>
        </w:rPr>
        <w:t>JRC (</w:t>
      </w:r>
      <w:r w:rsidRPr="008B13A5" w:rsidDel="00B818EB">
        <w:rPr>
          <w:rStyle w:val="Strong"/>
          <w:noProof/>
        </w:rPr>
        <w:t>2</w:t>
      </w:r>
      <w:r w:rsidRPr="008B13A5">
        <w:rPr>
          <w:rStyle w:val="Strong"/>
          <w:noProof/>
        </w:rPr>
        <w:t>025)</w:t>
      </w:r>
      <w:r w:rsidR="00F274DD" w:rsidRPr="008B13A5">
        <w:rPr>
          <w:rStyle w:val="Strong"/>
          <w:noProof/>
        </w:rPr>
        <w:t xml:space="preserve"> </w:t>
      </w:r>
      <w:r w:rsidRPr="008B13A5">
        <w:rPr>
          <w:rStyle w:val="Strong"/>
          <w:noProof/>
        </w:rPr>
        <w:t>(</w:t>
      </w:r>
      <w:r w:rsidRPr="008B13A5">
        <w:rPr>
          <w:rStyle w:val="FootnoteReference"/>
          <w:noProof/>
        </w:rPr>
        <w:footnoteReference w:id="283"/>
      </w:r>
      <w:r w:rsidRPr="008B13A5">
        <w:rPr>
          <w:rStyle w:val="Strong"/>
          <w:noProof/>
        </w:rPr>
        <w:t>)</w:t>
      </w:r>
      <w:r w:rsidRPr="008B13A5">
        <w:rPr>
          <w:noProof/>
        </w:rPr>
        <w:t xml:space="preserve"> explains that more than </w:t>
      </w:r>
      <w:r w:rsidRPr="008B13A5">
        <w:rPr>
          <w:rStyle w:val="Strong"/>
          <w:noProof/>
        </w:rPr>
        <w:t>85 % of EU semiconductor exports</w:t>
      </w:r>
      <w:r w:rsidRPr="008B13A5">
        <w:rPr>
          <w:noProof/>
        </w:rPr>
        <w:t xml:space="preserve"> originate in just five Member States (Germany, France, the Netherlands, Ireland, and Austria), underscoring the strong asymmetry between core and peripheral regions. </w:t>
      </w:r>
      <w:r w:rsidRPr="008B13A5">
        <w:rPr>
          <w:rStyle w:val="Strong"/>
          <w:noProof/>
        </w:rPr>
        <w:t>McKinsey (2024)</w:t>
      </w:r>
      <w:r w:rsidR="00F274DD" w:rsidRPr="008B13A5">
        <w:rPr>
          <w:rStyle w:val="Strong"/>
          <w:noProof/>
        </w:rPr>
        <w:t xml:space="preserve"> </w:t>
      </w:r>
      <w:r w:rsidRPr="008B13A5">
        <w:rPr>
          <w:rStyle w:val="Strong"/>
          <w:noProof/>
        </w:rPr>
        <w:t>(</w:t>
      </w:r>
      <w:r w:rsidRPr="008B13A5">
        <w:rPr>
          <w:rStyle w:val="FootnoteReference"/>
          <w:noProof/>
        </w:rPr>
        <w:footnoteReference w:id="284"/>
      </w:r>
      <w:r w:rsidRPr="008B13A5">
        <w:rPr>
          <w:rStyle w:val="Strong"/>
          <w:noProof/>
        </w:rPr>
        <w:t>)</w:t>
      </w:r>
      <w:r w:rsidRPr="008B13A5">
        <w:rPr>
          <w:noProof/>
        </w:rPr>
        <w:t xml:space="preserve"> also notes that semiconductor ecosystems exhibit strong </w:t>
      </w:r>
      <w:r w:rsidRPr="008B13A5">
        <w:rPr>
          <w:rStyle w:val="Emphasis"/>
          <w:noProof/>
        </w:rPr>
        <w:t>path-dependence</w:t>
      </w:r>
      <w:r w:rsidRPr="008B13A5">
        <w:rPr>
          <w:noProof/>
        </w:rPr>
        <w:t>: once established, clusters maintain durable competitive advantages through cumulative knowledge spillovers and sunk infrastructure costs, making it extremely difficult for new regions to catch up without major coordinated interventions.</w:t>
      </w:r>
    </w:p>
    <w:p w14:paraId="3FA7A062" w14:textId="03BD41A3" w:rsidR="00EC49AF" w:rsidRPr="008B13A5" w:rsidRDefault="00EC49AF" w:rsidP="00EC49AF">
      <w:pPr>
        <w:pStyle w:val="NormalWeb"/>
        <w:jc w:val="both"/>
        <w:rPr>
          <w:noProof/>
        </w:rPr>
      </w:pPr>
      <w:r w:rsidRPr="008B13A5">
        <w:rPr>
          <w:noProof/>
        </w:rPr>
        <w:t>The European semiconductor system thus exhibits certain regional specialisations</w:t>
      </w:r>
    </w:p>
    <w:p w14:paraId="1CC09477" w14:textId="2623CEFF" w:rsidR="00EC49AF" w:rsidRPr="008B13A5" w:rsidRDefault="00EC49AF" w:rsidP="00F47256">
      <w:pPr>
        <w:pStyle w:val="NormalWeb"/>
        <w:numPr>
          <w:ilvl w:val="0"/>
          <w:numId w:val="30"/>
        </w:numPr>
        <w:jc w:val="both"/>
        <w:rPr>
          <w:noProof/>
        </w:rPr>
      </w:pPr>
      <w:r w:rsidRPr="008B13A5">
        <w:rPr>
          <w:noProof/>
        </w:rPr>
        <w:t>Regions with broad semiconductor activity (Dresden, Grenoble, Eindhoven–Leuven, Munich, Ireland, Milano-Turino, and Graz–Vienna) host IDMs, equipment suppliers, and major R&amp;D institutes.</w:t>
      </w:r>
    </w:p>
    <w:p w14:paraId="230C49F0" w14:textId="25886EB5" w:rsidR="00EC49AF" w:rsidRPr="008B13A5" w:rsidRDefault="00EC49AF" w:rsidP="00F47256">
      <w:pPr>
        <w:pStyle w:val="NormalWeb"/>
        <w:numPr>
          <w:ilvl w:val="0"/>
          <w:numId w:val="30"/>
        </w:numPr>
        <w:jc w:val="both"/>
        <w:rPr>
          <w:noProof/>
        </w:rPr>
      </w:pPr>
      <w:r w:rsidRPr="008B13A5">
        <w:rPr>
          <w:noProof/>
        </w:rPr>
        <w:t>Regions with focused technological specialisations (Catania, Regensburg, Villach, Brno, and Wrocław) concentrate on areas including power electronics, metrology, and automotive applications.</w:t>
      </w:r>
    </w:p>
    <w:p w14:paraId="297D3236" w14:textId="0718014A" w:rsidR="00EC49AF" w:rsidRPr="008B13A5" w:rsidRDefault="00EC49AF" w:rsidP="00F47256">
      <w:pPr>
        <w:pStyle w:val="NormalWeb"/>
        <w:numPr>
          <w:ilvl w:val="0"/>
          <w:numId w:val="30"/>
        </w:numPr>
        <w:jc w:val="both"/>
        <w:rPr>
          <w:noProof/>
        </w:rPr>
      </w:pPr>
      <w:r w:rsidRPr="008B13A5">
        <w:rPr>
          <w:noProof/>
        </w:rPr>
        <w:t>Regions with strong support and complementary activities</w:t>
      </w:r>
      <w:r w:rsidRPr="008B13A5" w:rsidDel="0033623C">
        <w:rPr>
          <w:rStyle w:val="Strong"/>
          <w:noProof/>
        </w:rPr>
        <w:t xml:space="preserve"> </w:t>
      </w:r>
      <w:r w:rsidRPr="008B13A5">
        <w:rPr>
          <w:noProof/>
        </w:rPr>
        <w:t>(Portugal, Hungary, parts of Eastern and Southern Europe) primarily host assembly, testing, or material-processing activities which are more labour intensive.</w:t>
      </w:r>
    </w:p>
    <w:p w14:paraId="42FC1A08" w14:textId="617C610E" w:rsidR="00EC49AF" w:rsidRPr="008B13A5" w:rsidRDefault="00EC49AF" w:rsidP="00EC49AF">
      <w:pPr>
        <w:pStyle w:val="NormalWeb"/>
        <w:jc w:val="both"/>
        <w:rPr>
          <w:noProof/>
        </w:rPr>
      </w:pPr>
      <w:r w:rsidRPr="008B13A5">
        <w:rPr>
          <w:noProof/>
        </w:rPr>
        <w:t xml:space="preserve">This division reflects both market forces and policy design: state-aid frameworks and investment incentives have largely supported existing industrial bases where returns are highest, rather than diffusing activity geographically. The </w:t>
      </w:r>
      <w:r w:rsidRPr="008B13A5">
        <w:rPr>
          <w:rStyle w:val="Strong"/>
          <w:noProof/>
        </w:rPr>
        <w:t>ECA (2025)</w:t>
      </w:r>
      <w:r w:rsidR="00F274DD" w:rsidRPr="008B13A5">
        <w:rPr>
          <w:rStyle w:val="Strong"/>
          <w:noProof/>
        </w:rPr>
        <w:t xml:space="preserve"> </w:t>
      </w:r>
      <w:r w:rsidRPr="008B13A5">
        <w:rPr>
          <w:rStyle w:val="Strong"/>
          <w:noProof/>
        </w:rPr>
        <w:t>(</w:t>
      </w:r>
      <w:r w:rsidRPr="008B13A5">
        <w:rPr>
          <w:rStyle w:val="FootnoteReference"/>
          <w:noProof/>
        </w:rPr>
        <w:footnoteReference w:id="285"/>
      </w:r>
      <w:r w:rsidRPr="008B13A5">
        <w:rPr>
          <w:rStyle w:val="Strong"/>
          <w:noProof/>
        </w:rPr>
        <w:t>)</w:t>
      </w:r>
      <w:r w:rsidRPr="008B13A5">
        <w:rPr>
          <w:noProof/>
        </w:rPr>
        <w:t xml:space="preserve"> confirms that national co-financing under the Chips Act and IPCEI schemes has been predominantly channelled toward incumbent centres, given their readiness and project scale.</w:t>
      </w:r>
    </w:p>
    <w:p w14:paraId="5C7F8BA2" w14:textId="762F2289" w:rsidR="00EC49AF" w:rsidRPr="008B13A5" w:rsidRDefault="00EC49AF" w:rsidP="00EC49AF">
      <w:pPr>
        <w:rPr>
          <w:noProof/>
        </w:rPr>
      </w:pPr>
      <w:r w:rsidRPr="008B13A5">
        <w:rPr>
          <w:rStyle w:val="Strong"/>
          <w:noProof/>
        </w:rPr>
        <w:t>Economic and policy implications</w:t>
      </w:r>
    </w:p>
    <w:p w14:paraId="241CA0D1" w14:textId="020822EA" w:rsidR="00EC49AF" w:rsidRPr="008B13A5" w:rsidRDefault="00EC49AF" w:rsidP="00EC49AF">
      <w:pPr>
        <w:pStyle w:val="NormalWeb"/>
        <w:jc w:val="both"/>
        <w:rPr>
          <w:noProof/>
        </w:rPr>
      </w:pPr>
      <w:r w:rsidRPr="008B13A5">
        <w:rPr>
          <w:noProof/>
        </w:rPr>
        <w:t xml:space="preserve">The current degree of concentration delivers clear </w:t>
      </w:r>
      <w:r w:rsidRPr="008B13A5">
        <w:rPr>
          <w:rStyle w:val="Strong"/>
          <w:noProof/>
        </w:rPr>
        <w:t>efficiency gains</w:t>
      </w:r>
      <w:r w:rsidRPr="008B13A5">
        <w:rPr>
          <w:noProof/>
        </w:rPr>
        <w:t xml:space="preserve"> through agglomeration, but it raises </w:t>
      </w:r>
      <w:r w:rsidRPr="008B13A5">
        <w:rPr>
          <w:rStyle w:val="Strong"/>
          <w:noProof/>
        </w:rPr>
        <w:t>territorial cohesion concerns</w:t>
      </w:r>
      <w:r w:rsidRPr="008B13A5">
        <w:rPr>
          <w:noProof/>
        </w:rPr>
        <w:t>:</w:t>
      </w:r>
    </w:p>
    <w:p w14:paraId="79523908" w14:textId="09FFED5F" w:rsidR="00EC49AF" w:rsidRPr="008B13A5" w:rsidRDefault="00EC49AF" w:rsidP="00F47256">
      <w:pPr>
        <w:pStyle w:val="NormalWeb"/>
        <w:numPr>
          <w:ilvl w:val="0"/>
          <w:numId w:val="31"/>
        </w:numPr>
        <w:jc w:val="both"/>
        <w:rPr>
          <w:b/>
          <w:bCs/>
          <w:noProof/>
        </w:rPr>
      </w:pPr>
      <w:r w:rsidRPr="008B13A5">
        <w:rPr>
          <w:rStyle w:val="Strong"/>
          <w:noProof/>
        </w:rPr>
        <w:t>Positive effects:</w:t>
      </w:r>
    </w:p>
    <w:p w14:paraId="6262D034" w14:textId="2EDFC31C" w:rsidR="00EC49AF" w:rsidRPr="008B13A5" w:rsidRDefault="00EC49AF" w:rsidP="00F47256">
      <w:pPr>
        <w:pStyle w:val="NormalWeb"/>
        <w:numPr>
          <w:ilvl w:val="1"/>
          <w:numId w:val="31"/>
        </w:numPr>
        <w:jc w:val="both"/>
        <w:rPr>
          <w:noProof/>
        </w:rPr>
      </w:pPr>
      <w:r w:rsidRPr="008B13A5">
        <w:rPr>
          <w:noProof/>
        </w:rPr>
        <w:t>Deepened regional specialisation and productivity gains from clustering.</w:t>
      </w:r>
    </w:p>
    <w:p w14:paraId="03DA551A" w14:textId="00359B2F" w:rsidR="00EC49AF" w:rsidRPr="008B13A5" w:rsidRDefault="00EC49AF" w:rsidP="00F47256">
      <w:pPr>
        <w:pStyle w:val="NormalWeb"/>
        <w:numPr>
          <w:ilvl w:val="1"/>
          <w:numId w:val="31"/>
        </w:numPr>
        <w:jc w:val="both"/>
        <w:rPr>
          <w:noProof/>
        </w:rPr>
      </w:pPr>
      <w:r w:rsidRPr="008B13A5">
        <w:rPr>
          <w:noProof/>
        </w:rPr>
        <w:t>Enhanced innovation networks between firms, research institutes, and universities.</w:t>
      </w:r>
    </w:p>
    <w:p w14:paraId="69FF83BC" w14:textId="5944BD14" w:rsidR="00EC49AF" w:rsidRPr="008B13A5" w:rsidRDefault="00EC49AF" w:rsidP="00F47256">
      <w:pPr>
        <w:pStyle w:val="NormalWeb"/>
        <w:numPr>
          <w:ilvl w:val="1"/>
          <w:numId w:val="31"/>
        </w:numPr>
        <w:jc w:val="both"/>
        <w:rPr>
          <w:noProof/>
        </w:rPr>
      </w:pPr>
      <w:r w:rsidRPr="008B13A5">
        <w:rPr>
          <w:noProof/>
        </w:rPr>
        <w:t>Economies of scale in infrastructure, logistics, and skilled-labour attraction.</w:t>
      </w:r>
    </w:p>
    <w:p w14:paraId="0A6DB378" w14:textId="2797C8CC" w:rsidR="00EC49AF" w:rsidRPr="008B13A5" w:rsidRDefault="00EC49AF" w:rsidP="00F47256">
      <w:pPr>
        <w:pStyle w:val="NormalWeb"/>
        <w:numPr>
          <w:ilvl w:val="0"/>
          <w:numId w:val="31"/>
        </w:numPr>
        <w:jc w:val="both"/>
        <w:rPr>
          <w:b/>
          <w:bCs/>
          <w:noProof/>
        </w:rPr>
      </w:pPr>
      <w:r w:rsidRPr="008B13A5">
        <w:rPr>
          <w:rStyle w:val="Strong"/>
          <w:noProof/>
        </w:rPr>
        <w:t>Negative effects:</w:t>
      </w:r>
    </w:p>
    <w:p w14:paraId="2D8AB2D9" w14:textId="6FB1892D" w:rsidR="00EC49AF" w:rsidRPr="008B13A5" w:rsidRDefault="00EC49AF" w:rsidP="00F47256">
      <w:pPr>
        <w:pStyle w:val="NormalWeb"/>
        <w:numPr>
          <w:ilvl w:val="1"/>
          <w:numId w:val="31"/>
        </w:numPr>
        <w:jc w:val="both"/>
        <w:rPr>
          <w:noProof/>
        </w:rPr>
      </w:pPr>
      <w:r w:rsidRPr="008B13A5">
        <w:rPr>
          <w:noProof/>
        </w:rPr>
        <w:t xml:space="preserve">Persistent </w:t>
      </w:r>
      <w:r w:rsidRPr="008B13A5">
        <w:rPr>
          <w:rStyle w:val="Strong"/>
          <w:noProof/>
        </w:rPr>
        <w:t>geographic inequality</w:t>
      </w:r>
      <w:r w:rsidRPr="008B13A5">
        <w:rPr>
          <w:noProof/>
        </w:rPr>
        <w:t xml:space="preserve"> between innovation-intensive regions and the rest of the EU.</w:t>
      </w:r>
    </w:p>
    <w:p w14:paraId="3CFC07C6" w14:textId="68FFCAA0" w:rsidR="00EC49AF" w:rsidRPr="008B13A5" w:rsidRDefault="00EC49AF" w:rsidP="00F47256">
      <w:pPr>
        <w:pStyle w:val="NormalWeb"/>
        <w:numPr>
          <w:ilvl w:val="1"/>
          <w:numId w:val="31"/>
        </w:numPr>
        <w:jc w:val="both"/>
        <w:rPr>
          <w:noProof/>
        </w:rPr>
      </w:pPr>
      <w:r w:rsidRPr="008B13A5">
        <w:rPr>
          <w:rStyle w:val="Strong"/>
          <w:noProof/>
        </w:rPr>
        <w:t>Barriers to entry</w:t>
      </w:r>
      <w:r w:rsidRPr="008B13A5">
        <w:rPr>
          <w:noProof/>
        </w:rPr>
        <w:t xml:space="preserve"> for emerging regions lacking pre-existing semiconductor capacity or infrastructure.</w:t>
      </w:r>
    </w:p>
    <w:p w14:paraId="2BC301B6" w14:textId="5B42CF34" w:rsidR="00EC49AF" w:rsidRPr="008B13A5" w:rsidRDefault="00EC49AF" w:rsidP="00F47256">
      <w:pPr>
        <w:pStyle w:val="NormalWeb"/>
        <w:numPr>
          <w:ilvl w:val="1"/>
          <w:numId w:val="31"/>
        </w:numPr>
        <w:jc w:val="both"/>
        <w:rPr>
          <w:noProof/>
        </w:rPr>
      </w:pPr>
      <w:r w:rsidRPr="008B13A5">
        <w:rPr>
          <w:rStyle w:val="Strong"/>
          <w:noProof/>
        </w:rPr>
        <w:t>Skill and wage polarisation</w:t>
      </w:r>
      <w:r w:rsidRPr="008B13A5">
        <w:rPr>
          <w:noProof/>
        </w:rPr>
        <w:t>, as talent and investment concentrate further in core clusters.</w:t>
      </w:r>
    </w:p>
    <w:p w14:paraId="7325613B" w14:textId="7F1EB0C4" w:rsidR="00EC49AF" w:rsidRPr="008B13A5" w:rsidRDefault="00EC49AF" w:rsidP="00973E6C">
      <w:pPr>
        <w:pStyle w:val="Heading2"/>
        <w:rPr>
          <w:noProof/>
        </w:rPr>
      </w:pPr>
      <w:bookmarkStart w:id="322" w:name="_Toc217395638"/>
      <w:bookmarkStart w:id="323" w:name="_Toc217396487"/>
      <w:bookmarkStart w:id="324" w:name="_Toc1973001835"/>
      <w:bookmarkStart w:id="325" w:name="_Toc223620648"/>
      <w:bookmarkStart w:id="326" w:name="_Toc230010470"/>
      <w:r w:rsidRPr="008B13A5">
        <w:rPr>
          <w:noProof/>
        </w:rPr>
        <w:t>Modelling the BAU scenario</w:t>
      </w:r>
      <w:bookmarkEnd w:id="322"/>
      <w:bookmarkEnd w:id="323"/>
      <w:bookmarkEnd w:id="324"/>
      <w:bookmarkEnd w:id="325"/>
      <w:bookmarkEnd w:id="326"/>
    </w:p>
    <w:p w14:paraId="7C100486" w14:textId="543F0242" w:rsidR="00EC49AF" w:rsidRPr="008B13A5" w:rsidRDefault="00EC49AF" w:rsidP="00EC49AF">
      <w:pPr>
        <w:pStyle w:val="NormalWeb"/>
        <w:jc w:val="both"/>
        <w:rPr>
          <w:noProof/>
        </w:rPr>
      </w:pPr>
      <w:bookmarkStart w:id="327" w:name="_Hlk215607451"/>
      <w:r w:rsidRPr="008B13A5">
        <w:rPr>
          <w:noProof/>
        </w:rPr>
        <w:t xml:space="preserve">Under a </w:t>
      </w:r>
      <w:r w:rsidRPr="008B13A5">
        <w:rPr>
          <w:rStyle w:val="Strong"/>
          <w:noProof/>
        </w:rPr>
        <w:t>Business-as-usual (BAU)</w:t>
      </w:r>
      <w:r w:rsidRPr="008B13A5">
        <w:rPr>
          <w:noProof/>
        </w:rPr>
        <w:t xml:space="preserve"> trajectory, Europe’s semiconductor geography remains </w:t>
      </w:r>
      <w:r w:rsidRPr="008B13A5">
        <w:rPr>
          <w:rStyle w:val="Strong"/>
          <w:noProof/>
        </w:rPr>
        <w:t>highly concentrated and path-dependent</w:t>
      </w:r>
      <w:r w:rsidRPr="008B13A5">
        <w:rPr>
          <w:noProof/>
        </w:rPr>
        <w:t>. The major industrial and research hubs established before 2025 continue to attract the vast majority of investments, talent, and public support. While new fabs and R&amp;D facilities expand capacity within existing clusters, there is limited diffusion of semiconductor activity to peripheral regions. This results in gradual strengthening of existing agglomerations rather than a structural shift in the European territorial landscape.</w:t>
      </w:r>
      <w:bookmarkEnd w:id="327"/>
    </w:p>
    <w:p w14:paraId="0D8A7EB2" w14:textId="051FEAAB" w:rsidR="00EC49AF" w:rsidRPr="008B13A5" w:rsidRDefault="00EC49AF" w:rsidP="00EC49AF">
      <w:pPr>
        <w:rPr>
          <w:noProof/>
        </w:rPr>
      </w:pPr>
      <w:r w:rsidRPr="008B13A5">
        <w:rPr>
          <w:rStyle w:val="Strong"/>
          <w:noProof/>
        </w:rPr>
        <w:t>Developments expected under BAU</w:t>
      </w:r>
    </w:p>
    <w:p w14:paraId="152B2971" w14:textId="3A7F9CAB" w:rsidR="00EC49AF" w:rsidRPr="008B13A5" w:rsidRDefault="00EC49AF" w:rsidP="00EC49AF">
      <w:pPr>
        <w:rPr>
          <w:noProof/>
        </w:rPr>
      </w:pPr>
      <w:r w:rsidRPr="008B13A5">
        <w:rPr>
          <w:rStyle w:val="Strong"/>
          <w:noProof/>
        </w:rPr>
        <w:t xml:space="preserve">Continuation of core-cluster dominance. </w:t>
      </w:r>
      <w:r w:rsidRPr="008B13A5">
        <w:rPr>
          <w:noProof/>
        </w:rPr>
        <w:t xml:space="preserve">Between 2025 and 2035, announced semiconductor investments, including </w:t>
      </w:r>
      <w:r w:rsidRPr="008B13A5">
        <w:rPr>
          <w:rStyle w:val="Strong"/>
          <w:noProof/>
        </w:rPr>
        <w:t>Intel Ireland</w:t>
      </w:r>
      <w:r w:rsidRPr="008B13A5">
        <w:rPr>
          <w:b/>
          <w:bCs/>
          <w:noProof/>
        </w:rPr>
        <w:t xml:space="preserve">, </w:t>
      </w:r>
      <w:r w:rsidRPr="008B13A5">
        <w:rPr>
          <w:rStyle w:val="Strong"/>
          <w:noProof/>
        </w:rPr>
        <w:t>STMicroelectronics–GlobalFoundries Crolles</w:t>
      </w:r>
      <w:r w:rsidRPr="008B13A5">
        <w:rPr>
          <w:noProof/>
        </w:rPr>
        <w:t>,</w:t>
      </w:r>
      <w:r w:rsidRPr="008B13A5">
        <w:rPr>
          <w:b/>
          <w:bCs/>
          <w:noProof/>
        </w:rPr>
        <w:t xml:space="preserve"> </w:t>
      </w:r>
      <w:r w:rsidRPr="008B13A5">
        <w:rPr>
          <w:rStyle w:val="Strong"/>
          <w:noProof/>
        </w:rPr>
        <w:t>ESMC Dresden</w:t>
      </w:r>
      <w:r w:rsidRPr="008B13A5">
        <w:rPr>
          <w:noProof/>
        </w:rPr>
        <w:t>,</w:t>
      </w:r>
      <w:r w:rsidRPr="008B13A5">
        <w:rPr>
          <w:b/>
          <w:bCs/>
          <w:noProof/>
        </w:rPr>
        <w:t xml:space="preserve"> </w:t>
      </w:r>
      <w:r w:rsidRPr="008B13A5">
        <w:rPr>
          <w:rStyle w:val="Strong"/>
          <w:noProof/>
        </w:rPr>
        <w:t>Infineon Dresden and Villach</w:t>
      </w:r>
      <w:r w:rsidRPr="008B13A5">
        <w:rPr>
          <w:noProof/>
        </w:rPr>
        <w:t xml:space="preserve">, and </w:t>
      </w:r>
      <w:r w:rsidRPr="008B13A5">
        <w:rPr>
          <w:rStyle w:val="Strong"/>
          <w:noProof/>
        </w:rPr>
        <w:t>Catania SiC Campus</w:t>
      </w:r>
      <w:r w:rsidRPr="008B13A5">
        <w:rPr>
          <w:noProof/>
        </w:rPr>
        <w:t xml:space="preserve">, consolidate existing regional ecosystems rather than create new ones. By 2035, approximately </w:t>
      </w:r>
      <w:r w:rsidRPr="008B13A5">
        <w:rPr>
          <w:rStyle w:val="Strong"/>
          <w:noProof/>
        </w:rPr>
        <w:t>80 % of EU semiconductor employment and value added</w:t>
      </w:r>
      <w:r w:rsidRPr="008B13A5">
        <w:rPr>
          <w:noProof/>
        </w:rPr>
        <w:t xml:space="preserve"> remains concentrated in the same six core clusters. </w:t>
      </w:r>
    </w:p>
    <w:p w14:paraId="33E17F10" w14:textId="364471D6" w:rsidR="00EC49AF" w:rsidRPr="008B13A5" w:rsidRDefault="00EC49AF" w:rsidP="00EC49AF">
      <w:pPr>
        <w:rPr>
          <w:noProof/>
          <w:highlight w:val="yellow"/>
        </w:rPr>
      </w:pPr>
      <w:r w:rsidRPr="008B13A5">
        <w:rPr>
          <w:noProof/>
        </w:rPr>
        <w:t xml:space="preserve">Peripheral or emerging regions (e.g. Poland, Czech Republic, Hungary, Portugal, southern Italy) experience moderate growth through supplier linkages, logistics, and equipment sub-contracting but remain secondary players. This spatial concentration mirrors the industrial geography of other global semiconductor ecosystems, such as the U.S. </w:t>
      </w:r>
      <w:r w:rsidRPr="008B13A5">
        <w:rPr>
          <w:rStyle w:val="Emphasis"/>
          <w:noProof/>
        </w:rPr>
        <w:t>‘Silicon Triangle’</w:t>
      </w:r>
      <w:r w:rsidRPr="008B13A5">
        <w:rPr>
          <w:noProof/>
        </w:rPr>
        <w:t xml:space="preserve"> (linking California, Arizona, and Texas) and the East Asian manufacturing corridor connecting Taiwan, Japan, and South Korea</w:t>
      </w:r>
      <w:r w:rsidR="00F274DD" w:rsidRPr="008B13A5">
        <w:rPr>
          <w:noProof/>
        </w:rPr>
        <w:t xml:space="preserve"> </w:t>
      </w:r>
      <w:r w:rsidRPr="008B13A5">
        <w:rPr>
          <w:noProof/>
        </w:rPr>
        <w:t>(</w:t>
      </w:r>
      <w:r w:rsidRPr="008B13A5">
        <w:rPr>
          <w:rStyle w:val="FootnoteReference"/>
          <w:noProof/>
        </w:rPr>
        <w:footnoteReference w:id="286"/>
      </w:r>
      <w:r w:rsidRPr="008B13A5">
        <w:rPr>
          <w:noProof/>
        </w:rPr>
        <w:t>)</w:t>
      </w:r>
      <w:r w:rsidRPr="008B13A5">
        <w:rPr>
          <w:noProof/>
          <w:vertAlign w:val="superscript"/>
        </w:rPr>
        <w:t>,</w:t>
      </w:r>
      <w:r w:rsidR="00F274DD" w:rsidRPr="008B13A5">
        <w:rPr>
          <w:noProof/>
          <w:vertAlign w:val="superscript"/>
        </w:rPr>
        <w:t xml:space="preserve"> </w:t>
      </w:r>
      <w:r w:rsidRPr="008B13A5">
        <w:rPr>
          <w:noProof/>
          <w:vertAlign w:val="superscript"/>
        </w:rPr>
        <w:t>(</w:t>
      </w:r>
      <w:r w:rsidRPr="008B13A5">
        <w:rPr>
          <w:rStyle w:val="FootnoteReference"/>
          <w:noProof/>
        </w:rPr>
        <w:footnoteReference w:id="287"/>
      </w:r>
      <w:r w:rsidRPr="008B13A5">
        <w:rPr>
          <w:noProof/>
          <w:vertAlign w:val="superscript"/>
        </w:rPr>
        <w:t>)</w:t>
      </w:r>
      <w:r w:rsidRPr="008B13A5">
        <w:rPr>
          <w:noProof/>
        </w:rPr>
        <w:t xml:space="preserve">. </w:t>
      </w:r>
    </w:p>
    <w:p w14:paraId="6CD44654" w14:textId="7FD4768C" w:rsidR="00EC49AF" w:rsidRPr="008B13A5" w:rsidRDefault="00EC49AF" w:rsidP="00EC49AF">
      <w:pPr>
        <w:rPr>
          <w:noProof/>
        </w:rPr>
      </w:pPr>
      <w:r w:rsidRPr="008B13A5">
        <w:rPr>
          <w:rStyle w:val="Strong"/>
          <w:noProof/>
        </w:rPr>
        <w:t xml:space="preserve">Limited emergence of new hubs. </w:t>
      </w:r>
      <w:r w:rsidRPr="008B13A5">
        <w:rPr>
          <w:noProof/>
        </w:rPr>
        <w:t xml:space="preserve">Despite EU policy efforts to enhance territorial cohesion, most </w:t>
      </w:r>
      <w:r w:rsidRPr="008B13A5">
        <w:rPr>
          <w:rStyle w:val="Strong"/>
          <w:noProof/>
        </w:rPr>
        <w:t>new greenfield fabs and pilot lines</w:t>
      </w:r>
      <w:r w:rsidRPr="008B13A5">
        <w:rPr>
          <w:noProof/>
        </w:rPr>
        <w:t xml:space="preserve"> locate near existing ecosystems to exploit established infrastructure, supplier proximity, and skilled labour pools. New entrants in Central and Eastern Europe mainly target packaging, assembly, or materials production rather than high-value design or advanced-node manufacturing. </w:t>
      </w:r>
      <w:r w:rsidRPr="008B13A5">
        <w:rPr>
          <w:rStyle w:val="Strong"/>
          <w:noProof/>
        </w:rPr>
        <w:t>JRC (2025)</w:t>
      </w:r>
      <w:r w:rsidR="00F274DD" w:rsidRPr="008B13A5">
        <w:rPr>
          <w:rStyle w:val="Strong"/>
          <w:noProof/>
        </w:rPr>
        <w:t xml:space="preserve"> </w:t>
      </w:r>
      <w:r w:rsidRPr="008B13A5">
        <w:rPr>
          <w:rStyle w:val="Strong"/>
          <w:noProof/>
        </w:rPr>
        <w:t>(</w:t>
      </w:r>
      <w:r w:rsidRPr="008B13A5">
        <w:rPr>
          <w:rStyle w:val="FootnoteReference"/>
          <w:noProof/>
        </w:rPr>
        <w:footnoteReference w:id="288"/>
      </w:r>
      <w:r w:rsidRPr="008B13A5">
        <w:rPr>
          <w:rStyle w:val="Strong"/>
          <w:noProof/>
        </w:rPr>
        <w:t>)</w:t>
      </w:r>
      <w:r w:rsidRPr="008B13A5">
        <w:rPr>
          <w:noProof/>
        </w:rPr>
        <w:t xml:space="preserve"> projects that under current policies, fewer than </w:t>
      </w:r>
      <w:r w:rsidRPr="008B13A5">
        <w:rPr>
          <w:rStyle w:val="Strong"/>
          <w:noProof/>
        </w:rPr>
        <w:t>20 % of new semiconductor investments</w:t>
      </w:r>
      <w:r w:rsidRPr="008B13A5">
        <w:rPr>
          <w:noProof/>
        </w:rPr>
        <w:t xml:space="preserve"> by 2035 will occur outside the existing top-tier regions.</w:t>
      </w:r>
    </w:p>
    <w:p w14:paraId="269AE33A" w14:textId="13C308DF" w:rsidR="00EC49AF" w:rsidRPr="008B13A5" w:rsidRDefault="00EC49AF" w:rsidP="00EC49AF">
      <w:pPr>
        <w:rPr>
          <w:noProof/>
        </w:rPr>
      </w:pPr>
      <w:r w:rsidRPr="008B13A5">
        <w:rPr>
          <w:rStyle w:val="Strong"/>
          <w:noProof/>
        </w:rPr>
        <w:t xml:space="preserve">Cross-border consolidation and functional integration. </w:t>
      </w:r>
      <w:r w:rsidRPr="008B13A5">
        <w:rPr>
          <w:noProof/>
        </w:rPr>
        <w:t xml:space="preserve">Core regions become increasingly interconnected across borders, forming a </w:t>
      </w:r>
      <w:r w:rsidRPr="008B13A5">
        <w:rPr>
          <w:rStyle w:val="Strong"/>
          <w:noProof/>
        </w:rPr>
        <w:t>North-Central European semiconductor corridor</w:t>
      </w:r>
      <w:r w:rsidRPr="008B13A5">
        <w:rPr>
          <w:noProof/>
        </w:rPr>
        <w:t xml:space="preserve"> linking the Netherlands, Belgium, Germany, France, and Austria. Industrial interdependencies, e.g. between ASML (Netherlands) and imec (Belgium) strengthen vertical integration within this corridor. This cross-border clustering reinforces Europe’s strengths in equipment, materials, and power devices but further marginalises outer regions.</w:t>
      </w:r>
    </w:p>
    <w:p w14:paraId="1F0BF254" w14:textId="05E0D0F7" w:rsidR="00EC49AF" w:rsidRPr="008B13A5" w:rsidRDefault="00EC49AF" w:rsidP="00EC49AF">
      <w:pPr>
        <w:rPr>
          <w:noProof/>
        </w:rPr>
      </w:pPr>
      <w:r w:rsidRPr="008B13A5">
        <w:rPr>
          <w:rStyle w:val="Strong"/>
          <w:noProof/>
        </w:rPr>
        <w:t xml:space="preserve">Regional spillovers and supplier linkages. </w:t>
      </w:r>
      <w:r w:rsidRPr="008B13A5">
        <w:rPr>
          <w:noProof/>
        </w:rPr>
        <w:t xml:space="preserve">Peripheral regions benefit from indirect employment and supply chain effects during fab construction and through service provision. Supplier multipliers estimated by </w:t>
      </w:r>
      <w:r w:rsidRPr="008B13A5">
        <w:rPr>
          <w:rStyle w:val="Strong"/>
          <w:noProof/>
        </w:rPr>
        <w:t>Deloitte (2021)</w:t>
      </w:r>
      <w:r w:rsidR="00F274DD" w:rsidRPr="008B13A5">
        <w:rPr>
          <w:rStyle w:val="Strong"/>
          <w:noProof/>
        </w:rPr>
        <w:t xml:space="preserve"> </w:t>
      </w:r>
      <w:r w:rsidRPr="008B13A5">
        <w:rPr>
          <w:rStyle w:val="Strong"/>
          <w:noProof/>
        </w:rPr>
        <w:t>(</w:t>
      </w:r>
      <w:r w:rsidRPr="008B13A5">
        <w:rPr>
          <w:rStyle w:val="FootnoteReference"/>
          <w:noProof/>
        </w:rPr>
        <w:footnoteReference w:id="289"/>
      </w:r>
      <w:r w:rsidRPr="008B13A5">
        <w:rPr>
          <w:rStyle w:val="Strong"/>
          <w:noProof/>
        </w:rPr>
        <w:t>)</w:t>
      </w:r>
      <w:r w:rsidRPr="008B13A5">
        <w:rPr>
          <w:b/>
          <w:bCs/>
          <w:noProof/>
        </w:rPr>
        <w:t xml:space="preserve"> </w:t>
      </w:r>
      <w:r w:rsidRPr="008B13A5">
        <w:rPr>
          <w:noProof/>
        </w:rPr>
        <w:t>and</w:t>
      </w:r>
      <w:r w:rsidRPr="008B13A5">
        <w:rPr>
          <w:b/>
          <w:bCs/>
          <w:noProof/>
        </w:rPr>
        <w:t xml:space="preserve"> </w:t>
      </w:r>
      <w:r w:rsidRPr="008B13A5">
        <w:rPr>
          <w:rStyle w:val="Strong"/>
          <w:noProof/>
        </w:rPr>
        <w:t>McKinsey (2024)</w:t>
      </w:r>
      <w:r w:rsidR="00F274DD" w:rsidRPr="008B13A5">
        <w:rPr>
          <w:rStyle w:val="Strong"/>
          <w:noProof/>
        </w:rPr>
        <w:t xml:space="preserve"> </w:t>
      </w:r>
      <w:r w:rsidRPr="008B13A5">
        <w:rPr>
          <w:rStyle w:val="Strong"/>
          <w:noProof/>
        </w:rPr>
        <w:t>(</w:t>
      </w:r>
      <w:r w:rsidRPr="008B13A5">
        <w:rPr>
          <w:rStyle w:val="FootnoteReference"/>
          <w:noProof/>
        </w:rPr>
        <w:footnoteReference w:id="290"/>
      </w:r>
      <w:r w:rsidRPr="008B13A5">
        <w:rPr>
          <w:rStyle w:val="Strong"/>
          <w:noProof/>
        </w:rPr>
        <w:t>)</w:t>
      </w:r>
      <w:r w:rsidRPr="008B13A5">
        <w:rPr>
          <w:noProof/>
        </w:rPr>
        <w:t xml:space="preserve"> suggest that each direct semiconductor job supports 5–6 indirect jobs, mainly in construction, utilities, and logistics. However, these spillovers remain largely </w:t>
      </w:r>
      <w:r w:rsidRPr="008B13A5">
        <w:rPr>
          <w:rStyle w:val="Strong"/>
          <w:noProof/>
        </w:rPr>
        <w:t>localised near established hubs</w:t>
      </w:r>
      <w:r w:rsidRPr="008B13A5">
        <w:rPr>
          <w:noProof/>
        </w:rPr>
        <w:t>; broader diffusion toward less developed regions is minimal without additional policy intervention.</w:t>
      </w:r>
    </w:p>
    <w:p w14:paraId="285C3438" w14:textId="38B2EFF3" w:rsidR="00EC49AF" w:rsidRPr="008B13A5" w:rsidRDefault="00EC49AF" w:rsidP="00EC49AF">
      <w:pPr>
        <w:rPr>
          <w:noProof/>
        </w:rPr>
      </w:pPr>
      <w:r w:rsidRPr="008B13A5">
        <w:rPr>
          <w:rStyle w:val="Strong"/>
          <w:noProof/>
        </w:rPr>
        <w:t>Rationale and evidence base</w:t>
      </w:r>
    </w:p>
    <w:p w14:paraId="744C088E" w14:textId="42D8DB35" w:rsidR="00EC49AF" w:rsidRPr="008B13A5" w:rsidRDefault="00EC49AF" w:rsidP="00EC49AF">
      <w:pPr>
        <w:pStyle w:val="NormalWeb"/>
        <w:rPr>
          <w:noProof/>
        </w:rPr>
      </w:pPr>
      <w:r w:rsidRPr="008B13A5">
        <w:rPr>
          <w:noProof/>
        </w:rPr>
        <w:t>The persistence of concentration under BAU reflects several reinforcing factors:</w:t>
      </w:r>
    </w:p>
    <w:p w14:paraId="23F122FA" w14:textId="6398FFB2" w:rsidR="00EC49AF" w:rsidRPr="008B13A5" w:rsidRDefault="00EC49AF" w:rsidP="00F47256">
      <w:pPr>
        <w:pStyle w:val="NormalWeb"/>
        <w:numPr>
          <w:ilvl w:val="0"/>
          <w:numId w:val="32"/>
        </w:numPr>
        <w:jc w:val="both"/>
        <w:rPr>
          <w:noProof/>
        </w:rPr>
      </w:pPr>
      <w:r w:rsidRPr="008B13A5">
        <w:rPr>
          <w:rStyle w:val="Strong"/>
          <w:noProof/>
        </w:rPr>
        <w:t>Infrastructure and sunk capital:</w:t>
      </w:r>
      <w:r w:rsidRPr="008B13A5">
        <w:rPr>
          <w:noProof/>
        </w:rPr>
        <w:t xml:space="preserve"> Semiconductor fabs and equipment clusters are among the most capital-intensive industrial assets, creating long-term lock-in effects once located. </w:t>
      </w:r>
      <w:r w:rsidRPr="008B13A5">
        <w:rPr>
          <w:rStyle w:val="Strong"/>
          <w:noProof/>
        </w:rPr>
        <w:t>McKinsey (2025)</w:t>
      </w:r>
      <w:r w:rsidR="00F274DD" w:rsidRPr="008B13A5">
        <w:rPr>
          <w:rStyle w:val="Strong"/>
          <w:noProof/>
        </w:rPr>
        <w:t xml:space="preserve"> </w:t>
      </w:r>
      <w:r w:rsidRPr="008B13A5">
        <w:rPr>
          <w:rStyle w:val="Strong"/>
          <w:noProof/>
        </w:rPr>
        <w:t>(</w:t>
      </w:r>
      <w:r w:rsidRPr="008B13A5">
        <w:rPr>
          <w:rStyle w:val="FootnoteReference"/>
          <w:noProof/>
        </w:rPr>
        <w:footnoteReference w:id="291"/>
      </w:r>
      <w:r w:rsidRPr="008B13A5">
        <w:rPr>
          <w:rStyle w:val="Strong"/>
          <w:noProof/>
        </w:rPr>
        <w:t>)</w:t>
      </w:r>
      <w:r w:rsidRPr="008B13A5">
        <w:rPr>
          <w:noProof/>
        </w:rPr>
        <w:t xml:space="preserve"> explains that global semiconductor investments show strong path-dependence due to the high irreversibility of capital expenditure and skill accumulation.</w:t>
      </w:r>
    </w:p>
    <w:p w14:paraId="74D7A02B" w14:textId="7EBD3FAD" w:rsidR="00EC49AF" w:rsidRPr="008B13A5" w:rsidRDefault="00EC49AF" w:rsidP="00F47256">
      <w:pPr>
        <w:pStyle w:val="NormalWeb"/>
        <w:numPr>
          <w:ilvl w:val="0"/>
          <w:numId w:val="32"/>
        </w:numPr>
        <w:jc w:val="both"/>
        <w:rPr>
          <w:noProof/>
        </w:rPr>
      </w:pPr>
      <w:r w:rsidRPr="008B13A5">
        <w:rPr>
          <w:rStyle w:val="Strong"/>
          <w:noProof/>
        </w:rPr>
        <w:t>Talent availability:</w:t>
      </w:r>
      <w:r w:rsidRPr="008B13A5">
        <w:rPr>
          <w:noProof/>
        </w:rPr>
        <w:t xml:space="preserve"> The </w:t>
      </w:r>
      <w:r w:rsidRPr="008B13A5">
        <w:rPr>
          <w:rStyle w:val="Strong"/>
          <w:noProof/>
        </w:rPr>
        <w:t>European Chips Skills Academy</w:t>
      </w:r>
      <w:r w:rsidR="00F274DD" w:rsidRPr="008B13A5">
        <w:rPr>
          <w:rStyle w:val="Strong"/>
          <w:noProof/>
        </w:rPr>
        <w:t xml:space="preserve"> </w:t>
      </w:r>
      <w:r w:rsidRPr="008B13A5">
        <w:rPr>
          <w:rStyle w:val="Strong"/>
          <w:noProof/>
        </w:rPr>
        <w:t>(</w:t>
      </w:r>
      <w:r w:rsidRPr="008B13A5">
        <w:rPr>
          <w:rStyle w:val="FootnoteReference"/>
          <w:noProof/>
        </w:rPr>
        <w:footnoteReference w:id="292"/>
      </w:r>
      <w:r w:rsidRPr="008B13A5">
        <w:rPr>
          <w:rStyle w:val="Strong"/>
          <w:noProof/>
        </w:rPr>
        <w:t>)</w:t>
      </w:r>
      <w:r w:rsidRPr="008B13A5">
        <w:rPr>
          <w:noProof/>
        </w:rPr>
        <w:t xml:space="preserve"> and </w:t>
      </w:r>
      <w:r w:rsidRPr="008B13A5">
        <w:rPr>
          <w:rStyle w:val="Strong"/>
          <w:noProof/>
        </w:rPr>
        <w:t>JRC (2025)</w:t>
      </w:r>
      <w:r w:rsidR="00F274DD" w:rsidRPr="008B13A5">
        <w:rPr>
          <w:rStyle w:val="Strong"/>
          <w:noProof/>
        </w:rPr>
        <w:t xml:space="preserve"> </w:t>
      </w:r>
      <w:r w:rsidRPr="008B13A5">
        <w:rPr>
          <w:rStyle w:val="Strong"/>
          <w:noProof/>
        </w:rPr>
        <w:t>(</w:t>
      </w:r>
      <w:r w:rsidRPr="008B13A5">
        <w:rPr>
          <w:rStyle w:val="FootnoteReference"/>
          <w:noProof/>
        </w:rPr>
        <w:footnoteReference w:id="293"/>
      </w:r>
      <w:r w:rsidRPr="008B13A5">
        <w:rPr>
          <w:rStyle w:val="Strong"/>
          <w:noProof/>
        </w:rPr>
        <w:t>)</w:t>
      </w:r>
      <w:r w:rsidRPr="008B13A5">
        <w:rPr>
          <w:noProof/>
        </w:rPr>
        <w:t xml:space="preserve"> highlight persistent labour shortages, with engineering and technician gaps particularly acute outside existing hubs. Firms therefore concentrate expansion where talent pools and training infrastructure already exist. Although Competence Centres are being established in all Member States to broaden access to design support, specialised training, and prototyping services, their impact under BAU is expected to improve participation rather than materially shift the location of large-scale industrial investments.</w:t>
      </w:r>
    </w:p>
    <w:p w14:paraId="0F28792D" w14:textId="295DE15C" w:rsidR="00EC49AF" w:rsidRPr="008B13A5" w:rsidRDefault="00EC49AF" w:rsidP="00F47256">
      <w:pPr>
        <w:pStyle w:val="NormalWeb"/>
        <w:numPr>
          <w:ilvl w:val="0"/>
          <w:numId w:val="32"/>
        </w:numPr>
        <w:jc w:val="both"/>
        <w:rPr>
          <w:noProof/>
        </w:rPr>
      </w:pPr>
      <w:r w:rsidRPr="008B13A5">
        <w:rPr>
          <w:rStyle w:val="Strong"/>
          <w:noProof/>
        </w:rPr>
        <w:t>Network and innovation effects:</w:t>
      </w:r>
      <w:r w:rsidRPr="008B13A5">
        <w:rPr>
          <w:noProof/>
        </w:rPr>
        <w:t xml:space="preserve"> Co-location of R&amp;D, suppliers, and production drives economies of scope. </w:t>
      </w:r>
      <w:r w:rsidRPr="008B13A5">
        <w:rPr>
          <w:rStyle w:val="Strong"/>
          <w:noProof/>
        </w:rPr>
        <w:t>BCG (2024)</w:t>
      </w:r>
      <w:r w:rsidR="00F274DD" w:rsidRPr="008B13A5">
        <w:rPr>
          <w:rStyle w:val="Strong"/>
          <w:noProof/>
        </w:rPr>
        <w:t xml:space="preserve"> </w:t>
      </w:r>
      <w:r w:rsidRPr="008B13A5">
        <w:rPr>
          <w:rStyle w:val="Strong"/>
          <w:noProof/>
        </w:rPr>
        <w:t>(</w:t>
      </w:r>
      <w:r w:rsidRPr="008B13A5">
        <w:rPr>
          <w:rStyle w:val="FootnoteReference"/>
          <w:noProof/>
        </w:rPr>
        <w:footnoteReference w:id="294"/>
      </w:r>
      <w:r w:rsidRPr="008B13A5">
        <w:rPr>
          <w:rStyle w:val="Strong"/>
          <w:noProof/>
        </w:rPr>
        <w:t>)</w:t>
      </w:r>
      <w:r w:rsidRPr="008B13A5">
        <w:rPr>
          <w:noProof/>
        </w:rPr>
        <w:t xml:space="preserve"> notes that advanced-packaging and materials innovation depend on physical proximity between design centres and fabs, favouring the established clusters.</w:t>
      </w:r>
    </w:p>
    <w:p w14:paraId="1EBD6806" w14:textId="1A4979D5" w:rsidR="00EC49AF" w:rsidRPr="008B13A5" w:rsidRDefault="00EC49AF" w:rsidP="00F47256">
      <w:pPr>
        <w:pStyle w:val="NormalWeb"/>
        <w:numPr>
          <w:ilvl w:val="0"/>
          <w:numId w:val="32"/>
        </w:numPr>
        <w:jc w:val="both"/>
        <w:rPr>
          <w:noProof/>
        </w:rPr>
      </w:pPr>
      <w:r w:rsidRPr="008B13A5">
        <w:rPr>
          <w:rStyle w:val="Strong"/>
          <w:noProof/>
        </w:rPr>
        <w:t>Policy structure:</w:t>
      </w:r>
      <w:r w:rsidRPr="008B13A5">
        <w:rPr>
          <w:noProof/>
        </w:rPr>
        <w:t xml:space="preserve"> State-aid rules and IPCEI frameworks incentivise large-scale projects requiring national co-financing. ECA (2025)</w:t>
      </w:r>
      <w:r w:rsidR="00F274DD" w:rsidRPr="008B13A5">
        <w:rPr>
          <w:noProof/>
        </w:rPr>
        <w:t xml:space="preserve"> </w:t>
      </w:r>
      <w:r w:rsidRPr="008B13A5">
        <w:rPr>
          <w:noProof/>
        </w:rPr>
        <w:t>(</w:t>
      </w:r>
      <w:r w:rsidRPr="008B13A5">
        <w:rPr>
          <w:rStyle w:val="FootnoteReference"/>
          <w:noProof/>
        </w:rPr>
        <w:footnoteReference w:id="295"/>
      </w:r>
      <w:r w:rsidRPr="008B13A5">
        <w:rPr>
          <w:noProof/>
        </w:rPr>
        <w:t>) reports that this has channelled most support to high-capacity incumbents in Germany, France, Ireland, and the Netherlands, limiting the potential for geographical diversification. While Competence Centres provide nationwide support services, they do not alter the underlying factors shaping the siting of major manufacturing projects under BAU.</w:t>
      </w:r>
    </w:p>
    <w:p w14:paraId="634C7C41" w14:textId="77777777" w:rsidR="00EC49AF" w:rsidRPr="008B13A5" w:rsidRDefault="00EC49AF" w:rsidP="00EC49AF">
      <w:pPr>
        <w:rPr>
          <w:noProof/>
        </w:rPr>
      </w:pPr>
      <w:r w:rsidRPr="008B13A5">
        <w:rPr>
          <w:rStyle w:val="Strong"/>
          <w:noProof/>
        </w:rPr>
        <w:t>Implications</w:t>
      </w:r>
    </w:p>
    <w:p w14:paraId="0847ADCC" w14:textId="06AB4E2A" w:rsidR="00EC49AF" w:rsidRPr="008B13A5" w:rsidRDefault="00EC49AF" w:rsidP="00EC49AF">
      <w:pPr>
        <w:rPr>
          <w:noProof/>
        </w:rPr>
      </w:pPr>
      <w:r w:rsidRPr="008B13A5">
        <w:rPr>
          <w:rStyle w:val="Strong"/>
          <w:noProof/>
        </w:rPr>
        <w:t xml:space="preserve">Regional concentration and productivity. </w:t>
      </w:r>
      <w:r w:rsidRPr="008B13A5">
        <w:rPr>
          <w:noProof/>
        </w:rPr>
        <w:t xml:space="preserve">Under BAU, the </w:t>
      </w:r>
      <w:r w:rsidRPr="008B13A5">
        <w:rPr>
          <w:rStyle w:val="Strong"/>
          <w:noProof/>
        </w:rPr>
        <w:t>top six NUTS-2 regions</w:t>
      </w:r>
      <w:r w:rsidRPr="008B13A5">
        <w:rPr>
          <w:noProof/>
        </w:rPr>
        <w:t xml:space="preserve"> slowly increase their combined share of semiconductor-related value added, driven by cumulative investment and productivity gains. Agglomeration effects enhance efficiency and innovation capacity but create </w:t>
      </w:r>
      <w:r w:rsidRPr="008B13A5">
        <w:rPr>
          <w:rStyle w:val="Strong"/>
          <w:noProof/>
        </w:rPr>
        <w:t>structural divergence</w:t>
      </w:r>
      <w:r w:rsidRPr="008B13A5">
        <w:rPr>
          <w:noProof/>
        </w:rPr>
        <w:t xml:space="preserve"> between high-performing clusters and lagging regions.</w:t>
      </w:r>
    </w:p>
    <w:p w14:paraId="40E318F7" w14:textId="024950DD" w:rsidR="00EC49AF" w:rsidRPr="008B13A5" w:rsidRDefault="00EC49AF" w:rsidP="00EC49AF">
      <w:pPr>
        <w:rPr>
          <w:noProof/>
        </w:rPr>
      </w:pPr>
      <w:r w:rsidRPr="008B13A5">
        <w:rPr>
          <w:rStyle w:val="Strong"/>
          <w:noProof/>
        </w:rPr>
        <w:t xml:space="preserve">Labour markets and skills. </w:t>
      </w:r>
      <w:r w:rsidRPr="008B13A5">
        <w:rPr>
          <w:noProof/>
        </w:rPr>
        <w:t xml:space="preserve">Regional labour-market effects mirror the overall pattern of agglomeration. Core regions face </w:t>
      </w:r>
      <w:r w:rsidRPr="008B13A5">
        <w:rPr>
          <w:rStyle w:val="Strong"/>
          <w:noProof/>
        </w:rPr>
        <w:t>tight labour markets</w:t>
      </w:r>
      <w:r w:rsidRPr="008B13A5">
        <w:rPr>
          <w:noProof/>
        </w:rPr>
        <w:t xml:space="preserve"> and wage pressures, while peripheral regions experience limited job creation. Cross-border mobility of engineers remains insufficient to offset regional imbalances, as </w:t>
      </w:r>
      <w:r w:rsidRPr="008B13A5">
        <w:rPr>
          <w:rStyle w:val="Strong"/>
          <w:noProof/>
        </w:rPr>
        <w:t>McKinsey (2024)</w:t>
      </w:r>
      <w:r w:rsidR="00F274DD" w:rsidRPr="008B13A5">
        <w:rPr>
          <w:rStyle w:val="Strong"/>
          <w:noProof/>
        </w:rPr>
        <w:t xml:space="preserve"> </w:t>
      </w:r>
      <w:r w:rsidRPr="008B13A5">
        <w:rPr>
          <w:rStyle w:val="Strong"/>
          <w:noProof/>
        </w:rPr>
        <w:t>(</w:t>
      </w:r>
      <w:r w:rsidRPr="008B13A5">
        <w:rPr>
          <w:rStyle w:val="FootnoteReference"/>
          <w:noProof/>
        </w:rPr>
        <w:footnoteReference w:id="296"/>
      </w:r>
      <w:r w:rsidRPr="008B13A5">
        <w:rPr>
          <w:rStyle w:val="Strong"/>
          <w:noProof/>
        </w:rPr>
        <w:t>)</w:t>
      </w:r>
      <w:r w:rsidRPr="008B13A5">
        <w:rPr>
          <w:noProof/>
        </w:rPr>
        <w:t xml:space="preserve"> and </w:t>
      </w:r>
      <w:r w:rsidRPr="008B13A5">
        <w:rPr>
          <w:rStyle w:val="Strong"/>
          <w:noProof/>
        </w:rPr>
        <w:t>ECSA (2024)</w:t>
      </w:r>
      <w:r w:rsidR="00F274DD" w:rsidRPr="008B13A5">
        <w:rPr>
          <w:rStyle w:val="Strong"/>
          <w:noProof/>
        </w:rPr>
        <w:t xml:space="preserve"> </w:t>
      </w:r>
      <w:r w:rsidRPr="008B13A5">
        <w:rPr>
          <w:rStyle w:val="Strong"/>
          <w:noProof/>
        </w:rPr>
        <w:t>(</w:t>
      </w:r>
      <w:r w:rsidRPr="008B13A5">
        <w:rPr>
          <w:rStyle w:val="FootnoteReference"/>
          <w:b/>
          <w:bCs/>
          <w:noProof/>
        </w:rPr>
        <w:footnoteReference w:id="297"/>
      </w:r>
      <w:r w:rsidRPr="008B13A5">
        <w:rPr>
          <w:rStyle w:val="Strong"/>
          <w:noProof/>
        </w:rPr>
        <w:t>)</w:t>
      </w:r>
      <w:r w:rsidRPr="008B13A5">
        <w:rPr>
          <w:noProof/>
        </w:rPr>
        <w:t xml:space="preserve"> report.</w:t>
      </w:r>
    </w:p>
    <w:p w14:paraId="63419BDD" w14:textId="1BD21D4F" w:rsidR="00EC49AF" w:rsidRPr="008B13A5" w:rsidRDefault="00EC49AF" w:rsidP="00EC49AF">
      <w:pPr>
        <w:rPr>
          <w:noProof/>
        </w:rPr>
      </w:pPr>
      <w:r w:rsidRPr="008B13A5">
        <w:rPr>
          <w:rStyle w:val="Strong"/>
          <w:noProof/>
        </w:rPr>
        <w:t xml:space="preserve">Environmental and infrastructure pressures. </w:t>
      </w:r>
      <w:r w:rsidRPr="008B13A5">
        <w:rPr>
          <w:noProof/>
        </w:rPr>
        <w:t xml:space="preserve">High-capacity clusters such as Dresden, Crolles–Grenoble, and Dublin experience growing strain on local </w:t>
      </w:r>
      <w:r w:rsidRPr="008B13A5">
        <w:rPr>
          <w:rStyle w:val="Strong"/>
          <w:noProof/>
        </w:rPr>
        <w:t>energy and water systems</w:t>
      </w:r>
      <w:r w:rsidRPr="008B13A5">
        <w:rPr>
          <w:noProof/>
        </w:rPr>
        <w:t>, reinforcing regional environmental pressures identified in section 3.3. In contrast, potential sites with available capacity in peripheral regions remain underutilised.</w:t>
      </w:r>
    </w:p>
    <w:p w14:paraId="670548D8" w14:textId="4AFF0ADC" w:rsidR="00EC49AF" w:rsidRPr="008B13A5" w:rsidRDefault="00EC49AF" w:rsidP="00EC49AF">
      <w:pPr>
        <w:pStyle w:val="NormalWeb"/>
        <w:jc w:val="both"/>
        <w:rPr>
          <w:noProof/>
        </w:rPr>
      </w:pPr>
      <w:r w:rsidRPr="008B13A5">
        <w:rPr>
          <w:noProof/>
        </w:rPr>
        <w:t xml:space="preserve">Overall, under BAU conditions, the </w:t>
      </w:r>
      <w:r w:rsidRPr="008B13A5">
        <w:rPr>
          <w:rStyle w:val="Strong"/>
          <w:noProof/>
        </w:rPr>
        <w:t>regional geography of Europe’s semiconductor industry remains largely unchanged through 2035</w:t>
      </w:r>
      <w:r w:rsidRPr="008B13A5">
        <w:rPr>
          <w:noProof/>
        </w:rPr>
        <w:t>.</w:t>
      </w:r>
    </w:p>
    <w:p w14:paraId="50C88552" w14:textId="33AAA85C" w:rsidR="00EC49AF" w:rsidRPr="008B13A5" w:rsidRDefault="00EC49AF" w:rsidP="00F47256">
      <w:pPr>
        <w:pStyle w:val="NormalWeb"/>
        <w:numPr>
          <w:ilvl w:val="0"/>
          <w:numId w:val="33"/>
        </w:numPr>
        <w:jc w:val="both"/>
        <w:rPr>
          <w:noProof/>
        </w:rPr>
      </w:pPr>
      <w:r w:rsidRPr="008B13A5">
        <w:rPr>
          <w:noProof/>
        </w:rPr>
        <w:t>Existing high-tech clusters consolidate their dominance, benefiting from cumulative investment, infrastructure, and skills ecosystems.</w:t>
      </w:r>
    </w:p>
    <w:p w14:paraId="37AF887C" w14:textId="56628D08" w:rsidR="00EC49AF" w:rsidRPr="008B13A5" w:rsidRDefault="00EC49AF" w:rsidP="00F47256">
      <w:pPr>
        <w:pStyle w:val="NormalWeb"/>
        <w:numPr>
          <w:ilvl w:val="0"/>
          <w:numId w:val="33"/>
        </w:numPr>
        <w:jc w:val="both"/>
        <w:rPr>
          <w:noProof/>
        </w:rPr>
      </w:pPr>
      <w:r w:rsidRPr="008B13A5">
        <w:rPr>
          <w:noProof/>
        </w:rPr>
        <w:t>Cross-border integration between Benelux, Germany, France, and Austria forms a competitive “semiconductor corridor”, but without significant geographic expansion.</w:t>
      </w:r>
    </w:p>
    <w:p w14:paraId="6413D3E3" w14:textId="1D6F422E" w:rsidR="00EC49AF" w:rsidRPr="008B13A5" w:rsidRDefault="00EC49AF" w:rsidP="00F47256">
      <w:pPr>
        <w:pStyle w:val="NormalWeb"/>
        <w:numPr>
          <w:ilvl w:val="0"/>
          <w:numId w:val="33"/>
        </w:numPr>
        <w:jc w:val="both"/>
        <w:rPr>
          <w:noProof/>
        </w:rPr>
      </w:pPr>
      <w:r w:rsidRPr="008B13A5">
        <w:rPr>
          <w:noProof/>
        </w:rPr>
        <w:t>Peripheral Member States gain limited spillovers, primarily through supply chain participation and service contracts, without achieving substantial localisation of high-value activities.</w:t>
      </w:r>
    </w:p>
    <w:p w14:paraId="67B4994F" w14:textId="5447C4E8" w:rsidR="00EC49AF" w:rsidRPr="008B13A5" w:rsidRDefault="00EC49AF" w:rsidP="00F47256">
      <w:pPr>
        <w:pStyle w:val="NormalWeb"/>
        <w:numPr>
          <w:ilvl w:val="0"/>
          <w:numId w:val="33"/>
        </w:numPr>
        <w:jc w:val="both"/>
        <w:rPr>
          <w:noProof/>
        </w:rPr>
      </w:pPr>
      <w:r w:rsidRPr="008B13A5">
        <w:rPr>
          <w:noProof/>
        </w:rPr>
        <w:t>Territorial cohesion objectives therefore remain only partially fulfilled, as structural imbalances persist between innovation-intensive core regions and industrial peripheries.</w:t>
      </w:r>
    </w:p>
    <w:p w14:paraId="166A507B" w14:textId="02C05D04" w:rsidR="00EC49AF" w:rsidRPr="008B13A5" w:rsidRDefault="00EC49AF" w:rsidP="0005276B">
      <w:pPr>
        <w:pStyle w:val="Heading1"/>
        <w:rPr>
          <w:noProof/>
        </w:rPr>
      </w:pPr>
      <w:bookmarkStart w:id="328" w:name="_Toc217394782"/>
      <w:bookmarkStart w:id="329" w:name="_Toc217395639"/>
      <w:bookmarkStart w:id="330" w:name="_Toc217396488"/>
      <w:bookmarkStart w:id="331" w:name="_Toc689761894"/>
      <w:bookmarkStart w:id="332" w:name="_Toc223620649"/>
      <w:bookmarkStart w:id="333" w:name="_Toc230010471"/>
      <w:r w:rsidRPr="008B13A5">
        <w:rPr>
          <w:noProof/>
        </w:rPr>
        <w:t>Modelling environmental impacts</w:t>
      </w:r>
      <w:bookmarkEnd w:id="328"/>
      <w:bookmarkEnd w:id="329"/>
      <w:bookmarkEnd w:id="330"/>
      <w:bookmarkEnd w:id="331"/>
      <w:bookmarkEnd w:id="332"/>
      <w:bookmarkEnd w:id="333"/>
    </w:p>
    <w:p w14:paraId="079E3DED" w14:textId="76D5E647" w:rsidR="00EC49AF" w:rsidRPr="008B13A5" w:rsidRDefault="00EC49AF" w:rsidP="0005276B">
      <w:pPr>
        <w:pStyle w:val="Heading2"/>
        <w:rPr>
          <w:noProof/>
        </w:rPr>
      </w:pPr>
      <w:bookmarkStart w:id="334" w:name="_Toc230010472"/>
      <w:bookmarkStart w:id="335" w:name="_Toc217394783"/>
      <w:bookmarkStart w:id="336" w:name="_Toc217395640"/>
      <w:bookmarkStart w:id="337" w:name="_Toc217396489"/>
      <w:bookmarkStart w:id="338" w:name="_Toc1841793660"/>
      <w:bookmarkStart w:id="339" w:name="_Toc223620650"/>
      <w:r w:rsidRPr="008B13A5">
        <w:rPr>
          <w:noProof/>
        </w:rPr>
        <w:t>Environmental impacts</w:t>
      </w:r>
      <w:bookmarkEnd w:id="334"/>
      <w:r w:rsidRPr="008B13A5">
        <w:rPr>
          <w:noProof/>
        </w:rPr>
        <w:t xml:space="preserve"> </w:t>
      </w:r>
      <w:bookmarkEnd w:id="335"/>
      <w:bookmarkEnd w:id="336"/>
      <w:bookmarkEnd w:id="337"/>
      <w:bookmarkEnd w:id="338"/>
      <w:bookmarkEnd w:id="339"/>
    </w:p>
    <w:p w14:paraId="5CBA6C43" w14:textId="6F6F9F5D" w:rsidR="00EC49AF" w:rsidRPr="008B13A5" w:rsidRDefault="00EC49AF" w:rsidP="0005276B">
      <w:pPr>
        <w:pStyle w:val="Heading3"/>
        <w:rPr>
          <w:noProof/>
        </w:rPr>
      </w:pPr>
      <w:bookmarkStart w:id="340" w:name="_Toc217395641"/>
      <w:bookmarkStart w:id="341" w:name="_Toc217396490"/>
      <w:bookmarkStart w:id="342" w:name="_Toc145781730"/>
      <w:bookmarkStart w:id="343" w:name="_Toc223620651"/>
      <w:bookmarkStart w:id="344" w:name="_Toc230010473"/>
      <w:r w:rsidRPr="008B13A5">
        <w:rPr>
          <w:noProof/>
        </w:rPr>
        <w:t>Establishing a starting point for BAU scenario</w:t>
      </w:r>
      <w:bookmarkEnd w:id="340"/>
      <w:bookmarkEnd w:id="341"/>
      <w:bookmarkEnd w:id="342"/>
      <w:bookmarkEnd w:id="343"/>
      <w:bookmarkEnd w:id="344"/>
    </w:p>
    <w:p w14:paraId="76D824E5" w14:textId="29758581" w:rsidR="00EC49AF" w:rsidRPr="008B13A5" w:rsidRDefault="00EC49AF" w:rsidP="0005276B">
      <w:pPr>
        <w:pStyle w:val="NormalWeb"/>
        <w:jc w:val="both"/>
        <w:rPr>
          <w:noProof/>
        </w:rPr>
      </w:pPr>
      <w:r w:rsidRPr="008B13A5">
        <w:rPr>
          <w:noProof/>
        </w:rPr>
        <w:t xml:space="preserve">When addressing sustainability in semiconductor manufacturing, attention often alternates between climate-related and broader environmental considerations. Climate concerns primarily pertain to greenhouse gas (GHG) emissions, including those from high global warming potential (GWP) gases and the energy consumption associated with raw materials mining and processing as well as chemicals refinement and wafer fabrication. These factors are commonly monitored using the Greenhouse Gas (GHG) Protocol, a widely adopted and standardised global framework. </w:t>
      </w:r>
    </w:p>
    <w:p w14:paraId="5D0C6E3C" w14:textId="2CE88E78" w:rsidR="00EC49AF" w:rsidRPr="008B13A5" w:rsidRDefault="00EC49AF" w:rsidP="0005276B">
      <w:pPr>
        <w:pStyle w:val="NormalWeb"/>
        <w:jc w:val="both"/>
        <w:rPr>
          <w:noProof/>
        </w:rPr>
      </w:pPr>
      <w:r w:rsidRPr="008B13A5">
        <w:rPr>
          <w:noProof/>
        </w:rPr>
        <w:t xml:space="preserve">Regarding the climate impact of chip production in Europe, </w:t>
      </w:r>
      <w:r w:rsidR="00B550C9">
        <w:rPr>
          <w:noProof/>
        </w:rPr>
        <w:t>s</w:t>
      </w:r>
      <w:r w:rsidRPr="008B13A5">
        <w:rPr>
          <w:noProof/>
        </w:rPr>
        <w:t xml:space="preserve">cope 1 (mainly fluorinated gases) and </w:t>
      </w:r>
      <w:r w:rsidR="00B550C9">
        <w:rPr>
          <w:noProof/>
        </w:rPr>
        <w:t>s</w:t>
      </w:r>
      <w:r w:rsidRPr="008B13A5">
        <w:rPr>
          <w:noProof/>
        </w:rPr>
        <w:t>cope 2 (mainly energy consumption) emissions are dominating the sectors carbon footprint (see below).</w:t>
      </w:r>
      <w:r w:rsidR="00F274DD" w:rsidRPr="008B13A5">
        <w:rPr>
          <w:noProof/>
        </w:rPr>
        <w:t xml:space="preserve"> </w:t>
      </w:r>
      <w:r w:rsidRPr="008B13A5">
        <w:rPr>
          <w:noProof/>
        </w:rPr>
        <w:t>(</w:t>
      </w:r>
      <w:r w:rsidRPr="008B13A5">
        <w:rPr>
          <w:rStyle w:val="FootnoteReference"/>
          <w:noProof/>
        </w:rPr>
        <w:footnoteReference w:id="298"/>
      </w:r>
      <w:r w:rsidRPr="008B13A5">
        <w:rPr>
          <w:noProof/>
        </w:rPr>
        <w:t xml:space="preserve">) Scope 3 covers emissions across the entire value chain, both upstream and downstream. Semiconductor manufacturers generally do not report the climate footprint of their products, as these are classified as </w:t>
      </w:r>
      <w:r w:rsidRPr="008B13A5">
        <w:rPr>
          <w:rStyle w:val="Emphasis"/>
          <w:noProof/>
        </w:rPr>
        <w:t>intermediate goods</w:t>
      </w:r>
      <w:r w:rsidRPr="008B13A5">
        <w:rPr>
          <w:noProof/>
        </w:rPr>
        <w:t>. This lack of disclosure, combined with limited research on the ecological footprint during end-product operation, makes it challenging to obtain reliable and granular data on overall environmental impacts.</w:t>
      </w:r>
      <w:r w:rsidR="00F274DD" w:rsidRPr="008B13A5">
        <w:rPr>
          <w:noProof/>
        </w:rPr>
        <w:t xml:space="preserve"> </w:t>
      </w:r>
      <w:r w:rsidRPr="008B13A5">
        <w:rPr>
          <w:noProof/>
        </w:rPr>
        <w:t>(</w:t>
      </w:r>
      <w:r w:rsidRPr="008B13A5">
        <w:rPr>
          <w:rStyle w:val="FootnoteReference"/>
          <w:noProof/>
        </w:rPr>
        <w:footnoteReference w:id="299"/>
      </w:r>
      <w:r w:rsidRPr="008B13A5">
        <w:rPr>
          <w:noProof/>
        </w:rPr>
        <w:t xml:space="preserve">) It is nevertheless important to note that the ecological impact during the operational phase of end-products varies substantially depending on their final application. Battery-powered devices such as tablets and smartphones exhibit higher emissions during manufacturing, whereas data centres - characterised by intensive energy use - generate significant emissions during operation. This issue is particularly pronounced in GPU-based data centres used for artificial intelligence (AI), where extreme thermal stress leads to accelerated hardware degradation. As a result, GPUs often need to be replaced every two to four years, a phenomenon known as </w:t>
      </w:r>
      <w:r w:rsidRPr="008B13A5">
        <w:rPr>
          <w:rStyle w:val="Emphasis"/>
          <w:noProof/>
        </w:rPr>
        <w:t>chip aging</w:t>
      </w:r>
      <w:r w:rsidRPr="008B13A5">
        <w:rPr>
          <w:noProof/>
        </w:rPr>
        <w:t>.</w:t>
      </w:r>
    </w:p>
    <w:p w14:paraId="40EDD62E" w14:textId="3506C1F5" w:rsidR="00EC49AF" w:rsidRPr="008B13A5" w:rsidRDefault="00EC49AF" w:rsidP="0005276B">
      <w:pPr>
        <w:pStyle w:val="NormalWeb"/>
        <w:jc w:val="both"/>
        <w:rPr>
          <w:b/>
          <w:bCs/>
          <w:noProof/>
        </w:rPr>
      </w:pPr>
      <w:r w:rsidRPr="008B13A5">
        <w:rPr>
          <w:noProof/>
        </w:rPr>
        <w:t>Environmental considerations, by contrast, encompass aspects such as water consumption, the ecological impacts of raw material extraction, risks of chemical contamination to ecosystems and human health via forever chemicals (such as PFAS), and the challenges of waste management arising from chip production and electronic device end-of-life processes. In addition, greenfield investments are requiring massive land to host the large-scale clean-room infrastructure.</w:t>
      </w:r>
      <w:r w:rsidR="00F274DD" w:rsidRPr="008B13A5">
        <w:rPr>
          <w:noProof/>
        </w:rPr>
        <w:t xml:space="preserve"> </w:t>
      </w:r>
      <w:r w:rsidRPr="008B13A5">
        <w:rPr>
          <w:noProof/>
        </w:rPr>
        <w:t>(</w:t>
      </w:r>
      <w:r w:rsidRPr="008B13A5">
        <w:rPr>
          <w:rStyle w:val="FootnoteReference"/>
          <w:noProof/>
        </w:rPr>
        <w:footnoteReference w:id="300"/>
      </w:r>
      <w:r w:rsidRPr="008B13A5">
        <w:rPr>
          <w:noProof/>
        </w:rPr>
        <w:t xml:space="preserve">) </w:t>
      </w:r>
    </w:p>
    <w:p w14:paraId="7F3E6924" w14:textId="1BF4BAF5" w:rsidR="00EC49AF" w:rsidRPr="008B13A5" w:rsidRDefault="00EC49AF" w:rsidP="0005276B">
      <w:pPr>
        <w:pStyle w:val="NormalWeb"/>
        <w:jc w:val="both"/>
        <w:rPr>
          <w:b/>
          <w:bCs/>
          <w:noProof/>
        </w:rPr>
      </w:pPr>
      <w:r w:rsidRPr="008B13A5">
        <w:rPr>
          <w:b/>
          <w:bCs/>
          <w:noProof/>
        </w:rPr>
        <w:t xml:space="preserve">Scope 1 emissions (direct emissions) and PFAS </w:t>
      </w:r>
    </w:p>
    <w:p w14:paraId="18548065" w14:textId="270BD87B" w:rsidR="00EC49AF" w:rsidRPr="008B13A5" w:rsidRDefault="00EC49AF" w:rsidP="0005276B">
      <w:pPr>
        <w:rPr>
          <w:noProof/>
        </w:rPr>
      </w:pPr>
      <w:r w:rsidRPr="008B13A5">
        <w:rPr>
          <w:noProof/>
        </w:rPr>
        <w:t>The environmental impacts of semiconductor production in the EU are regulated, inter alia, by Regulation (EU) No 2024/573 on fluorinated greenhouse gases (F-gases). F-gases are human-made chemicals that are very strong greenhouse gases (GHG), often several thousand times stronger than carbon dioxide (CO</w:t>
      </w:r>
      <w:r w:rsidRPr="00786C32">
        <w:rPr>
          <w:noProof/>
          <w:vertAlign w:val="subscript"/>
        </w:rPr>
        <w:t>2</w:t>
      </w:r>
      <w:r w:rsidRPr="008B13A5">
        <w:rPr>
          <w:noProof/>
        </w:rPr>
        <w:t>). Under the F-gas Regulation, the semiconductor industry sector is covered by a prohibition to intentionally emit F-gases as well as requirements to take technically and economically feasible measures to minimise unintentional (“leakage”) of these gases. These rules have been reinforced recently with the new 2024 update of the Regulation.</w:t>
      </w:r>
    </w:p>
    <w:p w14:paraId="7CCE4EF8" w14:textId="6510DE40" w:rsidR="00EC49AF" w:rsidRPr="008B13A5" w:rsidRDefault="00EC49AF" w:rsidP="0005276B">
      <w:pPr>
        <w:rPr>
          <w:noProof/>
        </w:rPr>
      </w:pPr>
      <w:r w:rsidRPr="008B13A5">
        <w:rPr>
          <w:noProof/>
        </w:rPr>
        <w:t>While the production of semiconductors uses some of the F-gases with the highest global warming potential (e.g. trifluoromethane (HFC-23), perfuorocarbons (PFCs), nitrogen trifluoride (NF</w:t>
      </w:r>
      <w:r w:rsidRPr="00786C32">
        <w:rPr>
          <w:noProof/>
          <w:vertAlign w:val="subscript"/>
        </w:rPr>
        <w:t>3</w:t>
      </w:r>
      <w:r w:rsidRPr="008B13A5">
        <w:rPr>
          <w:noProof/>
        </w:rPr>
        <w:t>), sulphur hexafluoride (SF</w:t>
      </w:r>
      <w:r w:rsidRPr="00786C32">
        <w:rPr>
          <w:noProof/>
          <w:vertAlign w:val="subscript"/>
        </w:rPr>
        <w:t>6</w:t>
      </w:r>
      <w:r w:rsidRPr="008B13A5">
        <w:rPr>
          <w:noProof/>
        </w:rPr>
        <w:t>) etc.), the quantities are still modest amounting currently to about a few percent of total current F-gas emissions in the EU.</w:t>
      </w:r>
      <w:r w:rsidR="00F274DD" w:rsidRPr="008B13A5">
        <w:rPr>
          <w:noProof/>
        </w:rPr>
        <w:t xml:space="preserve"> </w:t>
      </w:r>
      <w:r w:rsidRPr="008B13A5">
        <w:rPr>
          <w:noProof/>
        </w:rPr>
        <w:t>(</w:t>
      </w:r>
      <w:r w:rsidRPr="008B13A5">
        <w:rPr>
          <w:noProof/>
          <w:vertAlign w:val="superscript"/>
        </w:rPr>
        <w:footnoteReference w:id="301"/>
      </w:r>
      <w:r w:rsidRPr="008B13A5">
        <w:rPr>
          <w:noProof/>
        </w:rPr>
        <w:t>)</w:t>
      </w:r>
    </w:p>
    <w:p w14:paraId="11B88DB6" w14:textId="2D68EC9D" w:rsidR="00EC49AF" w:rsidRPr="008B13A5" w:rsidRDefault="00EC49AF" w:rsidP="0005276B">
      <w:pPr>
        <w:rPr>
          <w:noProof/>
        </w:rPr>
      </w:pPr>
      <w:r w:rsidRPr="008B13A5">
        <w:rPr>
          <w:noProof/>
        </w:rPr>
        <w:t>Generally, the EU semiconductor industry is taking stricter measures during its manufacturing processes to prevent emitting F-gases compared to other world regions. The sector is claiming to have made substantial investments to implement reduction practices at operations across Europe. The European Semiconductor Industry Association (ESIA) estimated in 2021 that the industry had achieved a 42% absolute emission reduction of PFCs between 2010 and 2020.</w:t>
      </w:r>
      <w:r w:rsidR="00F274DD" w:rsidRPr="008B13A5">
        <w:rPr>
          <w:noProof/>
        </w:rPr>
        <w:t xml:space="preserve"> </w:t>
      </w:r>
      <w:r w:rsidRPr="008B13A5">
        <w:rPr>
          <w:noProof/>
        </w:rPr>
        <w:t>(</w:t>
      </w:r>
      <w:r w:rsidRPr="008B13A5">
        <w:rPr>
          <w:noProof/>
          <w:vertAlign w:val="superscript"/>
        </w:rPr>
        <w:footnoteReference w:id="302"/>
      </w:r>
      <w:r w:rsidRPr="008B13A5">
        <w:rPr>
          <w:noProof/>
        </w:rPr>
        <w:t xml:space="preserve">) If looked at from a global perspective, an increased and significant production of semiconductors in the EU while minimising where possible emissions, is likely to save emissions from F-gases at global scale. </w:t>
      </w:r>
    </w:p>
    <w:p w14:paraId="70213E47" w14:textId="06CE2C78" w:rsidR="00EC49AF" w:rsidRPr="008B13A5" w:rsidRDefault="00EC49AF" w:rsidP="0005276B">
      <w:pPr>
        <w:pStyle w:val="NormalWeb"/>
        <w:jc w:val="both"/>
        <w:rPr>
          <w:noProof/>
        </w:rPr>
      </w:pPr>
      <w:r w:rsidRPr="008B13A5">
        <w:rPr>
          <w:noProof/>
        </w:rPr>
        <w:t>While past efforts have reduced emissions by substituting longer-chain per-and polyfluoroalkyl substances (PFAS) with short-chain alternatives, further reductions necessitate entirely new compounds, presenting a complex challenge. Switching to alternative chemicals involves balancing global warming potential (GWP) and atmospheric persistence, often leading to trade-offs. For instance, while CHF</w:t>
      </w:r>
      <w:r w:rsidRPr="00F02E3F">
        <w:rPr>
          <w:noProof/>
          <w:vertAlign w:val="subscript"/>
        </w:rPr>
        <w:t>3</w:t>
      </w:r>
      <w:r w:rsidRPr="008B13A5">
        <w:rPr>
          <w:noProof/>
        </w:rPr>
        <w:t xml:space="preserve"> has a higher GWP than CF</w:t>
      </w:r>
      <w:r w:rsidRPr="00F02E3F">
        <w:rPr>
          <w:noProof/>
          <w:vertAlign w:val="subscript"/>
        </w:rPr>
        <w:t>4</w:t>
      </w:r>
      <w:r w:rsidRPr="008B13A5">
        <w:rPr>
          <w:noProof/>
        </w:rPr>
        <w:t>, CF</w:t>
      </w:r>
      <w:r w:rsidRPr="00F02E3F">
        <w:rPr>
          <w:noProof/>
          <w:vertAlign w:val="subscript"/>
        </w:rPr>
        <w:t>4</w:t>
      </w:r>
      <w:r w:rsidRPr="008B13A5">
        <w:rPr>
          <w:noProof/>
        </w:rPr>
        <w:t xml:space="preserve"> stays longer in the atmosphere.</w:t>
      </w:r>
    </w:p>
    <w:p w14:paraId="465F2EB7" w14:textId="2E8CB7BC" w:rsidR="00EC49AF" w:rsidRPr="008B13A5" w:rsidRDefault="00EC49AF" w:rsidP="0005276B">
      <w:pPr>
        <w:pStyle w:val="NormalWeb"/>
        <w:jc w:val="both"/>
        <w:rPr>
          <w:noProof/>
          <w:color w:val="202020"/>
          <w:lang w:eastAsia="de-DE"/>
        </w:rPr>
      </w:pPr>
      <w:r w:rsidRPr="008B13A5">
        <w:rPr>
          <w:noProof/>
        </w:rPr>
        <w:t xml:space="preserve">Despite the urgency, transitioning away from harmful compounds will require time, with challenges varying across processes. Solutions for cleaning processes may emerge within 5–10 years, while alternatives for dry etching could take more than 15 years. Generally, implementation of non-PFAS alternatives is expected to take 15 to more than 20 years. This transition incurs substantial research and transition costs, underscoring the need for a long-term commitment to sustainability. </w:t>
      </w:r>
      <w:r w:rsidRPr="008B13A5">
        <w:rPr>
          <w:noProof/>
          <w:color w:val="202020"/>
          <w:lang w:eastAsia="de-DE"/>
        </w:rPr>
        <w:t>Certain of these forever chemicals used in semiconductor manufacturing are included in the proposed ban on PFAS under the REACH regulation.</w:t>
      </w:r>
      <w:r w:rsidR="00F274DD" w:rsidRPr="008B13A5">
        <w:rPr>
          <w:noProof/>
          <w:color w:val="202020"/>
          <w:lang w:eastAsia="de-DE"/>
        </w:rPr>
        <w:t xml:space="preserve"> </w:t>
      </w:r>
      <w:r w:rsidRPr="008B13A5">
        <w:rPr>
          <w:noProof/>
          <w:color w:val="202020"/>
          <w:lang w:eastAsia="de-DE"/>
        </w:rPr>
        <w:t>(</w:t>
      </w:r>
      <w:r w:rsidRPr="008B13A5">
        <w:rPr>
          <w:rStyle w:val="FootnoteReference"/>
          <w:noProof/>
          <w:color w:val="202020"/>
          <w:lang w:eastAsia="de-DE"/>
        </w:rPr>
        <w:footnoteReference w:id="303"/>
      </w:r>
      <w:r w:rsidRPr="008B13A5">
        <w:rPr>
          <w:noProof/>
          <w:color w:val="202020"/>
          <w:lang w:eastAsia="de-DE"/>
        </w:rPr>
        <w:t>)</w:t>
      </w:r>
    </w:p>
    <w:p w14:paraId="4C90054F" w14:textId="54E8C924" w:rsidR="00EC49AF" w:rsidRPr="008B13A5" w:rsidRDefault="00EC49AF" w:rsidP="0005276B">
      <w:pPr>
        <w:pStyle w:val="NormalWeb"/>
        <w:rPr>
          <w:b/>
          <w:bCs/>
          <w:noProof/>
        </w:rPr>
      </w:pPr>
      <w:r w:rsidRPr="008B13A5">
        <w:rPr>
          <w:b/>
          <w:bCs/>
          <w:noProof/>
        </w:rPr>
        <w:t xml:space="preserve">Scope 2 emissions (indirect emissions) </w:t>
      </w:r>
    </w:p>
    <w:p w14:paraId="4C2897F1" w14:textId="4DEC8BF1" w:rsidR="00EC49AF" w:rsidRPr="008B13A5" w:rsidRDefault="00EC49AF" w:rsidP="0005276B">
      <w:pPr>
        <w:pStyle w:val="NormalWeb"/>
        <w:jc w:val="both"/>
        <w:rPr>
          <w:noProof/>
        </w:rPr>
      </w:pPr>
      <w:r w:rsidRPr="008B13A5">
        <w:rPr>
          <w:noProof/>
        </w:rPr>
        <w:t>Electricity represents the largest share of energy consumption in semiconductor manufacturing and is the primary source of GHG emissions in chip production. The amount of electricity used varies significantly depending on factors such as chip type, manufacturing process complexity, and lithography technology. More advanced processes, such as extreme ultraviolet (EUV) lithography, consume substantially more energy. For instance, 5 nm logic manufacturing processes require roughly three times as much electricity as 32 nm processes. This illustrates that it is not possible to provide a general estimate of energy consumption per wafer without specifying the manufacturing process, technology type, and node.</w:t>
      </w:r>
      <w:r w:rsidR="00F274DD" w:rsidRPr="008B13A5">
        <w:rPr>
          <w:noProof/>
        </w:rPr>
        <w:t xml:space="preserve"> </w:t>
      </w:r>
      <w:r w:rsidRPr="008B13A5">
        <w:rPr>
          <w:noProof/>
        </w:rPr>
        <w:t>(</w:t>
      </w:r>
      <w:r w:rsidRPr="008B13A5">
        <w:rPr>
          <w:rStyle w:val="FootnoteReference"/>
          <w:noProof/>
        </w:rPr>
        <w:footnoteReference w:id="304"/>
      </w:r>
      <w:r w:rsidRPr="008B13A5">
        <w:rPr>
          <w:noProof/>
        </w:rPr>
        <w:t>)</w:t>
      </w:r>
    </w:p>
    <w:p w14:paraId="4C59D623" w14:textId="0E09EBCF" w:rsidR="00EC49AF" w:rsidRPr="008B13A5" w:rsidRDefault="00EC49AF" w:rsidP="0005276B">
      <w:pPr>
        <w:pStyle w:val="NormalWeb"/>
        <w:jc w:val="both"/>
        <w:rPr>
          <w:noProof/>
        </w:rPr>
      </w:pPr>
      <w:r w:rsidRPr="008B13A5">
        <w:rPr>
          <w:noProof/>
        </w:rPr>
        <w:t>Very broadly speaking estimates suggest that large, advanced wafer fabrication facilities can draw more than 100 MW of continuous power - comparable to the electricity demand of a small city. From a global perspective, total energy consumption in semiconductor manufacturing increased by approximately 125% between 2015 and 2023. This growth is driven not only by the increasing complexity of manufacturing processes and equipment but also by the substantial expansion of global production capacity and increased operation of abatement equipment.</w:t>
      </w:r>
      <w:r w:rsidR="00F274DD" w:rsidRPr="008B13A5">
        <w:rPr>
          <w:noProof/>
        </w:rPr>
        <w:t xml:space="preserve"> </w:t>
      </w:r>
      <w:r w:rsidRPr="008B13A5">
        <w:rPr>
          <w:noProof/>
        </w:rPr>
        <w:t>(</w:t>
      </w:r>
      <w:r w:rsidRPr="008B13A5">
        <w:rPr>
          <w:rStyle w:val="FootnoteReference"/>
          <w:noProof/>
        </w:rPr>
        <w:footnoteReference w:id="305"/>
      </w:r>
      <w:r w:rsidRPr="008B13A5">
        <w:rPr>
          <w:noProof/>
        </w:rPr>
        <w:t>)</w:t>
      </w:r>
    </w:p>
    <w:p w14:paraId="2D78D189" w14:textId="19564B0D" w:rsidR="00EC49AF" w:rsidRPr="008B13A5" w:rsidRDefault="00EC49AF" w:rsidP="0005276B">
      <w:pPr>
        <w:pStyle w:val="NormalWeb"/>
        <w:jc w:val="both"/>
        <w:rPr>
          <w:noProof/>
        </w:rPr>
      </w:pPr>
      <w:r w:rsidRPr="008B13A5">
        <w:rPr>
          <w:rStyle w:val="FootnoteReference"/>
          <w:noProof/>
          <w:vertAlign w:val="baseline"/>
        </w:rPr>
        <w:t>There are</w:t>
      </w:r>
      <w:r w:rsidRPr="008B13A5">
        <w:rPr>
          <w:rStyle w:val="FootnoteReference"/>
          <w:noProof/>
        </w:rPr>
        <w:t xml:space="preserve"> </w:t>
      </w:r>
      <w:r w:rsidRPr="008B13A5">
        <w:rPr>
          <w:noProof/>
        </w:rPr>
        <w:t>two distinct methods for scope 2 accounting. A location-based method reflects the average emissions intensity of grids on which energy consumption occurs (using mostly grid-average emission factor data).</w:t>
      </w:r>
      <w:r w:rsidR="00F274DD" w:rsidRPr="008B13A5">
        <w:rPr>
          <w:noProof/>
        </w:rPr>
        <w:t xml:space="preserve"> </w:t>
      </w:r>
      <w:r w:rsidRPr="008B13A5">
        <w:rPr>
          <w:noProof/>
        </w:rPr>
        <w:t>(</w:t>
      </w:r>
      <w:r w:rsidRPr="008B13A5">
        <w:rPr>
          <w:noProof/>
          <w:vertAlign w:val="superscript"/>
        </w:rPr>
        <w:footnoteReference w:id="306"/>
      </w:r>
      <w:r w:rsidRPr="008B13A5">
        <w:rPr>
          <w:noProof/>
        </w:rPr>
        <w:t>) A market-based method reflects emissions from electricity that companies have purposefully chosen (or their lack of choice).</w:t>
      </w:r>
      <w:r w:rsidR="00F274DD" w:rsidRPr="008B13A5">
        <w:rPr>
          <w:noProof/>
        </w:rPr>
        <w:t xml:space="preserve"> </w:t>
      </w:r>
      <w:r w:rsidRPr="008B13A5">
        <w:rPr>
          <w:noProof/>
        </w:rPr>
        <w:t>(</w:t>
      </w:r>
      <w:r w:rsidRPr="008B13A5">
        <w:rPr>
          <w:noProof/>
          <w:vertAlign w:val="superscript"/>
        </w:rPr>
        <w:footnoteReference w:id="307"/>
      </w:r>
      <w:r w:rsidRPr="008B13A5">
        <w:rPr>
          <w:noProof/>
        </w:rPr>
        <w:t>)</w:t>
      </w:r>
      <w:r w:rsidRPr="008B13A5">
        <w:rPr>
          <w:noProof/>
          <w:vertAlign w:val="superscript"/>
        </w:rPr>
        <w:t xml:space="preserve"> </w:t>
      </w:r>
      <w:r w:rsidRPr="008B13A5">
        <w:rPr>
          <w:noProof/>
        </w:rPr>
        <w:t xml:space="preserve">In the estimations below, both scope 2 accounting methods will be presented. </w:t>
      </w:r>
    </w:p>
    <w:p w14:paraId="0F0B3FED" w14:textId="1445CA43" w:rsidR="00EC49AF" w:rsidRPr="008B13A5" w:rsidRDefault="00EC49AF" w:rsidP="0005276B">
      <w:pPr>
        <w:pStyle w:val="Heading3"/>
        <w:rPr>
          <w:noProof/>
        </w:rPr>
      </w:pPr>
      <w:bookmarkStart w:id="345" w:name="_Toc223620652"/>
      <w:bookmarkStart w:id="346" w:name="_Toc230010474"/>
      <w:r w:rsidRPr="008B13A5">
        <w:rPr>
          <w:noProof/>
        </w:rPr>
        <w:t>Environmental impact assessment for BAU scenario</w:t>
      </w:r>
      <w:bookmarkEnd w:id="345"/>
      <w:bookmarkEnd w:id="346"/>
    </w:p>
    <w:p w14:paraId="3DA021B1" w14:textId="46D99C41" w:rsidR="00EC49AF" w:rsidRPr="008B13A5" w:rsidRDefault="00EC49AF" w:rsidP="00EC49AF">
      <w:pPr>
        <w:spacing w:after="160" w:line="257" w:lineRule="auto"/>
        <w:rPr>
          <w:noProof/>
          <w:szCs w:val="22"/>
        </w:rPr>
      </w:pPr>
      <w:r w:rsidRPr="008B13A5">
        <w:rPr>
          <w:noProof/>
          <w:szCs w:val="22"/>
        </w:rPr>
        <w:t>Reported total emissions from EU chip production in 2021 amounted to be between 10.67 Mio tCO2e and 13.67 Mio tCO2e</w:t>
      </w:r>
      <w:r w:rsidR="00962D3E">
        <w:rPr>
          <w:noProof/>
          <w:szCs w:val="22"/>
        </w:rPr>
        <w:t>.</w:t>
      </w:r>
      <w:r w:rsidR="00F274DD" w:rsidRPr="008B13A5">
        <w:rPr>
          <w:noProof/>
          <w:szCs w:val="22"/>
        </w:rPr>
        <w:t xml:space="preserve"> </w:t>
      </w:r>
      <w:r w:rsidRPr="008B13A5">
        <w:rPr>
          <w:noProof/>
          <w:szCs w:val="22"/>
        </w:rPr>
        <w:t>(</w:t>
      </w:r>
      <w:r w:rsidRPr="008B13A5">
        <w:rPr>
          <w:noProof/>
          <w:szCs w:val="22"/>
          <w:vertAlign w:val="superscript"/>
        </w:rPr>
        <w:footnoteReference w:id="308"/>
      </w:r>
      <w:r w:rsidR="00962D3E">
        <w:rPr>
          <w:noProof/>
          <w:szCs w:val="22"/>
        </w:rPr>
        <w:t>)</w:t>
      </w:r>
      <w:r w:rsidRPr="008B13A5">
        <w:rPr>
          <w:noProof/>
          <w:szCs w:val="22"/>
        </w:rPr>
        <w:t xml:space="preserve"> Assuming, no major changes in total emissions by 2024, this matches our own calculations for scope 1 and 2 emissions in Europe. Assuming that Europe’s current yearly manufacturing capacity of wafers is around 12.84 Mio, scope 1 emissions are estimated to reach between 821 760</w:t>
      </w:r>
      <w:r w:rsidR="00F274DD" w:rsidRPr="008B13A5">
        <w:rPr>
          <w:noProof/>
          <w:szCs w:val="22"/>
        </w:rPr>
        <w:t xml:space="preserve"> </w:t>
      </w:r>
      <w:r w:rsidRPr="008B13A5">
        <w:rPr>
          <w:noProof/>
          <w:szCs w:val="22"/>
        </w:rPr>
        <w:t>(</w:t>
      </w:r>
      <w:r w:rsidRPr="008B13A5">
        <w:rPr>
          <w:rStyle w:val="FootnoteReference"/>
          <w:noProof/>
          <w:szCs w:val="22"/>
        </w:rPr>
        <w:footnoteReference w:id="309"/>
      </w:r>
      <w:r w:rsidRPr="008B13A5">
        <w:rPr>
          <w:noProof/>
          <w:szCs w:val="22"/>
        </w:rPr>
        <w:t>) – 1 027 000</w:t>
      </w:r>
      <w:r w:rsidR="00F274DD" w:rsidRPr="008B13A5">
        <w:rPr>
          <w:noProof/>
          <w:szCs w:val="22"/>
        </w:rPr>
        <w:t xml:space="preserve"> </w:t>
      </w:r>
      <w:r w:rsidRPr="008B13A5">
        <w:rPr>
          <w:noProof/>
          <w:szCs w:val="22"/>
        </w:rPr>
        <w:t>(</w:t>
      </w:r>
      <w:r w:rsidRPr="008B13A5">
        <w:rPr>
          <w:rStyle w:val="FootnoteReference"/>
          <w:noProof/>
          <w:szCs w:val="22"/>
        </w:rPr>
        <w:footnoteReference w:id="310"/>
      </w:r>
      <w:r w:rsidRPr="008B13A5">
        <w:rPr>
          <w:noProof/>
          <w:szCs w:val="22"/>
        </w:rPr>
        <w:t>) tCO2e, with scope 2 (location-based) being around 4 173 000</w:t>
      </w:r>
      <w:r w:rsidR="00962D3E">
        <w:rPr>
          <w:noProof/>
          <w:szCs w:val="22"/>
        </w:rPr>
        <w:t xml:space="preserve"> (</w:t>
      </w:r>
      <w:r w:rsidRPr="008B13A5">
        <w:rPr>
          <w:noProof/>
          <w:szCs w:val="22"/>
          <w:vertAlign w:val="superscript"/>
        </w:rPr>
        <w:t>290</w:t>
      </w:r>
      <w:r w:rsidR="00962D3E" w:rsidRPr="00962D3E">
        <w:rPr>
          <w:noProof/>
          <w:szCs w:val="22"/>
        </w:rPr>
        <w:t>)</w:t>
      </w:r>
      <w:r w:rsidRPr="008B13A5">
        <w:rPr>
          <w:noProof/>
          <w:szCs w:val="22"/>
          <w:vertAlign w:val="superscript"/>
        </w:rPr>
        <w:t xml:space="preserve"> </w:t>
      </w:r>
      <w:r w:rsidRPr="008B13A5">
        <w:rPr>
          <w:noProof/>
          <w:szCs w:val="22"/>
        </w:rPr>
        <w:t>– 5 392 800</w:t>
      </w:r>
      <w:r w:rsidR="00962D3E">
        <w:rPr>
          <w:noProof/>
          <w:szCs w:val="22"/>
        </w:rPr>
        <w:t xml:space="preserve"> (</w:t>
      </w:r>
      <w:r w:rsidR="007B5F62">
        <w:rPr>
          <w:noProof/>
          <w:szCs w:val="22"/>
          <w:vertAlign w:val="superscript"/>
        </w:rPr>
        <w:t>308</w:t>
      </w:r>
      <w:r w:rsidR="00962D3E">
        <w:rPr>
          <w:noProof/>
          <w:szCs w:val="22"/>
        </w:rPr>
        <w:t xml:space="preserve">) </w:t>
      </w:r>
      <w:r w:rsidRPr="008B13A5">
        <w:rPr>
          <w:noProof/>
          <w:szCs w:val="22"/>
        </w:rPr>
        <w:t>tCO2e. Our analysis lacks the reporting on scope 3 emissions due to missing standardisation. However, as the average share of scope 3 emissions among the 20 largest chip manufacturers was 65% in 2021</w:t>
      </w:r>
      <w:r w:rsidR="00F274DD" w:rsidRPr="008B13A5">
        <w:rPr>
          <w:noProof/>
          <w:szCs w:val="22"/>
        </w:rPr>
        <w:t xml:space="preserve"> </w:t>
      </w:r>
      <w:r w:rsidRPr="008B13A5">
        <w:rPr>
          <w:noProof/>
          <w:szCs w:val="22"/>
        </w:rPr>
        <w:t>(</w:t>
      </w:r>
      <w:r w:rsidRPr="008B13A5">
        <w:rPr>
          <w:noProof/>
          <w:szCs w:val="22"/>
          <w:vertAlign w:val="superscript"/>
        </w:rPr>
        <w:footnoteReference w:id="311"/>
      </w:r>
      <w:r w:rsidRPr="008B13A5">
        <w:rPr>
          <w:noProof/>
          <w:szCs w:val="22"/>
        </w:rPr>
        <w:t>), and assuming scope 3 emissions did not change significantly over the last 3 years, the total emissions from EU chip manufacturing in 2024 are indeed estimated to be between 10.67 Mio tCO2e and 13.67 Mio tCO2e. Using imec.netzero model</w:t>
      </w:r>
      <w:r w:rsidR="002B0400">
        <w:rPr>
          <w:noProof/>
          <w:szCs w:val="22"/>
        </w:rPr>
        <w:t xml:space="preserve"> (</w:t>
      </w:r>
      <w:r w:rsidR="006C4042">
        <w:rPr>
          <w:rStyle w:val="FootnoteReference"/>
          <w:noProof/>
          <w:szCs w:val="22"/>
        </w:rPr>
        <w:footnoteReference w:id="312"/>
      </w:r>
      <w:r w:rsidR="002B0400" w:rsidRPr="002B0400">
        <w:rPr>
          <w:noProof/>
          <w:szCs w:val="22"/>
        </w:rPr>
        <w:t>)</w:t>
      </w:r>
      <w:r w:rsidRPr="008B13A5">
        <w:rPr>
          <w:noProof/>
          <w:szCs w:val="22"/>
        </w:rPr>
        <w:t>, total scope 3 emissions are estimated to be around 3 466 800 tCO2e.</w:t>
      </w:r>
    </w:p>
    <w:p w14:paraId="43395ECA" w14:textId="3A63C9D5" w:rsidR="00EC49AF" w:rsidRPr="008B13A5" w:rsidRDefault="00EC49AF" w:rsidP="00EC49AF">
      <w:pPr>
        <w:spacing w:after="160" w:line="257" w:lineRule="auto"/>
        <w:rPr>
          <w:noProof/>
          <w:szCs w:val="22"/>
        </w:rPr>
      </w:pPr>
      <w:r w:rsidRPr="008B13A5">
        <w:rPr>
          <w:noProof/>
          <w:szCs w:val="22"/>
        </w:rPr>
        <w:t>Estimated EU’s total scope 1 and 2 emissions (location and market-based) were calculated based on scope 1 and 2 emissions reported for the Global</w:t>
      </w:r>
      <w:r w:rsidRPr="008B13A5" w:rsidDel="00D35BA2">
        <w:rPr>
          <w:noProof/>
          <w:szCs w:val="22"/>
        </w:rPr>
        <w:t xml:space="preserve"> </w:t>
      </w:r>
      <w:r w:rsidRPr="008B13A5">
        <w:rPr>
          <w:noProof/>
          <w:szCs w:val="22"/>
        </w:rPr>
        <w:t>Foundries (GF) fab in Dresden in 2023 assuming maximum yearly wafer capacity of 950 000.</w:t>
      </w:r>
      <w:r w:rsidR="00F274DD" w:rsidRPr="008B13A5">
        <w:rPr>
          <w:noProof/>
          <w:szCs w:val="22"/>
        </w:rPr>
        <w:t xml:space="preserve"> </w:t>
      </w:r>
      <w:r w:rsidRPr="008B13A5">
        <w:rPr>
          <w:noProof/>
          <w:szCs w:val="22"/>
        </w:rPr>
        <w:t>(</w:t>
      </w:r>
      <w:r w:rsidRPr="008B13A5">
        <w:rPr>
          <w:noProof/>
          <w:szCs w:val="22"/>
          <w:vertAlign w:val="superscript"/>
        </w:rPr>
        <w:footnoteReference w:id="313"/>
      </w:r>
      <w:r w:rsidRPr="008B13A5">
        <w:rPr>
          <w:noProof/>
          <w:szCs w:val="22"/>
        </w:rPr>
        <w:t xml:space="preserve">) Data from Global Foundries fab in Dresden were purposefully chosen to reflect as much as possible the European reality. Among available disclosures, only GlobalFoundries provided </w:t>
      </w:r>
      <w:r w:rsidRPr="008B13A5">
        <w:rPr>
          <w:b/>
          <w:bCs/>
          <w:noProof/>
          <w:szCs w:val="22"/>
        </w:rPr>
        <w:t>both site-level emissions data and corresponding wafer capacity</w:t>
      </w:r>
      <w:r w:rsidRPr="008B13A5">
        <w:rPr>
          <w:noProof/>
          <w:szCs w:val="22"/>
        </w:rPr>
        <w:t xml:space="preserve">, which enabled transparent calculation of emissions intensity and supports a defensible proxy for European fab operations. </w:t>
      </w:r>
    </w:p>
    <w:p w14:paraId="0AF63CE9" w14:textId="79A4196A" w:rsidR="00EC49AF" w:rsidRPr="008B13A5" w:rsidRDefault="00EC49AF" w:rsidP="00EC49AF">
      <w:pPr>
        <w:spacing w:after="160" w:line="257" w:lineRule="auto"/>
        <w:rPr>
          <w:noProof/>
          <w:szCs w:val="22"/>
        </w:rPr>
      </w:pPr>
      <w:r w:rsidRPr="008B13A5">
        <w:rPr>
          <w:noProof/>
          <w:szCs w:val="22"/>
        </w:rPr>
        <w:t>Additionally, imec.netzero multi-parametric Life-Cycle Assessment model that calculates the environmental footprint for the fabrication of integrated circuits in a high-volume semiconductor fab was also used and the data achieved are consistent with our own calculations.</w:t>
      </w:r>
      <w:r w:rsidR="00F274DD" w:rsidRPr="008B13A5">
        <w:rPr>
          <w:noProof/>
          <w:szCs w:val="22"/>
        </w:rPr>
        <w:t xml:space="preserve"> </w:t>
      </w:r>
      <w:r w:rsidRPr="008B13A5">
        <w:rPr>
          <w:noProof/>
          <w:szCs w:val="22"/>
        </w:rPr>
        <w:t>(</w:t>
      </w:r>
      <w:r w:rsidRPr="008B13A5">
        <w:rPr>
          <w:rStyle w:val="FootnoteReference"/>
          <w:noProof/>
          <w:szCs w:val="22"/>
        </w:rPr>
        <w:footnoteReference w:id="314"/>
      </w:r>
      <w:r w:rsidRPr="008B13A5">
        <w:rPr>
          <w:noProof/>
          <w:szCs w:val="22"/>
        </w:rPr>
        <w:t>) One of the major additional benefits of the imec.netzero model is the inclusion of scope 3 emissions.</w:t>
      </w:r>
    </w:p>
    <w:p w14:paraId="238B5BBC" w14:textId="25D735A3" w:rsidR="00EC49AF" w:rsidRPr="008B13A5" w:rsidRDefault="00EC49AF" w:rsidP="00EC49AF">
      <w:pPr>
        <w:spacing w:after="160" w:line="257" w:lineRule="auto"/>
        <w:rPr>
          <w:b/>
          <w:bCs/>
          <w:noProof/>
          <w:szCs w:val="22"/>
        </w:rPr>
      </w:pPr>
      <w:r w:rsidRPr="008B13A5">
        <w:rPr>
          <w:noProof/>
          <w:szCs w:val="22"/>
        </w:rPr>
        <w:t xml:space="preserve">To estimate total EU emissions for scope 1 and 2, first emissions per wafer were calculated for the </w:t>
      </w:r>
      <w:r w:rsidRPr="008B13A5">
        <w:rPr>
          <w:b/>
          <w:bCs/>
          <w:noProof/>
          <w:szCs w:val="22"/>
        </w:rPr>
        <w:t>Global Foundries fab in Dresden.</w:t>
      </w:r>
    </w:p>
    <w:tbl>
      <w:tblPr>
        <w:tblStyle w:val="TableGrid"/>
        <w:tblW w:w="0" w:type="auto"/>
        <w:tblLook w:val="04A0" w:firstRow="1" w:lastRow="0" w:firstColumn="1" w:lastColumn="0" w:noHBand="0" w:noVBand="1"/>
      </w:tblPr>
      <w:tblGrid>
        <w:gridCol w:w="6629"/>
        <w:gridCol w:w="2657"/>
      </w:tblGrid>
      <w:tr w:rsidR="00EC49AF" w:rsidRPr="008B13A5" w14:paraId="651F5F46" w14:textId="77777777" w:rsidTr="00337DC3">
        <w:tc>
          <w:tcPr>
            <w:tcW w:w="6629" w:type="dxa"/>
          </w:tcPr>
          <w:p w14:paraId="344B11C4" w14:textId="1DDB3E4C" w:rsidR="00EC49AF" w:rsidRPr="008B13A5" w:rsidRDefault="00EC49AF">
            <w:pPr>
              <w:spacing w:after="160" w:line="257" w:lineRule="auto"/>
              <w:rPr>
                <w:b/>
                <w:bCs/>
                <w:noProof/>
                <w:szCs w:val="22"/>
              </w:rPr>
            </w:pPr>
            <w:r w:rsidRPr="008B13A5">
              <w:rPr>
                <w:noProof/>
                <w:szCs w:val="22"/>
              </w:rPr>
              <w:t>Maximum yearly wafer capacity /wpy</w:t>
            </w:r>
          </w:p>
        </w:tc>
        <w:tc>
          <w:tcPr>
            <w:tcW w:w="2657" w:type="dxa"/>
          </w:tcPr>
          <w:p w14:paraId="3EF55735" w14:textId="05F85B15" w:rsidR="00EC49AF" w:rsidRPr="008B13A5" w:rsidRDefault="00EC49AF">
            <w:pPr>
              <w:spacing w:after="160" w:line="257" w:lineRule="auto"/>
              <w:rPr>
                <w:noProof/>
                <w:szCs w:val="22"/>
              </w:rPr>
            </w:pPr>
            <w:r w:rsidRPr="008B13A5">
              <w:rPr>
                <w:noProof/>
                <w:szCs w:val="22"/>
              </w:rPr>
              <w:t>950 000</w:t>
            </w:r>
            <w:r w:rsidR="00F274DD" w:rsidRPr="008B13A5">
              <w:rPr>
                <w:noProof/>
                <w:szCs w:val="22"/>
              </w:rPr>
              <w:t xml:space="preserve"> </w:t>
            </w:r>
            <w:r w:rsidRPr="008B13A5">
              <w:rPr>
                <w:noProof/>
                <w:szCs w:val="22"/>
              </w:rPr>
              <w:t>(</w:t>
            </w:r>
            <w:r w:rsidRPr="008B13A5">
              <w:rPr>
                <w:noProof/>
                <w:szCs w:val="22"/>
                <w:vertAlign w:val="superscript"/>
              </w:rPr>
              <w:footnoteReference w:id="315"/>
            </w:r>
            <w:r w:rsidRPr="008B13A5">
              <w:rPr>
                <w:noProof/>
                <w:szCs w:val="22"/>
              </w:rPr>
              <w:t>)</w:t>
            </w:r>
          </w:p>
        </w:tc>
      </w:tr>
      <w:tr w:rsidR="00EC49AF" w:rsidRPr="008B13A5" w14:paraId="713477C4" w14:textId="77777777" w:rsidTr="00337DC3">
        <w:tc>
          <w:tcPr>
            <w:tcW w:w="6629" w:type="dxa"/>
          </w:tcPr>
          <w:p w14:paraId="7F96E428" w14:textId="2B617CB1" w:rsidR="00EC49AF" w:rsidRPr="008B13A5" w:rsidRDefault="00EC49AF">
            <w:pPr>
              <w:spacing w:after="160" w:line="257" w:lineRule="auto"/>
              <w:rPr>
                <w:b/>
                <w:bCs/>
                <w:noProof/>
                <w:szCs w:val="22"/>
              </w:rPr>
            </w:pPr>
            <w:r w:rsidRPr="008B13A5">
              <w:rPr>
                <w:noProof/>
                <w:szCs w:val="22"/>
              </w:rPr>
              <w:t xml:space="preserve">Scope 1 emissions / </w:t>
            </w:r>
            <w:r w:rsidRPr="00BD008E">
              <w:rPr>
                <w:noProof/>
                <w:szCs w:val="22"/>
              </w:rPr>
              <w:t>tCO2e</w:t>
            </w:r>
          </w:p>
        </w:tc>
        <w:tc>
          <w:tcPr>
            <w:tcW w:w="2657" w:type="dxa"/>
          </w:tcPr>
          <w:p w14:paraId="5ABBC9AA" w14:textId="5566B361" w:rsidR="00EC49AF" w:rsidRPr="008B13A5" w:rsidRDefault="00EC49AF">
            <w:pPr>
              <w:spacing w:after="160" w:line="257" w:lineRule="auto"/>
              <w:rPr>
                <w:b/>
                <w:bCs/>
                <w:noProof/>
                <w:szCs w:val="22"/>
              </w:rPr>
            </w:pPr>
            <w:r w:rsidRPr="00BD008E">
              <w:rPr>
                <w:noProof/>
                <w:szCs w:val="22"/>
              </w:rPr>
              <w:t>60 831</w:t>
            </w:r>
            <w:r w:rsidR="00F274DD" w:rsidRPr="00BD008E">
              <w:rPr>
                <w:noProof/>
                <w:szCs w:val="22"/>
              </w:rPr>
              <w:t xml:space="preserve"> </w:t>
            </w:r>
            <w:r w:rsidRPr="00BD008E">
              <w:rPr>
                <w:noProof/>
                <w:szCs w:val="22"/>
              </w:rPr>
              <w:t>(</w:t>
            </w:r>
            <w:r w:rsidRPr="00BD008E">
              <w:rPr>
                <w:noProof/>
                <w:szCs w:val="22"/>
                <w:vertAlign w:val="superscript"/>
              </w:rPr>
              <w:footnoteReference w:id="316"/>
            </w:r>
            <w:r w:rsidRPr="00BD008E">
              <w:rPr>
                <w:noProof/>
                <w:szCs w:val="22"/>
              </w:rPr>
              <w:t>)</w:t>
            </w:r>
          </w:p>
        </w:tc>
      </w:tr>
      <w:tr w:rsidR="00EC49AF" w:rsidRPr="008B13A5" w14:paraId="7F8D92AD" w14:textId="77777777" w:rsidTr="00337DC3">
        <w:tc>
          <w:tcPr>
            <w:tcW w:w="6629" w:type="dxa"/>
          </w:tcPr>
          <w:p w14:paraId="04E38175" w14:textId="72BCE616" w:rsidR="00EC49AF" w:rsidRPr="008B13A5" w:rsidRDefault="00EC49AF">
            <w:pPr>
              <w:spacing w:after="160" w:line="257" w:lineRule="auto"/>
              <w:rPr>
                <w:b/>
                <w:bCs/>
                <w:noProof/>
                <w:szCs w:val="22"/>
              </w:rPr>
            </w:pPr>
            <w:r w:rsidRPr="00BD008E">
              <w:rPr>
                <w:noProof/>
                <w:szCs w:val="22"/>
              </w:rPr>
              <w:t>Scope 2 emissions</w:t>
            </w:r>
            <w:r w:rsidR="00373AA3">
              <w:rPr>
                <w:noProof/>
                <w:szCs w:val="22"/>
              </w:rPr>
              <w:t xml:space="preserve"> </w:t>
            </w:r>
            <w:r w:rsidRPr="00BD008E">
              <w:rPr>
                <w:noProof/>
                <w:szCs w:val="22"/>
              </w:rPr>
              <w:t>(location-based) / tCO2e</w:t>
            </w:r>
          </w:p>
        </w:tc>
        <w:tc>
          <w:tcPr>
            <w:tcW w:w="2657" w:type="dxa"/>
          </w:tcPr>
          <w:p w14:paraId="26EA24AC" w14:textId="6D95DA7C" w:rsidR="00EC49AF" w:rsidRPr="008B13A5" w:rsidRDefault="00EC49AF">
            <w:pPr>
              <w:spacing w:after="160" w:line="257" w:lineRule="auto"/>
              <w:rPr>
                <w:noProof/>
                <w:szCs w:val="22"/>
              </w:rPr>
            </w:pPr>
            <w:r w:rsidRPr="008B13A5">
              <w:rPr>
                <w:noProof/>
                <w:szCs w:val="22"/>
              </w:rPr>
              <w:t>308 337</w:t>
            </w:r>
            <w:r w:rsidR="00F274DD" w:rsidRPr="008B13A5">
              <w:rPr>
                <w:noProof/>
                <w:szCs w:val="22"/>
              </w:rPr>
              <w:t xml:space="preserve"> </w:t>
            </w:r>
            <w:r w:rsidRPr="008B13A5">
              <w:rPr>
                <w:noProof/>
                <w:szCs w:val="22"/>
              </w:rPr>
              <w:t>(</w:t>
            </w:r>
            <w:r w:rsidRPr="008B13A5">
              <w:rPr>
                <w:noProof/>
                <w:szCs w:val="22"/>
                <w:vertAlign w:val="superscript"/>
              </w:rPr>
              <w:footnoteReference w:id="317"/>
            </w:r>
            <w:r w:rsidRPr="008B13A5">
              <w:rPr>
                <w:noProof/>
                <w:szCs w:val="22"/>
              </w:rPr>
              <w:t>)</w:t>
            </w:r>
          </w:p>
        </w:tc>
      </w:tr>
      <w:tr w:rsidR="00EC49AF" w:rsidRPr="008B13A5" w14:paraId="4465CE20" w14:textId="77777777" w:rsidTr="00337DC3">
        <w:tc>
          <w:tcPr>
            <w:tcW w:w="6629" w:type="dxa"/>
          </w:tcPr>
          <w:p w14:paraId="7540FFE3" w14:textId="702C87D2" w:rsidR="00EC49AF" w:rsidRPr="008B13A5" w:rsidRDefault="00EC49AF">
            <w:pPr>
              <w:spacing w:after="160" w:line="257" w:lineRule="auto"/>
              <w:rPr>
                <w:b/>
                <w:bCs/>
                <w:noProof/>
                <w:szCs w:val="22"/>
              </w:rPr>
            </w:pPr>
            <w:r w:rsidRPr="00BD008E">
              <w:rPr>
                <w:noProof/>
                <w:szCs w:val="22"/>
              </w:rPr>
              <w:t>Scope 2 emissions (market-based) / tCO2e</w:t>
            </w:r>
          </w:p>
        </w:tc>
        <w:tc>
          <w:tcPr>
            <w:tcW w:w="2657" w:type="dxa"/>
          </w:tcPr>
          <w:p w14:paraId="59A5B035" w14:textId="606D8086" w:rsidR="00EC49AF" w:rsidRPr="008B13A5" w:rsidRDefault="00EC49AF">
            <w:pPr>
              <w:spacing w:after="160" w:line="257" w:lineRule="auto"/>
              <w:rPr>
                <w:b/>
                <w:bCs/>
                <w:noProof/>
                <w:szCs w:val="22"/>
              </w:rPr>
            </w:pPr>
            <w:r w:rsidRPr="008B13A5">
              <w:rPr>
                <w:noProof/>
                <w:szCs w:val="22"/>
              </w:rPr>
              <w:t>273 995</w:t>
            </w:r>
            <w:r w:rsidR="00F274DD" w:rsidRPr="008B13A5">
              <w:rPr>
                <w:noProof/>
                <w:szCs w:val="22"/>
              </w:rPr>
              <w:t xml:space="preserve"> </w:t>
            </w:r>
            <w:r w:rsidRPr="008B13A5">
              <w:rPr>
                <w:noProof/>
                <w:szCs w:val="22"/>
              </w:rPr>
              <w:t>(</w:t>
            </w:r>
            <w:r w:rsidRPr="008B13A5">
              <w:rPr>
                <w:noProof/>
                <w:szCs w:val="22"/>
                <w:vertAlign w:val="superscript"/>
              </w:rPr>
              <w:footnoteReference w:id="318"/>
            </w:r>
            <w:r w:rsidRPr="008B13A5">
              <w:rPr>
                <w:noProof/>
                <w:szCs w:val="22"/>
              </w:rPr>
              <w:t>)</w:t>
            </w:r>
          </w:p>
        </w:tc>
      </w:tr>
      <w:tr w:rsidR="00EC49AF" w:rsidRPr="008B13A5" w14:paraId="40D43692" w14:textId="77777777" w:rsidTr="00337DC3">
        <w:tc>
          <w:tcPr>
            <w:tcW w:w="6629" w:type="dxa"/>
          </w:tcPr>
          <w:p w14:paraId="10A1788C" w14:textId="3F53CA8F" w:rsidR="00EC49AF" w:rsidRPr="008B13A5" w:rsidRDefault="00EC49AF">
            <w:pPr>
              <w:spacing w:after="160" w:line="257" w:lineRule="auto"/>
              <w:rPr>
                <w:b/>
                <w:bCs/>
                <w:noProof/>
                <w:szCs w:val="22"/>
              </w:rPr>
            </w:pPr>
            <w:r w:rsidRPr="008B13A5">
              <w:rPr>
                <w:noProof/>
                <w:szCs w:val="22"/>
              </w:rPr>
              <w:t>Scope 1 emissions / tCO2e/wafer</w:t>
            </w:r>
          </w:p>
        </w:tc>
        <w:tc>
          <w:tcPr>
            <w:tcW w:w="2657" w:type="dxa"/>
          </w:tcPr>
          <w:p w14:paraId="1D9A3AF3" w14:textId="54E420C8" w:rsidR="00EC49AF" w:rsidRPr="008B13A5" w:rsidRDefault="00EC49AF">
            <w:pPr>
              <w:spacing w:after="160" w:line="257" w:lineRule="auto"/>
              <w:rPr>
                <w:b/>
                <w:bCs/>
                <w:noProof/>
                <w:szCs w:val="22"/>
              </w:rPr>
            </w:pPr>
            <w:r w:rsidRPr="008B13A5">
              <w:rPr>
                <w:rFonts w:eastAsia="Aptos"/>
                <w:noProof/>
                <w:szCs w:val="22"/>
              </w:rPr>
              <w:t xml:space="preserve">≈ </w:t>
            </w:r>
            <w:r w:rsidRPr="008B13A5">
              <w:rPr>
                <w:noProof/>
                <w:szCs w:val="22"/>
              </w:rPr>
              <w:t>0.064</w:t>
            </w:r>
          </w:p>
        </w:tc>
      </w:tr>
      <w:tr w:rsidR="00EC49AF" w:rsidRPr="008B13A5" w14:paraId="73D474D2" w14:textId="77777777" w:rsidTr="00337DC3">
        <w:tc>
          <w:tcPr>
            <w:tcW w:w="6629" w:type="dxa"/>
          </w:tcPr>
          <w:p w14:paraId="283E6505" w14:textId="608CB570" w:rsidR="00EC49AF" w:rsidRPr="008B13A5" w:rsidRDefault="00EC49AF">
            <w:pPr>
              <w:spacing w:after="160" w:line="257" w:lineRule="auto"/>
              <w:rPr>
                <w:b/>
                <w:bCs/>
                <w:noProof/>
                <w:szCs w:val="22"/>
              </w:rPr>
            </w:pPr>
            <w:r w:rsidRPr="00BD008E">
              <w:rPr>
                <w:noProof/>
                <w:szCs w:val="22"/>
              </w:rPr>
              <w:t>Scope 2(location-based) emissions</w:t>
            </w:r>
            <w:r w:rsidRPr="008B13A5">
              <w:rPr>
                <w:noProof/>
                <w:szCs w:val="22"/>
              </w:rPr>
              <w:t xml:space="preserve"> / tCO2e/wafer</w:t>
            </w:r>
          </w:p>
        </w:tc>
        <w:tc>
          <w:tcPr>
            <w:tcW w:w="2657" w:type="dxa"/>
          </w:tcPr>
          <w:p w14:paraId="7CB62C75" w14:textId="1822ABAA" w:rsidR="00EC49AF" w:rsidRPr="008B13A5" w:rsidRDefault="00EC49AF">
            <w:pPr>
              <w:spacing w:after="160" w:line="257" w:lineRule="auto"/>
              <w:rPr>
                <w:b/>
                <w:bCs/>
                <w:noProof/>
                <w:szCs w:val="22"/>
              </w:rPr>
            </w:pPr>
            <w:r w:rsidRPr="008B13A5">
              <w:rPr>
                <w:rFonts w:eastAsia="Aptos"/>
                <w:noProof/>
                <w:szCs w:val="22"/>
              </w:rPr>
              <w:t>≈</w:t>
            </w:r>
            <w:r w:rsidRPr="008B13A5">
              <w:rPr>
                <w:noProof/>
                <w:szCs w:val="22"/>
              </w:rPr>
              <w:t xml:space="preserve"> 0.325</w:t>
            </w:r>
          </w:p>
        </w:tc>
      </w:tr>
      <w:tr w:rsidR="00EC49AF" w:rsidRPr="008B13A5" w14:paraId="314719E9" w14:textId="77777777" w:rsidTr="00337DC3">
        <w:tc>
          <w:tcPr>
            <w:tcW w:w="6629" w:type="dxa"/>
          </w:tcPr>
          <w:p w14:paraId="389280EB" w14:textId="3E9CD82C" w:rsidR="00EC49AF" w:rsidRPr="008B13A5" w:rsidRDefault="00EC49AF">
            <w:pPr>
              <w:spacing w:after="160" w:line="257" w:lineRule="auto"/>
              <w:rPr>
                <w:noProof/>
                <w:szCs w:val="22"/>
              </w:rPr>
            </w:pPr>
            <w:r w:rsidRPr="00BD008E">
              <w:rPr>
                <w:noProof/>
                <w:szCs w:val="22"/>
              </w:rPr>
              <w:t>Scope 2 (market-based) emissions</w:t>
            </w:r>
            <w:r w:rsidRPr="008B13A5">
              <w:rPr>
                <w:noProof/>
                <w:szCs w:val="22"/>
              </w:rPr>
              <w:t xml:space="preserve"> / tCO2e/wafer</w:t>
            </w:r>
          </w:p>
        </w:tc>
        <w:tc>
          <w:tcPr>
            <w:tcW w:w="2657" w:type="dxa"/>
          </w:tcPr>
          <w:p w14:paraId="67688F1C" w14:textId="6FBCFF8A" w:rsidR="00EC49AF" w:rsidRPr="008B13A5" w:rsidRDefault="00EC49AF">
            <w:pPr>
              <w:spacing w:after="160" w:line="257" w:lineRule="auto"/>
              <w:rPr>
                <w:b/>
                <w:noProof/>
                <w:szCs w:val="22"/>
              </w:rPr>
            </w:pPr>
            <w:r w:rsidRPr="008B13A5">
              <w:rPr>
                <w:rFonts w:eastAsia="Aptos"/>
                <w:noProof/>
                <w:szCs w:val="22"/>
              </w:rPr>
              <w:t xml:space="preserve">≈ </w:t>
            </w:r>
            <w:r w:rsidRPr="008B13A5">
              <w:rPr>
                <w:noProof/>
                <w:szCs w:val="22"/>
              </w:rPr>
              <w:t>0.288</w:t>
            </w:r>
          </w:p>
        </w:tc>
      </w:tr>
      <w:tr w:rsidR="00EC49AF" w:rsidRPr="008B13A5" w14:paraId="37480774" w14:textId="77777777" w:rsidTr="00337DC3">
        <w:tc>
          <w:tcPr>
            <w:tcW w:w="6629" w:type="dxa"/>
          </w:tcPr>
          <w:p w14:paraId="0FB9D956" w14:textId="56049E75" w:rsidR="00EC49AF" w:rsidRPr="008B13A5" w:rsidRDefault="00EC49AF">
            <w:pPr>
              <w:spacing w:after="160" w:line="257" w:lineRule="auto"/>
              <w:rPr>
                <w:noProof/>
                <w:szCs w:val="22"/>
              </w:rPr>
            </w:pPr>
            <w:r w:rsidRPr="00BD008E">
              <w:rPr>
                <w:noProof/>
                <w:szCs w:val="22"/>
              </w:rPr>
              <w:t>Total current capacity /wpy</w:t>
            </w:r>
          </w:p>
        </w:tc>
        <w:tc>
          <w:tcPr>
            <w:tcW w:w="2657" w:type="dxa"/>
          </w:tcPr>
          <w:p w14:paraId="67D37BFA" w14:textId="7D528AA0" w:rsidR="00EC49AF" w:rsidRPr="008B13A5" w:rsidRDefault="00EC49AF">
            <w:pPr>
              <w:spacing w:after="160" w:line="257" w:lineRule="auto"/>
              <w:rPr>
                <w:b/>
                <w:bCs/>
                <w:noProof/>
                <w:szCs w:val="22"/>
              </w:rPr>
            </w:pPr>
            <w:r w:rsidRPr="008B13A5">
              <w:rPr>
                <w:rFonts w:eastAsia="Aptos"/>
                <w:noProof/>
                <w:szCs w:val="22"/>
              </w:rPr>
              <w:t xml:space="preserve">≈ </w:t>
            </w:r>
            <w:r w:rsidRPr="008B13A5">
              <w:rPr>
                <w:noProof/>
                <w:szCs w:val="22"/>
              </w:rPr>
              <w:t>12.84 Mio</w:t>
            </w:r>
          </w:p>
        </w:tc>
      </w:tr>
      <w:tr w:rsidR="00EC49AF" w:rsidRPr="008B13A5" w14:paraId="259CD6FE" w14:textId="77777777" w:rsidTr="00337DC3">
        <w:tc>
          <w:tcPr>
            <w:tcW w:w="6629" w:type="dxa"/>
          </w:tcPr>
          <w:p w14:paraId="6152BA9D" w14:textId="0A2DA2D3" w:rsidR="00EC49AF" w:rsidRPr="008B13A5" w:rsidRDefault="00EC49AF">
            <w:pPr>
              <w:spacing w:after="160" w:line="257" w:lineRule="auto"/>
              <w:rPr>
                <w:noProof/>
                <w:szCs w:val="22"/>
              </w:rPr>
            </w:pPr>
            <w:r w:rsidRPr="00BD008E">
              <w:rPr>
                <w:noProof/>
                <w:szCs w:val="22"/>
              </w:rPr>
              <w:t>Estimated total scope 1 emissions / tCO2e</w:t>
            </w:r>
          </w:p>
        </w:tc>
        <w:tc>
          <w:tcPr>
            <w:tcW w:w="2657" w:type="dxa"/>
          </w:tcPr>
          <w:p w14:paraId="3DCE1232" w14:textId="73524CD0" w:rsidR="00EC49AF" w:rsidRPr="008B13A5" w:rsidRDefault="00EC49AF">
            <w:pPr>
              <w:spacing w:after="160" w:line="257" w:lineRule="auto"/>
              <w:rPr>
                <w:b/>
                <w:bCs/>
                <w:noProof/>
                <w:szCs w:val="22"/>
              </w:rPr>
            </w:pPr>
            <w:r w:rsidRPr="008B13A5">
              <w:rPr>
                <w:rFonts w:eastAsia="Aptos"/>
                <w:noProof/>
                <w:szCs w:val="22"/>
              </w:rPr>
              <w:t xml:space="preserve">≈ </w:t>
            </w:r>
            <w:r w:rsidRPr="008B13A5">
              <w:rPr>
                <w:noProof/>
                <w:szCs w:val="22"/>
              </w:rPr>
              <w:t>821 760</w:t>
            </w:r>
          </w:p>
        </w:tc>
      </w:tr>
      <w:tr w:rsidR="00EC49AF" w:rsidRPr="008B13A5" w14:paraId="10CF5FD1" w14:textId="77777777" w:rsidTr="00337DC3">
        <w:tc>
          <w:tcPr>
            <w:tcW w:w="6629" w:type="dxa"/>
          </w:tcPr>
          <w:p w14:paraId="0CF0850D" w14:textId="7E67E893" w:rsidR="00EC49AF" w:rsidRPr="008B13A5" w:rsidRDefault="00EC49AF">
            <w:pPr>
              <w:spacing w:after="160" w:line="257" w:lineRule="auto"/>
              <w:rPr>
                <w:noProof/>
                <w:szCs w:val="22"/>
              </w:rPr>
            </w:pPr>
            <w:r w:rsidRPr="008B13A5">
              <w:rPr>
                <w:noProof/>
                <w:szCs w:val="22"/>
              </w:rPr>
              <w:t>Estimated total current scope 2 (location-based) emissions / tCO2e</w:t>
            </w:r>
          </w:p>
        </w:tc>
        <w:tc>
          <w:tcPr>
            <w:tcW w:w="2657" w:type="dxa"/>
          </w:tcPr>
          <w:p w14:paraId="022CEEBC" w14:textId="5506F527" w:rsidR="00EC49AF" w:rsidRPr="008B13A5" w:rsidRDefault="00EC49AF">
            <w:pPr>
              <w:spacing w:after="160" w:line="257" w:lineRule="auto"/>
              <w:rPr>
                <w:b/>
                <w:bCs/>
                <w:noProof/>
                <w:szCs w:val="22"/>
              </w:rPr>
            </w:pPr>
            <w:r w:rsidRPr="008B13A5">
              <w:rPr>
                <w:rFonts w:eastAsia="Aptos"/>
                <w:noProof/>
                <w:szCs w:val="22"/>
              </w:rPr>
              <w:t xml:space="preserve">≈ </w:t>
            </w:r>
            <w:r w:rsidRPr="008B13A5">
              <w:rPr>
                <w:noProof/>
                <w:szCs w:val="22"/>
              </w:rPr>
              <w:t>4 173 000</w:t>
            </w:r>
          </w:p>
        </w:tc>
      </w:tr>
      <w:tr w:rsidR="00EC49AF" w:rsidRPr="008B13A5" w14:paraId="5CD30C15" w14:textId="77777777" w:rsidTr="00337DC3">
        <w:tc>
          <w:tcPr>
            <w:tcW w:w="6629" w:type="dxa"/>
          </w:tcPr>
          <w:p w14:paraId="7E9B8D45" w14:textId="03E8D176" w:rsidR="00EC49AF" w:rsidRPr="008B13A5" w:rsidRDefault="00EC49AF">
            <w:pPr>
              <w:spacing w:after="160" w:line="257" w:lineRule="auto"/>
              <w:rPr>
                <w:noProof/>
                <w:szCs w:val="22"/>
              </w:rPr>
            </w:pPr>
            <w:r w:rsidRPr="008B13A5">
              <w:rPr>
                <w:noProof/>
                <w:szCs w:val="22"/>
              </w:rPr>
              <w:t>Estimated total current scope 2 (market-based) emissions / tCO2e</w:t>
            </w:r>
          </w:p>
        </w:tc>
        <w:tc>
          <w:tcPr>
            <w:tcW w:w="2657" w:type="dxa"/>
          </w:tcPr>
          <w:p w14:paraId="308797B0" w14:textId="1B720F2C" w:rsidR="00EC49AF" w:rsidRPr="008B13A5" w:rsidRDefault="00EC49AF">
            <w:pPr>
              <w:spacing w:after="160" w:line="257" w:lineRule="auto"/>
              <w:rPr>
                <w:b/>
                <w:bCs/>
                <w:noProof/>
                <w:szCs w:val="22"/>
              </w:rPr>
            </w:pPr>
            <w:r w:rsidRPr="008B13A5">
              <w:rPr>
                <w:rFonts w:eastAsia="Aptos"/>
                <w:noProof/>
                <w:szCs w:val="22"/>
              </w:rPr>
              <w:t xml:space="preserve">≈ </w:t>
            </w:r>
            <w:r w:rsidRPr="008B13A5">
              <w:rPr>
                <w:noProof/>
                <w:szCs w:val="22"/>
              </w:rPr>
              <w:t>3 697 920</w:t>
            </w:r>
          </w:p>
        </w:tc>
      </w:tr>
    </w:tbl>
    <w:p w14:paraId="278376F8" w14:textId="6D6B8F9A" w:rsidR="00EC49AF" w:rsidRPr="008B13A5" w:rsidRDefault="00EC49AF" w:rsidP="00EC49AF">
      <w:pPr>
        <w:pStyle w:val="NormalWeb"/>
        <w:jc w:val="both"/>
        <w:rPr>
          <w:noProof/>
        </w:rPr>
      </w:pPr>
      <w:r w:rsidRPr="008B13A5">
        <w:rPr>
          <w:noProof/>
        </w:rPr>
        <w:t>Data achieved from imec.netzero model for N28 (Logic Mobile SoC, 300 mm) are presented in the Table below.</w:t>
      </w:r>
      <w:r w:rsidR="002B0400">
        <w:rPr>
          <w:noProof/>
        </w:rPr>
        <w:t xml:space="preserve"> </w:t>
      </w:r>
      <w:r w:rsidR="00373AA3">
        <w:rPr>
          <w:noProof/>
        </w:rPr>
        <w:t>(</w:t>
      </w:r>
      <w:r w:rsidR="00373AA3">
        <w:rPr>
          <w:rStyle w:val="FootnoteReference"/>
          <w:noProof/>
        </w:rPr>
        <w:footnoteReference w:id="319"/>
      </w:r>
      <w:r w:rsidR="00373AA3">
        <w:rPr>
          <w:noProof/>
        </w:rPr>
        <w:t>)</w:t>
      </w:r>
    </w:p>
    <w:tbl>
      <w:tblPr>
        <w:tblStyle w:val="TableGrid"/>
        <w:tblW w:w="0" w:type="auto"/>
        <w:tblLook w:val="04A0" w:firstRow="1" w:lastRow="0" w:firstColumn="1" w:lastColumn="0" w:noHBand="0" w:noVBand="1"/>
      </w:tblPr>
      <w:tblGrid>
        <w:gridCol w:w="6629"/>
        <w:gridCol w:w="2657"/>
      </w:tblGrid>
      <w:tr w:rsidR="00EC49AF" w:rsidRPr="008B13A5" w14:paraId="7982BF5B" w14:textId="77777777" w:rsidTr="00337DC3">
        <w:tc>
          <w:tcPr>
            <w:tcW w:w="6629" w:type="dxa"/>
          </w:tcPr>
          <w:p w14:paraId="7977CCCD" w14:textId="422C120E" w:rsidR="00EC49AF" w:rsidRPr="00F63309" w:rsidRDefault="00EC49AF" w:rsidP="00206F5A">
            <w:pPr>
              <w:pStyle w:val="NormalWeb"/>
              <w:spacing w:line="360" w:lineRule="auto"/>
              <w:jc w:val="both"/>
              <w:rPr>
                <w:noProof/>
              </w:rPr>
            </w:pPr>
            <w:r w:rsidRPr="00F63309">
              <w:rPr>
                <w:noProof/>
              </w:rPr>
              <w:t>Scope 1 emissions / tCO2e/wafer</w:t>
            </w:r>
          </w:p>
        </w:tc>
        <w:tc>
          <w:tcPr>
            <w:tcW w:w="2657" w:type="dxa"/>
          </w:tcPr>
          <w:p w14:paraId="03F8C3F8" w14:textId="457A516A" w:rsidR="00EC49AF" w:rsidRPr="00F63309" w:rsidRDefault="00EC49AF" w:rsidP="00206F5A">
            <w:pPr>
              <w:pStyle w:val="NormalWeb"/>
              <w:spacing w:line="360" w:lineRule="auto"/>
              <w:jc w:val="both"/>
              <w:rPr>
                <w:noProof/>
              </w:rPr>
            </w:pPr>
            <w:r w:rsidRPr="00F63309">
              <w:rPr>
                <w:noProof/>
              </w:rPr>
              <w:t>0.08</w:t>
            </w:r>
            <w:r w:rsidR="00D508F0" w:rsidRPr="00F63309">
              <w:rPr>
                <w:noProof/>
              </w:rPr>
              <w:t xml:space="preserve"> (</w:t>
            </w:r>
            <w:r w:rsidR="00373AA3">
              <w:rPr>
                <w:noProof/>
                <w:vertAlign w:val="superscript"/>
              </w:rPr>
              <w:t>31</w:t>
            </w:r>
            <w:r w:rsidR="006C4042">
              <w:rPr>
                <w:noProof/>
                <w:vertAlign w:val="superscript"/>
              </w:rPr>
              <w:t>7</w:t>
            </w:r>
            <w:r w:rsidR="00D508F0" w:rsidRPr="00F63309">
              <w:rPr>
                <w:noProof/>
              </w:rPr>
              <w:t>)</w:t>
            </w:r>
          </w:p>
        </w:tc>
      </w:tr>
      <w:tr w:rsidR="00EC49AF" w:rsidRPr="008B13A5" w14:paraId="5A15AF64" w14:textId="77777777" w:rsidTr="00337DC3">
        <w:tc>
          <w:tcPr>
            <w:tcW w:w="6629" w:type="dxa"/>
          </w:tcPr>
          <w:p w14:paraId="27F40417" w14:textId="711BC8C3" w:rsidR="00EC49AF" w:rsidRPr="00F63309" w:rsidRDefault="00EC49AF" w:rsidP="00206F5A">
            <w:pPr>
              <w:pStyle w:val="NormalWeb"/>
              <w:spacing w:line="360" w:lineRule="auto"/>
              <w:jc w:val="both"/>
              <w:rPr>
                <w:noProof/>
              </w:rPr>
            </w:pPr>
            <w:r w:rsidRPr="00F63309">
              <w:rPr>
                <w:noProof/>
              </w:rPr>
              <w:t>Estimated total scope 1 emissions / tCO2e</w:t>
            </w:r>
          </w:p>
        </w:tc>
        <w:tc>
          <w:tcPr>
            <w:tcW w:w="2657" w:type="dxa"/>
          </w:tcPr>
          <w:p w14:paraId="574DADE9" w14:textId="527CF6A4" w:rsidR="00EC49AF" w:rsidRPr="00F63309" w:rsidRDefault="00EC49AF" w:rsidP="00206F5A">
            <w:pPr>
              <w:pStyle w:val="NormalWeb"/>
              <w:spacing w:line="360" w:lineRule="auto"/>
              <w:jc w:val="both"/>
              <w:rPr>
                <w:noProof/>
              </w:rPr>
            </w:pPr>
            <w:r w:rsidRPr="00F63309">
              <w:rPr>
                <w:noProof/>
              </w:rPr>
              <w:t>1 027 000</w:t>
            </w:r>
          </w:p>
        </w:tc>
      </w:tr>
      <w:tr w:rsidR="00EC49AF" w:rsidRPr="008B13A5" w14:paraId="2D150F7C" w14:textId="77777777" w:rsidTr="00337DC3">
        <w:tc>
          <w:tcPr>
            <w:tcW w:w="6629" w:type="dxa"/>
          </w:tcPr>
          <w:p w14:paraId="0CF670D0" w14:textId="3087567F" w:rsidR="00EC49AF" w:rsidRPr="00F63309" w:rsidRDefault="00EC49AF" w:rsidP="00206F5A">
            <w:pPr>
              <w:pStyle w:val="NormalWeb"/>
              <w:spacing w:line="360" w:lineRule="auto"/>
              <w:jc w:val="both"/>
              <w:rPr>
                <w:noProof/>
              </w:rPr>
            </w:pPr>
            <w:r w:rsidRPr="00F63309">
              <w:rPr>
                <w:noProof/>
              </w:rPr>
              <w:t>Scope 2 emissions / tCO2e/wafer</w:t>
            </w:r>
          </w:p>
        </w:tc>
        <w:tc>
          <w:tcPr>
            <w:tcW w:w="2657" w:type="dxa"/>
          </w:tcPr>
          <w:p w14:paraId="65529B1A" w14:textId="7FB6CA9E" w:rsidR="00EC49AF" w:rsidRPr="00F63309" w:rsidRDefault="00EC49AF" w:rsidP="00206F5A">
            <w:pPr>
              <w:pStyle w:val="NormalWeb"/>
              <w:spacing w:line="360" w:lineRule="auto"/>
              <w:jc w:val="both"/>
              <w:rPr>
                <w:noProof/>
              </w:rPr>
            </w:pPr>
            <w:r w:rsidRPr="00F63309">
              <w:rPr>
                <w:noProof/>
              </w:rPr>
              <w:t>0.42</w:t>
            </w:r>
            <w:r w:rsidR="00D508F0" w:rsidRPr="00F63309">
              <w:rPr>
                <w:noProof/>
              </w:rPr>
              <w:t xml:space="preserve"> (</w:t>
            </w:r>
            <w:r w:rsidR="00373AA3">
              <w:rPr>
                <w:noProof/>
                <w:vertAlign w:val="superscript"/>
              </w:rPr>
              <w:t>31</w:t>
            </w:r>
            <w:r w:rsidR="006C4042">
              <w:rPr>
                <w:noProof/>
                <w:vertAlign w:val="superscript"/>
              </w:rPr>
              <w:t>7</w:t>
            </w:r>
            <w:r w:rsidR="00D508F0" w:rsidRPr="00F63309">
              <w:rPr>
                <w:noProof/>
              </w:rPr>
              <w:t>)</w:t>
            </w:r>
          </w:p>
        </w:tc>
      </w:tr>
      <w:tr w:rsidR="00EC49AF" w:rsidRPr="008B13A5" w14:paraId="11AF8E46" w14:textId="77777777" w:rsidTr="00337DC3">
        <w:tc>
          <w:tcPr>
            <w:tcW w:w="6629" w:type="dxa"/>
          </w:tcPr>
          <w:p w14:paraId="1BFFD620" w14:textId="32B5F780" w:rsidR="00EC49AF" w:rsidRPr="00F63309" w:rsidRDefault="00EC49AF" w:rsidP="00206F5A">
            <w:pPr>
              <w:pStyle w:val="NormalWeb"/>
              <w:spacing w:line="360" w:lineRule="auto"/>
              <w:jc w:val="both"/>
              <w:rPr>
                <w:noProof/>
              </w:rPr>
            </w:pPr>
            <w:r w:rsidRPr="00F63309">
              <w:rPr>
                <w:noProof/>
              </w:rPr>
              <w:t>Estimated total current scope 2 (location-based) emissions / tCO2e</w:t>
            </w:r>
          </w:p>
        </w:tc>
        <w:tc>
          <w:tcPr>
            <w:tcW w:w="2657" w:type="dxa"/>
          </w:tcPr>
          <w:p w14:paraId="40C64771" w14:textId="6C376E61" w:rsidR="00EC49AF" w:rsidRPr="00F63309" w:rsidRDefault="00EC49AF" w:rsidP="00206F5A">
            <w:pPr>
              <w:pStyle w:val="NormalWeb"/>
              <w:spacing w:line="360" w:lineRule="auto"/>
              <w:jc w:val="both"/>
              <w:rPr>
                <w:noProof/>
              </w:rPr>
            </w:pPr>
            <w:r w:rsidRPr="00F63309">
              <w:rPr>
                <w:noProof/>
              </w:rPr>
              <w:t>5 392 800</w:t>
            </w:r>
          </w:p>
        </w:tc>
      </w:tr>
      <w:tr w:rsidR="00EC49AF" w:rsidRPr="008B13A5" w14:paraId="77B5BFD8" w14:textId="77777777" w:rsidTr="00337DC3">
        <w:tc>
          <w:tcPr>
            <w:tcW w:w="6629" w:type="dxa"/>
          </w:tcPr>
          <w:p w14:paraId="16F1CD34" w14:textId="4FBB9C55" w:rsidR="00EC49AF" w:rsidRPr="00F63309" w:rsidRDefault="00EC49AF" w:rsidP="00206F5A">
            <w:pPr>
              <w:pStyle w:val="NormalWeb"/>
              <w:spacing w:line="360" w:lineRule="auto"/>
              <w:jc w:val="both"/>
              <w:rPr>
                <w:noProof/>
              </w:rPr>
            </w:pPr>
            <w:r w:rsidRPr="00F63309">
              <w:rPr>
                <w:noProof/>
              </w:rPr>
              <w:t>Scope 3 emissions / tCO2e/wafer</w:t>
            </w:r>
          </w:p>
        </w:tc>
        <w:tc>
          <w:tcPr>
            <w:tcW w:w="2657" w:type="dxa"/>
          </w:tcPr>
          <w:p w14:paraId="5559F917" w14:textId="566CDF71" w:rsidR="00EC49AF" w:rsidRPr="00F63309" w:rsidRDefault="00EC49AF" w:rsidP="00206F5A">
            <w:pPr>
              <w:pStyle w:val="NormalWeb"/>
              <w:spacing w:line="360" w:lineRule="auto"/>
              <w:jc w:val="both"/>
              <w:rPr>
                <w:noProof/>
              </w:rPr>
            </w:pPr>
            <w:r w:rsidRPr="00F63309">
              <w:rPr>
                <w:noProof/>
              </w:rPr>
              <w:t>0.27</w:t>
            </w:r>
            <w:r w:rsidR="00D508F0" w:rsidRPr="00F63309">
              <w:rPr>
                <w:noProof/>
              </w:rPr>
              <w:t xml:space="preserve"> (</w:t>
            </w:r>
            <w:r w:rsidR="00373AA3">
              <w:rPr>
                <w:noProof/>
                <w:vertAlign w:val="superscript"/>
              </w:rPr>
              <w:t>31</w:t>
            </w:r>
            <w:r w:rsidR="006C4042">
              <w:rPr>
                <w:noProof/>
                <w:vertAlign w:val="superscript"/>
              </w:rPr>
              <w:t>7</w:t>
            </w:r>
            <w:r w:rsidR="00D508F0" w:rsidRPr="00F63309">
              <w:rPr>
                <w:noProof/>
              </w:rPr>
              <w:t>)</w:t>
            </w:r>
          </w:p>
        </w:tc>
      </w:tr>
      <w:tr w:rsidR="00EC49AF" w:rsidRPr="008B13A5" w14:paraId="04816DEE" w14:textId="77777777" w:rsidTr="00337DC3">
        <w:tc>
          <w:tcPr>
            <w:tcW w:w="6629" w:type="dxa"/>
          </w:tcPr>
          <w:p w14:paraId="128DAF2B" w14:textId="45DB72DD" w:rsidR="00EC49AF" w:rsidRPr="00F63309" w:rsidRDefault="00EC49AF" w:rsidP="00206F5A">
            <w:pPr>
              <w:pStyle w:val="NormalWeb"/>
              <w:spacing w:line="360" w:lineRule="auto"/>
              <w:jc w:val="both"/>
              <w:rPr>
                <w:noProof/>
              </w:rPr>
            </w:pPr>
            <w:r w:rsidRPr="00F63309">
              <w:rPr>
                <w:noProof/>
              </w:rPr>
              <w:t>Estimated total current scope 3 emissions / tCO2e</w:t>
            </w:r>
          </w:p>
        </w:tc>
        <w:tc>
          <w:tcPr>
            <w:tcW w:w="2657" w:type="dxa"/>
          </w:tcPr>
          <w:p w14:paraId="6085B519" w14:textId="54ADA56F" w:rsidR="00EC49AF" w:rsidRPr="00F63309" w:rsidRDefault="00EC49AF" w:rsidP="00206F5A">
            <w:pPr>
              <w:pStyle w:val="NormalWeb"/>
              <w:spacing w:line="360" w:lineRule="auto"/>
              <w:jc w:val="both"/>
              <w:rPr>
                <w:noProof/>
              </w:rPr>
            </w:pPr>
            <w:r w:rsidRPr="00F63309">
              <w:rPr>
                <w:noProof/>
              </w:rPr>
              <w:t>3 466 800</w:t>
            </w:r>
          </w:p>
        </w:tc>
      </w:tr>
    </w:tbl>
    <w:p w14:paraId="746301E0" w14:textId="0278F04A" w:rsidR="00EC49AF" w:rsidRPr="008B13A5" w:rsidRDefault="00EC49AF" w:rsidP="00EC49AF">
      <w:pPr>
        <w:pStyle w:val="NormalWeb"/>
        <w:jc w:val="both"/>
        <w:rPr>
          <w:noProof/>
        </w:rPr>
      </w:pPr>
      <w:r w:rsidRPr="008B13A5">
        <w:rPr>
          <w:noProof/>
        </w:rPr>
        <w:t xml:space="preserve">However, because Europe accounts for only a small share of global semiconductor manufacturing capacity compared with its Asian counterparts, its associated emissions remain well below those of high-emitting sectors. </w:t>
      </w:r>
    </w:p>
    <w:p w14:paraId="154BD3FB" w14:textId="77777777" w:rsidR="00EC49AF" w:rsidRPr="008B13A5" w:rsidRDefault="00EC49AF" w:rsidP="00EC49AF">
      <w:pPr>
        <w:pStyle w:val="NormalWeb"/>
        <w:jc w:val="both"/>
        <w:rPr>
          <w:b/>
          <w:bCs/>
          <w:noProof/>
        </w:rPr>
      </w:pPr>
      <w:r w:rsidRPr="008B13A5">
        <w:rPr>
          <w:b/>
          <w:bCs/>
          <w:noProof/>
        </w:rPr>
        <w:t>Water</w:t>
      </w:r>
    </w:p>
    <w:p w14:paraId="1910035A" w14:textId="0963C425" w:rsidR="00EC49AF" w:rsidRPr="008B13A5" w:rsidRDefault="00EC49AF" w:rsidP="00EC49AF">
      <w:pPr>
        <w:pStyle w:val="NormalWeb"/>
        <w:jc w:val="both"/>
        <w:rPr>
          <w:noProof/>
          <w:vertAlign w:val="superscript"/>
        </w:rPr>
      </w:pPr>
      <w:r w:rsidRPr="008B13A5">
        <w:rPr>
          <w:noProof/>
        </w:rPr>
        <w:t>A large semiconductor fabrication plant (fab) uses up to 38 million litres per day, equivalent to the daily water consumption of around 300,000 people in Germany.</w:t>
      </w:r>
      <w:r w:rsidR="00F274DD" w:rsidRPr="008B13A5">
        <w:rPr>
          <w:noProof/>
        </w:rPr>
        <w:t xml:space="preserve"> </w:t>
      </w:r>
      <w:r w:rsidRPr="008B13A5">
        <w:rPr>
          <w:noProof/>
        </w:rPr>
        <w:t>(</w:t>
      </w:r>
      <w:r w:rsidRPr="008B13A5">
        <w:rPr>
          <w:rStyle w:val="FootnoteReference"/>
          <w:noProof/>
        </w:rPr>
        <w:footnoteReference w:id="320"/>
      </w:r>
      <w:r w:rsidRPr="008B13A5">
        <w:rPr>
          <w:noProof/>
        </w:rPr>
        <w:t>)</w:t>
      </w:r>
      <w:r w:rsidRPr="008B13A5">
        <w:rPr>
          <w:rStyle w:val="FootnoteReference"/>
          <w:noProof/>
        </w:rPr>
        <w:t xml:space="preserve"> </w:t>
      </w:r>
      <w:r w:rsidRPr="008B13A5">
        <w:rPr>
          <w:noProof/>
        </w:rPr>
        <w:t>Water is primarily used for ultrapure water (UPW) production, a complex process that involves multi-stage treatments, such as reverse osmosis and ultrafiltration, with water reuse and recycling being common on-site practices.</w:t>
      </w:r>
      <w:r w:rsidRPr="008B13A5">
        <w:rPr>
          <w:rStyle w:val="FootnoteReference"/>
          <w:noProof/>
        </w:rPr>
        <w:t xml:space="preserve"> </w:t>
      </w:r>
      <w:r w:rsidR="00F274DD" w:rsidRPr="008B13A5">
        <w:rPr>
          <w:noProof/>
        </w:rPr>
        <w:t xml:space="preserve"> </w:t>
      </w:r>
      <w:r w:rsidRPr="008B13A5">
        <w:rPr>
          <w:noProof/>
        </w:rPr>
        <w:t>(</w:t>
      </w:r>
      <w:r w:rsidRPr="008B13A5">
        <w:rPr>
          <w:rStyle w:val="FootnoteReference"/>
          <w:noProof/>
        </w:rPr>
        <w:footnoteReference w:id="321"/>
      </w:r>
      <w:r w:rsidRPr="008B13A5">
        <w:rPr>
          <w:noProof/>
        </w:rPr>
        <w:t>)</w:t>
      </w:r>
    </w:p>
    <w:p w14:paraId="165D4BE5" w14:textId="5BD27B51" w:rsidR="00EC49AF" w:rsidRPr="008B13A5" w:rsidRDefault="00EC49AF" w:rsidP="00EC49AF">
      <w:pPr>
        <w:pStyle w:val="NormalWeb"/>
        <w:jc w:val="both"/>
        <w:rPr>
          <w:noProof/>
          <w:vertAlign w:val="superscript"/>
        </w:rPr>
      </w:pPr>
      <w:r w:rsidRPr="008B13A5">
        <w:rPr>
          <w:noProof/>
        </w:rPr>
        <w:t>Semiconductor manufacturing in Europe reflects the global characteristics of the industry: it is among the most resource- and energy-intensive industrial activities per unit of value added.  The deployment of advanced wafer fabrication processes in Europe would likely result in a substantial increase in emissions. However, European fabs benefit from a comparatively low-carbon electricity mix: the average grid emission intensity is roughly one-third that of major East Asian manufacturing regions</w:t>
      </w:r>
      <w:r w:rsidR="002B0400">
        <w:rPr>
          <w:noProof/>
        </w:rPr>
        <w:t>.</w:t>
      </w:r>
      <w:r w:rsidR="00F274DD" w:rsidRPr="008B13A5">
        <w:rPr>
          <w:noProof/>
        </w:rPr>
        <w:t xml:space="preserve"> </w:t>
      </w:r>
      <w:r w:rsidRPr="008B13A5">
        <w:rPr>
          <w:noProof/>
        </w:rPr>
        <w:t>(</w:t>
      </w:r>
      <w:r w:rsidRPr="008B13A5">
        <w:rPr>
          <w:rStyle w:val="FootnoteReference"/>
          <w:noProof/>
        </w:rPr>
        <w:footnoteReference w:id="322"/>
      </w:r>
      <w:r w:rsidRPr="008B13A5">
        <w:rPr>
          <w:noProof/>
        </w:rPr>
        <w:t>) Despite this advantage, electricity use remains the single largest contributor to lifecycle emissions, accounting for approximately 60–70% of total CO₂-equivalent emissions in front-end manufacturing.</w:t>
      </w:r>
      <w:r w:rsidRPr="008B13A5">
        <w:rPr>
          <w:rStyle w:val="FootnoteReference"/>
          <w:noProof/>
        </w:rPr>
        <w:t xml:space="preserve"> </w:t>
      </w:r>
      <w:r w:rsidR="00F274DD" w:rsidRPr="008B13A5">
        <w:rPr>
          <w:noProof/>
        </w:rPr>
        <w:t xml:space="preserve"> </w:t>
      </w:r>
      <w:r w:rsidRPr="008B13A5">
        <w:rPr>
          <w:noProof/>
        </w:rPr>
        <w:t>(</w:t>
      </w:r>
      <w:r w:rsidRPr="008B13A5">
        <w:rPr>
          <w:rStyle w:val="FootnoteReference"/>
          <w:noProof/>
        </w:rPr>
        <w:footnoteReference w:id="323"/>
      </w:r>
      <w:r w:rsidRPr="008B13A5">
        <w:rPr>
          <w:noProof/>
        </w:rPr>
        <w:t>)</w:t>
      </w:r>
      <w:r w:rsidRPr="00B92949">
        <w:rPr>
          <w:noProof/>
        </w:rPr>
        <w:t>(</w:t>
      </w:r>
      <w:r w:rsidRPr="008B13A5">
        <w:rPr>
          <w:rStyle w:val="FootnoteReference"/>
          <w:noProof/>
        </w:rPr>
        <w:footnoteReference w:id="324"/>
      </w:r>
      <w:r w:rsidRPr="00B92949">
        <w:rPr>
          <w:noProof/>
        </w:rPr>
        <w:t>)(</w:t>
      </w:r>
      <w:r w:rsidRPr="008B13A5">
        <w:rPr>
          <w:rStyle w:val="FootnoteReference"/>
          <w:noProof/>
        </w:rPr>
        <w:footnoteReference w:id="325"/>
      </w:r>
      <w:r w:rsidRPr="00B92949">
        <w:rPr>
          <w:noProof/>
        </w:rPr>
        <w:t>)</w:t>
      </w:r>
    </w:p>
    <w:p w14:paraId="14354C83" w14:textId="6A787CD9" w:rsidR="00EC49AF" w:rsidRPr="008B13A5" w:rsidRDefault="00EC49AF" w:rsidP="00EC49AF">
      <w:pPr>
        <w:rPr>
          <w:noProof/>
        </w:rPr>
      </w:pPr>
      <w:r w:rsidRPr="008B13A5">
        <w:rPr>
          <w:noProof/>
        </w:rPr>
        <w:t xml:space="preserve">Overall, semiconductor manufacturing is extremely </w:t>
      </w:r>
      <w:r w:rsidR="00B92949" w:rsidRPr="008B13A5">
        <w:rPr>
          <w:noProof/>
        </w:rPr>
        <w:t>water intensive</w:t>
      </w:r>
      <w:r w:rsidRPr="008B13A5">
        <w:rPr>
          <w:noProof/>
        </w:rPr>
        <w:t>. Current water withdrawal per wafer in Europe is estimated to be about 10.75 m</w:t>
      </w:r>
      <w:r w:rsidRPr="008B13A5">
        <w:rPr>
          <w:noProof/>
          <w:vertAlign w:val="superscript"/>
        </w:rPr>
        <w:t xml:space="preserve">3 </w:t>
      </w:r>
      <w:r w:rsidRPr="00B92949">
        <w:rPr>
          <w:noProof/>
        </w:rPr>
        <w:t>(</w:t>
      </w:r>
      <w:r w:rsidRPr="008B13A5">
        <w:rPr>
          <w:noProof/>
          <w:vertAlign w:val="superscript"/>
        </w:rPr>
        <w:footnoteReference w:id="326"/>
      </w:r>
      <w:r w:rsidRPr="00B92949">
        <w:rPr>
          <w:noProof/>
        </w:rPr>
        <w:t xml:space="preserve">) </w:t>
      </w:r>
      <w:r w:rsidRPr="008B13A5">
        <w:rPr>
          <w:noProof/>
        </w:rPr>
        <w:t>(some reports give even higher values of 15 m</w:t>
      </w:r>
      <w:r w:rsidRPr="008B13A5">
        <w:rPr>
          <w:noProof/>
          <w:vertAlign w:val="superscript"/>
        </w:rPr>
        <w:t xml:space="preserve">3 </w:t>
      </w:r>
      <w:r w:rsidRPr="008B13A5">
        <w:rPr>
          <w:noProof/>
        </w:rPr>
        <w:t>per 12-inch wafer</w:t>
      </w:r>
      <w:r w:rsidR="002B0400">
        <w:rPr>
          <w:noProof/>
        </w:rPr>
        <w:t xml:space="preserve"> (</w:t>
      </w:r>
      <w:r w:rsidRPr="008B13A5">
        <w:rPr>
          <w:noProof/>
          <w:vertAlign w:val="superscript"/>
        </w:rPr>
        <w:footnoteReference w:id="327"/>
      </w:r>
      <w:r w:rsidRPr="008B13A5">
        <w:rPr>
          <w:noProof/>
        </w:rPr>
        <w:t>), which accounts for around 138 Mio m</w:t>
      </w:r>
      <w:r w:rsidRPr="008B13A5">
        <w:rPr>
          <w:noProof/>
          <w:vertAlign w:val="superscript"/>
        </w:rPr>
        <w:t xml:space="preserve">3 </w:t>
      </w:r>
      <w:r w:rsidRPr="008B13A5">
        <w:rPr>
          <w:noProof/>
        </w:rPr>
        <w:t>water used per year during semiconductor manufacturing, assuming 12.8 Mio wafer capacity in the EU.</w:t>
      </w:r>
    </w:p>
    <w:p w14:paraId="5BC4F988" w14:textId="3C175E8D" w:rsidR="00EC49AF" w:rsidRPr="008B13A5" w:rsidDel="00994F82" w:rsidRDefault="00EC49AF" w:rsidP="00EC49AF">
      <w:pPr>
        <w:rPr>
          <w:b/>
          <w:bCs/>
          <w:noProof/>
          <w:lang w:eastAsia="en-GB"/>
        </w:rPr>
      </w:pPr>
      <w:r w:rsidRPr="008B13A5">
        <w:rPr>
          <w:b/>
          <w:bCs/>
          <w:noProof/>
          <w:lang w:eastAsia="en-GB"/>
        </w:rPr>
        <w:t xml:space="preserve">Waste </w:t>
      </w:r>
    </w:p>
    <w:p w14:paraId="2EA5BC3C" w14:textId="48112AC4" w:rsidR="00EC49AF" w:rsidRPr="008B13A5" w:rsidRDefault="00EC49AF" w:rsidP="00EC49AF">
      <w:pPr>
        <w:rPr>
          <w:noProof/>
        </w:rPr>
      </w:pPr>
      <w:r w:rsidRPr="008B13A5">
        <w:rPr>
          <w:noProof/>
        </w:rPr>
        <w:t>Apart from GHG emissions and various volatile organic compounds that are released into the atmosphere, front-end manufacturing generates chemical waste, solid waste, wastewater, slurries and abrasives and packaging waste. In the last eight years, the amount of waste generated in the semiconductor industry has nearly doubled</w:t>
      </w:r>
      <w:r w:rsidR="002B0400">
        <w:rPr>
          <w:noProof/>
        </w:rPr>
        <w:t>.</w:t>
      </w:r>
      <w:r w:rsidR="00F274DD" w:rsidRPr="008B13A5">
        <w:rPr>
          <w:noProof/>
        </w:rPr>
        <w:t xml:space="preserve"> </w:t>
      </w:r>
      <w:r w:rsidRPr="008B13A5">
        <w:rPr>
          <w:noProof/>
        </w:rPr>
        <w:t>(</w:t>
      </w:r>
      <w:r w:rsidRPr="008B13A5">
        <w:rPr>
          <w:noProof/>
          <w:vertAlign w:val="superscript"/>
        </w:rPr>
        <w:footnoteReference w:id="328"/>
      </w:r>
      <w:r w:rsidRPr="008B13A5">
        <w:rPr>
          <w:noProof/>
        </w:rPr>
        <w:t>)</w:t>
      </w:r>
    </w:p>
    <w:p w14:paraId="27331DDE" w14:textId="3AD8201B" w:rsidR="00EC49AF" w:rsidRPr="008B13A5" w:rsidDel="00994F82" w:rsidRDefault="00EC49AF" w:rsidP="00EC49AF">
      <w:pPr>
        <w:rPr>
          <w:noProof/>
        </w:rPr>
      </w:pPr>
      <w:r w:rsidRPr="008B13A5">
        <w:rPr>
          <w:noProof/>
        </w:rPr>
        <w:t>Regarding the environmental impact, it is important to differentiate between general or non-hazardous waste and hazardous waste.</w:t>
      </w:r>
      <w:r w:rsidR="00F274DD" w:rsidRPr="008B13A5">
        <w:rPr>
          <w:noProof/>
        </w:rPr>
        <w:t xml:space="preserve"> </w:t>
      </w:r>
      <w:r w:rsidRPr="008B13A5">
        <w:rPr>
          <w:noProof/>
        </w:rPr>
        <w:t>(</w:t>
      </w:r>
      <w:r w:rsidRPr="008B13A5">
        <w:rPr>
          <w:noProof/>
          <w:vertAlign w:val="superscript"/>
        </w:rPr>
        <w:footnoteReference w:id="329"/>
      </w:r>
      <w:r w:rsidRPr="008B13A5">
        <w:rPr>
          <w:noProof/>
        </w:rPr>
        <w:t>) For most semiconductor manufacturers, the ratio between hazardous and non-hazardous waste is 40%–60%. (</w:t>
      </w:r>
      <w:r w:rsidRPr="008B13A5">
        <w:rPr>
          <w:noProof/>
          <w:vertAlign w:val="superscript"/>
        </w:rPr>
        <w:footnoteReference w:id="330"/>
      </w:r>
      <w:r w:rsidRPr="008B13A5">
        <w:rPr>
          <w:noProof/>
        </w:rPr>
        <w:t>)</w:t>
      </w:r>
      <w:r w:rsidR="002B0400">
        <w:rPr>
          <w:noProof/>
        </w:rPr>
        <w:t xml:space="preserve"> </w:t>
      </w:r>
      <w:r w:rsidRPr="008B13A5">
        <w:rPr>
          <w:noProof/>
        </w:rPr>
        <w:t>Unused or spent chemicals, such as those that can be categorised as PFAS, often contain waste acids, waste solvents, waste copper sulphate, heavy metals, etc., which end up in either chemical waste or wastewater. (</w:t>
      </w:r>
      <w:r w:rsidRPr="008B13A5">
        <w:rPr>
          <w:noProof/>
          <w:vertAlign w:val="superscript"/>
        </w:rPr>
        <w:footnoteReference w:id="331"/>
      </w:r>
      <w:r w:rsidRPr="008B13A5">
        <w:rPr>
          <w:noProof/>
        </w:rPr>
        <w:t>) If not treated properly, they pose a high risk to environmental and human health. The same applies to waste slurries, which consist of solid and potentially abrasive and hazardous particles suspended in water from chemical mechanical polishing (CMP) processes.</w:t>
      </w:r>
      <w:r w:rsidR="00F274DD" w:rsidRPr="008B13A5">
        <w:rPr>
          <w:noProof/>
        </w:rPr>
        <w:t xml:space="preserve"> </w:t>
      </w:r>
      <w:r w:rsidRPr="008B13A5">
        <w:rPr>
          <w:noProof/>
        </w:rPr>
        <w:t>(</w:t>
      </w:r>
      <w:r w:rsidRPr="008B13A5">
        <w:rPr>
          <w:noProof/>
          <w:vertAlign w:val="superscript"/>
        </w:rPr>
        <w:footnoteReference w:id="332"/>
      </w:r>
      <w:r w:rsidRPr="008B13A5">
        <w:rPr>
          <w:noProof/>
        </w:rPr>
        <w:t>)</w:t>
      </w:r>
    </w:p>
    <w:p w14:paraId="6F0D9FD8" w14:textId="0032E13E" w:rsidR="00EC49AF" w:rsidRPr="008B13A5" w:rsidDel="00994F82" w:rsidRDefault="00EC49AF" w:rsidP="00EC49AF">
      <w:pPr>
        <w:rPr>
          <w:noProof/>
          <w:lang w:eastAsia="en-GB"/>
        </w:rPr>
      </w:pPr>
      <w:r w:rsidRPr="008B13A5">
        <w:rPr>
          <w:noProof/>
        </w:rPr>
        <w:t>Front-end manufacturers have put in place waste classification and separation, as well as safe treatment practices to comply with regulations and increase the share of recyclable waste. Within the last decade, most manufacturers have achieved high external recycling rates and very low rates of disposal to landfill. A low share of hazardous waste needs to be treated by specially authorised companies. On average, around 70% of all hazardous and non-hazardous wastes can be recycled for reuse in other industries.</w:t>
      </w:r>
      <w:r w:rsidR="00F274DD" w:rsidRPr="008B13A5">
        <w:rPr>
          <w:noProof/>
        </w:rPr>
        <w:t xml:space="preserve"> </w:t>
      </w:r>
      <w:r w:rsidRPr="008B13A5">
        <w:rPr>
          <w:noProof/>
        </w:rPr>
        <w:t>(</w:t>
      </w:r>
      <w:r w:rsidRPr="008B13A5">
        <w:rPr>
          <w:noProof/>
          <w:vertAlign w:val="superscript"/>
        </w:rPr>
        <w:footnoteReference w:id="333"/>
      </w:r>
      <w:r w:rsidRPr="008B13A5">
        <w:rPr>
          <w:noProof/>
        </w:rPr>
        <w:t>)</w:t>
      </w:r>
      <w:r w:rsidRPr="008B13A5">
        <w:rPr>
          <w:noProof/>
          <w:vertAlign w:val="superscript"/>
        </w:rPr>
        <w:t xml:space="preserve"> </w:t>
      </w:r>
      <w:r w:rsidRPr="008B13A5">
        <w:rPr>
          <w:noProof/>
        </w:rPr>
        <w:t>It is much more difficult to recycle waste to be reused within the front-end manufacturing process itself. The share of preparation for reuse in a fab varies significantly and is mostly applied to chemical reuse from hazardous waste. A recent example is the invention of neon gas recycling technology, which can reduce emissions in the production and usage of neon gas, as well as in waste treatment.</w:t>
      </w:r>
      <w:r w:rsidR="00F274DD" w:rsidRPr="008B13A5">
        <w:rPr>
          <w:noProof/>
        </w:rPr>
        <w:t xml:space="preserve"> </w:t>
      </w:r>
      <w:r w:rsidRPr="008B13A5">
        <w:rPr>
          <w:noProof/>
        </w:rPr>
        <w:t>(</w:t>
      </w:r>
      <w:r w:rsidRPr="008B13A5">
        <w:rPr>
          <w:noProof/>
          <w:vertAlign w:val="superscript"/>
        </w:rPr>
        <w:footnoteReference w:id="334"/>
      </w:r>
      <w:r w:rsidRPr="008B13A5">
        <w:rPr>
          <w:noProof/>
        </w:rPr>
        <w:t>) Additionally, waste is burnt with recovery for energy; only 1%–5% of waste is sent to landfill.</w:t>
      </w:r>
      <w:r w:rsidR="00F274DD" w:rsidRPr="008B13A5">
        <w:rPr>
          <w:noProof/>
        </w:rPr>
        <w:t xml:space="preserve"> </w:t>
      </w:r>
      <w:r w:rsidRPr="008B13A5">
        <w:rPr>
          <w:noProof/>
        </w:rPr>
        <w:t>(</w:t>
      </w:r>
      <w:r w:rsidRPr="008B13A5">
        <w:rPr>
          <w:noProof/>
          <w:vertAlign w:val="superscript"/>
        </w:rPr>
        <w:footnoteReference w:id="335"/>
      </w:r>
      <w:r w:rsidRPr="008B13A5">
        <w:rPr>
          <w:noProof/>
        </w:rPr>
        <w:t>)</w:t>
      </w:r>
    </w:p>
    <w:p w14:paraId="78BA0545" w14:textId="6D684742" w:rsidR="00EC49AF" w:rsidRPr="008B13A5" w:rsidRDefault="00EC49AF" w:rsidP="00F47256">
      <w:pPr>
        <w:pStyle w:val="Heading3"/>
        <w:rPr>
          <w:noProof/>
          <w:szCs w:val="22"/>
        </w:rPr>
      </w:pPr>
      <w:bookmarkStart w:id="347" w:name="_Toc217395642"/>
      <w:bookmarkStart w:id="348" w:name="_Toc217396491"/>
      <w:bookmarkStart w:id="349" w:name="_Toc803461536"/>
      <w:bookmarkStart w:id="350" w:name="_Toc223620653"/>
      <w:bookmarkStart w:id="351" w:name="_Toc230010475"/>
      <w:r w:rsidRPr="008B13A5">
        <w:rPr>
          <w:noProof/>
          <w:szCs w:val="22"/>
        </w:rPr>
        <w:t>Modelling for different scenario</w:t>
      </w:r>
      <w:bookmarkEnd w:id="347"/>
      <w:bookmarkEnd w:id="348"/>
      <w:bookmarkEnd w:id="349"/>
      <w:r w:rsidRPr="008B13A5">
        <w:rPr>
          <w:noProof/>
          <w:szCs w:val="22"/>
        </w:rPr>
        <w:t>s</w:t>
      </w:r>
      <w:bookmarkEnd w:id="350"/>
      <w:bookmarkEnd w:id="351"/>
    </w:p>
    <w:p w14:paraId="1369262C" w14:textId="45EAB747" w:rsidR="00EC49AF" w:rsidRPr="008B13A5" w:rsidRDefault="00EC49AF" w:rsidP="00EC49AF">
      <w:pPr>
        <w:rPr>
          <w:b/>
          <w:bCs/>
          <w:noProof/>
          <w:szCs w:val="22"/>
        </w:rPr>
      </w:pPr>
      <w:r w:rsidRPr="008B13A5">
        <w:rPr>
          <w:b/>
          <w:bCs/>
          <w:noProof/>
          <w:szCs w:val="22"/>
        </w:rPr>
        <w:t>Developments expected under BAU to 2035</w:t>
      </w:r>
    </w:p>
    <w:p w14:paraId="43EA346F" w14:textId="00DA29CF" w:rsidR="00EC49AF" w:rsidRPr="008B13A5" w:rsidRDefault="00EC49AF" w:rsidP="00EC49AF">
      <w:pPr>
        <w:rPr>
          <w:noProof/>
          <w:szCs w:val="22"/>
        </w:rPr>
      </w:pPr>
      <w:r w:rsidRPr="008B13A5">
        <w:rPr>
          <w:b/>
          <w:bCs/>
          <w:noProof/>
          <w:szCs w:val="22"/>
        </w:rPr>
        <w:t>Energy consumption</w:t>
      </w:r>
      <w:r w:rsidRPr="008B13A5">
        <w:rPr>
          <w:noProof/>
          <w:szCs w:val="22"/>
        </w:rPr>
        <w:t xml:space="preserve">: Under BAU, the total energy demand of Europe’s semiconductor industry increases substantially as announced fabs in Germany, France, Ireland, and Italy become operational. Despite continued grid decarbonisation and growing uptake of power purchase agreements (PPAs) and on-site renewables, absolute electricity use more than doubles by 2035. Energy intensity per wafer will most likely grow due to the transition to more advanced lithography equipment, growing overall complexity in manufacturing processes and increased use of abatement equipment. </w:t>
      </w:r>
    </w:p>
    <w:p w14:paraId="0AEA66FC" w14:textId="298D965A" w:rsidR="00EC49AF" w:rsidRPr="008B13A5" w:rsidRDefault="00EC49AF" w:rsidP="00EC49AF">
      <w:pPr>
        <w:rPr>
          <w:noProof/>
          <w:szCs w:val="22"/>
        </w:rPr>
      </w:pPr>
      <w:r w:rsidRPr="008B13A5">
        <w:rPr>
          <w:b/>
          <w:bCs/>
          <w:noProof/>
          <w:szCs w:val="22"/>
        </w:rPr>
        <w:t>Water use and waste treatment</w:t>
      </w:r>
      <w:r w:rsidRPr="008B13A5">
        <w:rPr>
          <w:noProof/>
          <w:szCs w:val="22"/>
        </w:rPr>
        <w:t>: Water stress becomes an increasing constraint on site selection, particularly in regions with limited freshwater availability such as Saxony and southern France</w:t>
      </w:r>
      <w:r w:rsidR="002B0400">
        <w:rPr>
          <w:noProof/>
          <w:szCs w:val="22"/>
        </w:rPr>
        <w:t>.</w:t>
      </w:r>
      <w:r w:rsidR="00F274DD" w:rsidRPr="008B13A5">
        <w:rPr>
          <w:noProof/>
          <w:szCs w:val="22"/>
        </w:rPr>
        <w:t xml:space="preserve"> </w:t>
      </w:r>
      <w:r w:rsidRPr="008B13A5">
        <w:rPr>
          <w:noProof/>
          <w:szCs w:val="22"/>
        </w:rPr>
        <w:t>(</w:t>
      </w:r>
      <w:r w:rsidRPr="008B13A5">
        <w:rPr>
          <w:rStyle w:val="FootnoteReference"/>
          <w:noProof/>
          <w:szCs w:val="22"/>
        </w:rPr>
        <w:footnoteReference w:id="336"/>
      </w:r>
      <w:r w:rsidRPr="008B13A5">
        <w:rPr>
          <w:noProof/>
          <w:szCs w:val="22"/>
        </w:rPr>
        <w:t>) Most new fabs incorporate water-recycling systems targeting 75–85 % reuse, yet total consumption still rises with industry expansion and growing complexity of manufacturing processes</w:t>
      </w:r>
      <w:r w:rsidR="002B0400">
        <w:rPr>
          <w:noProof/>
          <w:szCs w:val="22"/>
        </w:rPr>
        <w:t xml:space="preserve">. </w:t>
      </w:r>
      <w:r w:rsidRPr="008B13A5">
        <w:rPr>
          <w:noProof/>
          <w:szCs w:val="22"/>
        </w:rPr>
        <w:t>(</w:t>
      </w:r>
      <w:r w:rsidRPr="008B13A5">
        <w:rPr>
          <w:rStyle w:val="FootnoteReference"/>
          <w:noProof/>
          <w:szCs w:val="22"/>
        </w:rPr>
        <w:footnoteReference w:id="337"/>
      </w:r>
      <w:r w:rsidRPr="008B13A5">
        <w:rPr>
          <w:noProof/>
          <w:szCs w:val="22"/>
        </w:rPr>
        <w:t>)</w:t>
      </w:r>
      <w:r w:rsidRPr="005A31CE">
        <w:rPr>
          <w:noProof/>
          <w:szCs w:val="22"/>
        </w:rPr>
        <w:t>(</w:t>
      </w:r>
      <w:r w:rsidRPr="008B13A5">
        <w:rPr>
          <w:rStyle w:val="FootnoteReference"/>
          <w:noProof/>
          <w:szCs w:val="22"/>
          <w:lang w:eastAsia="en-GB"/>
        </w:rPr>
        <w:footnoteReference w:id="338"/>
      </w:r>
      <w:r w:rsidRPr="005A31CE">
        <w:rPr>
          <w:noProof/>
          <w:szCs w:val="22"/>
        </w:rPr>
        <w:t>)</w:t>
      </w:r>
      <w:r w:rsidRPr="008B13A5">
        <w:rPr>
          <w:noProof/>
          <w:szCs w:val="22"/>
        </w:rPr>
        <w:t xml:space="preserve"> Chemical-waste treatment and ultrapure-water systems continue to account for roughly 20–30 % of fab operating expenditure related to utilities</w:t>
      </w:r>
      <w:r w:rsidR="002B0400">
        <w:rPr>
          <w:noProof/>
          <w:szCs w:val="22"/>
        </w:rPr>
        <w:t>.</w:t>
      </w:r>
      <w:r w:rsidR="00F274DD" w:rsidRPr="008B13A5">
        <w:rPr>
          <w:noProof/>
          <w:szCs w:val="22"/>
        </w:rPr>
        <w:t xml:space="preserve"> </w:t>
      </w:r>
      <w:r w:rsidRPr="008B13A5">
        <w:rPr>
          <w:noProof/>
          <w:szCs w:val="22"/>
        </w:rPr>
        <w:t>(</w:t>
      </w:r>
      <w:r w:rsidRPr="008B13A5">
        <w:rPr>
          <w:rStyle w:val="FootnoteReference"/>
          <w:noProof/>
          <w:szCs w:val="22"/>
          <w:lang w:eastAsia="en-GB"/>
        </w:rPr>
        <w:footnoteReference w:id="339"/>
      </w:r>
      <w:r w:rsidRPr="008B13A5">
        <w:rPr>
          <w:noProof/>
          <w:szCs w:val="22"/>
        </w:rPr>
        <w:t>)</w:t>
      </w:r>
      <w:r w:rsidRPr="002B0400">
        <w:rPr>
          <w:noProof/>
          <w:szCs w:val="22"/>
        </w:rPr>
        <w:t>(</w:t>
      </w:r>
      <w:r w:rsidRPr="008B13A5">
        <w:rPr>
          <w:rStyle w:val="FootnoteReference"/>
          <w:noProof/>
          <w:szCs w:val="22"/>
        </w:rPr>
        <w:footnoteReference w:id="340"/>
      </w:r>
      <w:r w:rsidRPr="002B0400">
        <w:rPr>
          <w:noProof/>
          <w:szCs w:val="22"/>
        </w:rPr>
        <w:t>)</w:t>
      </w:r>
    </w:p>
    <w:p w14:paraId="5D7D9129" w14:textId="34BA9C96" w:rsidR="00EC49AF" w:rsidRPr="008B13A5" w:rsidRDefault="00EC49AF" w:rsidP="00EC49AF">
      <w:pPr>
        <w:rPr>
          <w:noProof/>
          <w:szCs w:val="22"/>
        </w:rPr>
      </w:pPr>
      <w:r w:rsidRPr="008B13A5">
        <w:rPr>
          <w:noProof/>
          <w:szCs w:val="22"/>
        </w:rPr>
        <w:t>With the estimated 20.28 Mio wpy produced in Europe in 2035, the water withdrawal will reach 218 Mio m</w:t>
      </w:r>
      <w:r w:rsidRPr="008B13A5">
        <w:rPr>
          <w:noProof/>
          <w:szCs w:val="22"/>
          <w:vertAlign w:val="superscript"/>
        </w:rPr>
        <w:t>3</w:t>
      </w:r>
      <w:r w:rsidRPr="008B13A5">
        <w:rPr>
          <w:noProof/>
          <w:szCs w:val="22"/>
        </w:rPr>
        <w:t>.</w:t>
      </w:r>
    </w:p>
    <w:p w14:paraId="3536B3E7" w14:textId="5DCD7BD7" w:rsidR="00EC49AF" w:rsidRPr="008B13A5" w:rsidRDefault="00EC49AF" w:rsidP="00EC49AF">
      <w:pPr>
        <w:rPr>
          <w:noProof/>
          <w:szCs w:val="22"/>
        </w:rPr>
      </w:pPr>
      <w:r w:rsidRPr="008B13A5">
        <w:rPr>
          <w:b/>
          <w:bCs/>
          <w:noProof/>
          <w:szCs w:val="22"/>
        </w:rPr>
        <w:t>Land use and spatial footprint</w:t>
      </w:r>
      <w:r w:rsidRPr="008B13A5">
        <w:rPr>
          <w:noProof/>
          <w:szCs w:val="22"/>
        </w:rPr>
        <w:t>: Land requirements expand through new industrial parks and fab extensions, but EU planning and permitting rules constrain excessive sprawl</w:t>
      </w:r>
      <w:r w:rsidR="002B0400">
        <w:rPr>
          <w:noProof/>
          <w:szCs w:val="22"/>
        </w:rPr>
        <w:t>.</w:t>
      </w:r>
      <w:r w:rsidR="00F274DD" w:rsidRPr="008B13A5">
        <w:rPr>
          <w:noProof/>
          <w:szCs w:val="22"/>
        </w:rPr>
        <w:t xml:space="preserve"> </w:t>
      </w:r>
      <w:r w:rsidRPr="008B13A5">
        <w:rPr>
          <w:noProof/>
          <w:szCs w:val="22"/>
        </w:rPr>
        <w:t>(</w:t>
      </w:r>
      <w:r w:rsidRPr="008B13A5">
        <w:rPr>
          <w:rStyle w:val="FootnoteReference"/>
          <w:noProof/>
          <w:szCs w:val="22"/>
        </w:rPr>
        <w:footnoteReference w:id="341"/>
      </w:r>
      <w:r w:rsidRPr="008B13A5">
        <w:rPr>
          <w:noProof/>
          <w:szCs w:val="22"/>
        </w:rPr>
        <w:t>)</w:t>
      </w:r>
      <w:r w:rsidR="002B0400">
        <w:rPr>
          <w:noProof/>
          <w:szCs w:val="22"/>
        </w:rPr>
        <w:t xml:space="preserve"> </w:t>
      </w:r>
      <w:r w:rsidRPr="008B13A5">
        <w:rPr>
          <w:noProof/>
          <w:szCs w:val="22"/>
        </w:rPr>
        <w:t>Environmental impact assessments (EIAs) and biodiversity-offset obligations remain stringent, while approval timelines continue to be long due to the environmental sensitivity of large-scale semiconductor sites</w:t>
      </w:r>
      <w:r w:rsidR="002B0400">
        <w:rPr>
          <w:noProof/>
          <w:szCs w:val="22"/>
        </w:rPr>
        <w:t xml:space="preserve">. </w:t>
      </w:r>
      <w:r w:rsidRPr="008B13A5">
        <w:rPr>
          <w:noProof/>
          <w:szCs w:val="22"/>
        </w:rPr>
        <w:t>(</w:t>
      </w:r>
      <w:r w:rsidRPr="008B13A5">
        <w:rPr>
          <w:rStyle w:val="FootnoteReference"/>
          <w:noProof/>
          <w:szCs w:val="22"/>
        </w:rPr>
        <w:footnoteReference w:id="342"/>
      </w:r>
      <w:r w:rsidRPr="008B13A5">
        <w:rPr>
          <w:noProof/>
          <w:szCs w:val="22"/>
        </w:rPr>
        <w:t>)</w:t>
      </w:r>
    </w:p>
    <w:p w14:paraId="0EA06EE0" w14:textId="3863DBB5" w:rsidR="00EC49AF" w:rsidRPr="008B13A5" w:rsidRDefault="00EC49AF" w:rsidP="00EC49AF">
      <w:pPr>
        <w:rPr>
          <w:noProof/>
          <w:szCs w:val="22"/>
        </w:rPr>
      </w:pPr>
      <w:r w:rsidRPr="008B13A5">
        <w:rPr>
          <w:b/>
          <w:bCs/>
          <w:noProof/>
          <w:szCs w:val="22"/>
        </w:rPr>
        <w:t>Emissions</w:t>
      </w:r>
      <w:r w:rsidRPr="008B13A5">
        <w:rPr>
          <w:noProof/>
          <w:szCs w:val="22"/>
        </w:rPr>
        <w:t xml:space="preserve">: </w:t>
      </w:r>
    </w:p>
    <w:p w14:paraId="3BCA4591" w14:textId="0F60BFC9" w:rsidR="00EC49AF" w:rsidRPr="008B13A5" w:rsidRDefault="00EC49AF" w:rsidP="00EC49AF">
      <w:pPr>
        <w:spacing w:after="160" w:line="257" w:lineRule="auto"/>
        <w:rPr>
          <w:noProof/>
        </w:rPr>
      </w:pPr>
      <w:r w:rsidRPr="008B13A5">
        <w:rPr>
          <w:noProof/>
        </w:rPr>
        <w:t xml:space="preserve">Under BAU, EU front-end manufacturing capacity grows, from 1.07 million wpm in 2023 to around 1.48 million wpm by 2030 and 1.56–1.82 million wpm by 2035, maintaining a stable 8–9% of global capacity share. Taking the average of this range, under BAU the EU’s front-end manufacturing capacity in 2035 will reach 1.69 Mio wpm, which is 20.28 Mio wpy (as estimated in </w:t>
      </w:r>
      <w:r w:rsidR="00341A4F">
        <w:rPr>
          <w:noProof/>
        </w:rPr>
        <w:t>Annex 4, Section</w:t>
      </w:r>
      <w:r w:rsidRPr="008B13A5">
        <w:rPr>
          <w:noProof/>
        </w:rPr>
        <w:t xml:space="preserve"> 1</w:t>
      </w:r>
      <w:r w:rsidR="00341A4F">
        <w:rPr>
          <w:noProof/>
        </w:rPr>
        <w:t>.2</w:t>
      </w:r>
      <w:r w:rsidRPr="008B13A5">
        <w:rPr>
          <w:noProof/>
        </w:rPr>
        <w:t xml:space="preserve">). Therefore, based on the scope 1 and 2 emissions reported for the Global Foundries (GF) fab in Dresden in 2023, and extrapolating to European wafer production capacity, the total Europe’s scope 1 and 2 emissions from front-end manufacturing in 2035 can be estimated. </w:t>
      </w:r>
    </w:p>
    <w:tbl>
      <w:tblPr>
        <w:tblStyle w:val="TableGrid"/>
        <w:tblW w:w="0" w:type="auto"/>
        <w:tblLook w:val="04A0" w:firstRow="1" w:lastRow="0" w:firstColumn="1" w:lastColumn="0" w:noHBand="0" w:noVBand="1"/>
      </w:tblPr>
      <w:tblGrid>
        <w:gridCol w:w="6978"/>
        <w:gridCol w:w="2308"/>
      </w:tblGrid>
      <w:tr w:rsidR="00EC49AF" w:rsidRPr="008B13A5" w14:paraId="10697EDB" w14:textId="77777777">
        <w:tc>
          <w:tcPr>
            <w:tcW w:w="7225" w:type="dxa"/>
          </w:tcPr>
          <w:p w14:paraId="59DB9C5F" w14:textId="38C4CBAF" w:rsidR="00EC49AF" w:rsidRPr="008B13A5" w:rsidRDefault="00EC49AF">
            <w:pPr>
              <w:spacing w:after="160" w:line="257" w:lineRule="auto"/>
              <w:rPr>
                <w:noProof/>
                <w:szCs w:val="22"/>
              </w:rPr>
            </w:pPr>
            <w:r w:rsidRPr="008B13A5">
              <w:rPr>
                <w:noProof/>
                <w:szCs w:val="22"/>
              </w:rPr>
              <w:t>Estimated average capacity in 2035</w:t>
            </w:r>
            <w:r w:rsidR="004A71CE">
              <w:rPr>
                <w:noProof/>
                <w:szCs w:val="22"/>
              </w:rPr>
              <w:t xml:space="preserve"> /</w:t>
            </w:r>
            <w:r w:rsidRPr="008B13A5">
              <w:rPr>
                <w:noProof/>
                <w:szCs w:val="22"/>
              </w:rPr>
              <w:t xml:space="preserve"> wpy</w:t>
            </w:r>
          </w:p>
        </w:tc>
        <w:tc>
          <w:tcPr>
            <w:tcW w:w="2377" w:type="dxa"/>
          </w:tcPr>
          <w:p w14:paraId="590ADA67" w14:textId="1469D4BC" w:rsidR="00EC49AF" w:rsidRPr="008B13A5" w:rsidRDefault="00EC49AF">
            <w:pPr>
              <w:spacing w:after="160" w:line="257" w:lineRule="auto"/>
              <w:rPr>
                <w:noProof/>
              </w:rPr>
            </w:pPr>
            <w:r w:rsidRPr="008B13A5">
              <w:rPr>
                <w:rFonts w:eastAsia="Aptos"/>
                <w:noProof/>
              </w:rPr>
              <w:t>≈</w:t>
            </w:r>
            <w:r w:rsidRPr="008B13A5">
              <w:rPr>
                <w:noProof/>
              </w:rPr>
              <w:t xml:space="preserve">  20.28 Mio</w:t>
            </w:r>
          </w:p>
        </w:tc>
      </w:tr>
      <w:tr w:rsidR="00EC49AF" w:rsidRPr="008B13A5" w14:paraId="5E3D3D9F" w14:textId="77777777">
        <w:tc>
          <w:tcPr>
            <w:tcW w:w="7225" w:type="dxa"/>
          </w:tcPr>
          <w:p w14:paraId="3A345E71" w14:textId="54CA0490" w:rsidR="00EC49AF" w:rsidRPr="008B13A5" w:rsidRDefault="00EC49AF">
            <w:pPr>
              <w:spacing w:after="160" w:line="257" w:lineRule="auto"/>
              <w:rPr>
                <w:noProof/>
                <w:szCs w:val="22"/>
              </w:rPr>
            </w:pPr>
            <w:r w:rsidRPr="008B13A5">
              <w:rPr>
                <w:noProof/>
                <w:szCs w:val="22"/>
              </w:rPr>
              <w:t>Estimated total scope 1 emissions in 2035 under BAU</w:t>
            </w:r>
            <w:r w:rsidR="00C26DE7">
              <w:rPr>
                <w:noProof/>
                <w:szCs w:val="22"/>
              </w:rPr>
              <w:t xml:space="preserve"> </w:t>
            </w:r>
            <w:r w:rsidRPr="008B13A5">
              <w:rPr>
                <w:noProof/>
                <w:szCs w:val="22"/>
              </w:rPr>
              <w:t>/ tCO2e</w:t>
            </w:r>
          </w:p>
        </w:tc>
        <w:tc>
          <w:tcPr>
            <w:tcW w:w="2377" w:type="dxa"/>
          </w:tcPr>
          <w:p w14:paraId="0617E873" w14:textId="7563C165" w:rsidR="00EC49AF" w:rsidRPr="008B13A5" w:rsidRDefault="00EC49AF">
            <w:pPr>
              <w:spacing w:after="160" w:line="257" w:lineRule="auto"/>
              <w:rPr>
                <w:noProof/>
                <w:szCs w:val="22"/>
              </w:rPr>
            </w:pPr>
            <w:r w:rsidRPr="008B13A5">
              <w:rPr>
                <w:rFonts w:eastAsia="Aptos"/>
                <w:noProof/>
                <w:szCs w:val="22"/>
              </w:rPr>
              <w:t>≈</w:t>
            </w:r>
            <w:r w:rsidRPr="008B13A5" w:rsidDel="00F957A9">
              <w:rPr>
                <w:noProof/>
              </w:rPr>
              <w:t xml:space="preserve"> </w:t>
            </w:r>
            <w:r w:rsidRPr="008B13A5">
              <w:rPr>
                <w:noProof/>
              </w:rPr>
              <w:t xml:space="preserve"> 1 297 920</w:t>
            </w:r>
          </w:p>
        </w:tc>
      </w:tr>
      <w:tr w:rsidR="00EC49AF" w:rsidRPr="008B13A5" w14:paraId="2F73B942" w14:textId="77777777">
        <w:tc>
          <w:tcPr>
            <w:tcW w:w="7225" w:type="dxa"/>
          </w:tcPr>
          <w:p w14:paraId="6E71DF4A" w14:textId="1FE8450D" w:rsidR="00EC49AF" w:rsidRPr="008B13A5" w:rsidRDefault="00EC49AF">
            <w:pPr>
              <w:spacing w:after="160" w:line="257" w:lineRule="auto"/>
              <w:rPr>
                <w:noProof/>
                <w:szCs w:val="22"/>
              </w:rPr>
            </w:pPr>
            <w:r w:rsidRPr="008B13A5">
              <w:rPr>
                <w:noProof/>
                <w:szCs w:val="22"/>
              </w:rPr>
              <w:t>Estimated total scope 2 (location-based) emissions</w:t>
            </w:r>
            <w:r w:rsidRPr="008B13A5">
              <w:rPr>
                <w:rFonts w:eastAsia="Aptos"/>
                <w:noProof/>
                <w:szCs w:val="22"/>
              </w:rPr>
              <w:t xml:space="preserve"> in 2035 under BAU</w:t>
            </w:r>
            <w:r w:rsidR="00C26DE7">
              <w:rPr>
                <w:rFonts w:eastAsia="Aptos"/>
                <w:noProof/>
                <w:szCs w:val="22"/>
              </w:rPr>
              <w:t xml:space="preserve"> </w:t>
            </w:r>
            <w:r w:rsidRPr="008B13A5">
              <w:rPr>
                <w:rFonts w:eastAsia="Aptos"/>
                <w:noProof/>
                <w:szCs w:val="22"/>
              </w:rPr>
              <w:t>/ tCO2e</w:t>
            </w:r>
          </w:p>
        </w:tc>
        <w:tc>
          <w:tcPr>
            <w:tcW w:w="2377" w:type="dxa"/>
          </w:tcPr>
          <w:p w14:paraId="2190149E" w14:textId="076835B0" w:rsidR="00EC49AF" w:rsidRPr="008B13A5" w:rsidRDefault="00EC49AF">
            <w:pPr>
              <w:spacing w:after="160" w:line="257" w:lineRule="auto"/>
              <w:rPr>
                <w:rFonts w:eastAsia="Aptos"/>
                <w:noProof/>
                <w:szCs w:val="22"/>
              </w:rPr>
            </w:pPr>
            <w:r w:rsidRPr="008B13A5">
              <w:rPr>
                <w:rFonts w:eastAsia="Aptos"/>
                <w:noProof/>
                <w:szCs w:val="22"/>
              </w:rPr>
              <w:t xml:space="preserve">≈ </w:t>
            </w:r>
            <w:r w:rsidRPr="008B13A5">
              <w:rPr>
                <w:rFonts w:eastAsia="Aptos"/>
                <w:noProof/>
              </w:rPr>
              <w:t xml:space="preserve"> </w:t>
            </w:r>
            <w:r w:rsidR="003776CE">
              <w:rPr>
                <w:rFonts w:eastAsia="Aptos"/>
                <w:noProof/>
              </w:rPr>
              <w:t>6 591 000</w:t>
            </w:r>
          </w:p>
        </w:tc>
      </w:tr>
      <w:tr w:rsidR="00EC49AF" w:rsidRPr="008B13A5" w14:paraId="01F3AB22" w14:textId="77777777">
        <w:tc>
          <w:tcPr>
            <w:tcW w:w="7225" w:type="dxa"/>
          </w:tcPr>
          <w:p w14:paraId="0596D3E0" w14:textId="0CD7FFA0" w:rsidR="00EC49AF" w:rsidRPr="008B13A5" w:rsidRDefault="00EC49AF">
            <w:pPr>
              <w:spacing w:after="160" w:line="257" w:lineRule="auto"/>
              <w:rPr>
                <w:noProof/>
                <w:szCs w:val="22"/>
              </w:rPr>
            </w:pPr>
            <w:r w:rsidRPr="008B13A5">
              <w:rPr>
                <w:noProof/>
                <w:szCs w:val="22"/>
              </w:rPr>
              <w:t>Estimated total scope 2 (market-based) emissions in 2035 under BAU</w:t>
            </w:r>
            <w:r w:rsidR="00C26DE7">
              <w:rPr>
                <w:noProof/>
                <w:szCs w:val="22"/>
              </w:rPr>
              <w:t xml:space="preserve"> </w:t>
            </w:r>
            <w:r w:rsidRPr="008B13A5">
              <w:rPr>
                <w:noProof/>
                <w:szCs w:val="22"/>
              </w:rPr>
              <w:t>/ tCO2e</w:t>
            </w:r>
          </w:p>
        </w:tc>
        <w:tc>
          <w:tcPr>
            <w:tcW w:w="2377" w:type="dxa"/>
          </w:tcPr>
          <w:p w14:paraId="064AE303" w14:textId="6E4637E3" w:rsidR="00EC49AF" w:rsidRPr="008B13A5" w:rsidRDefault="00EC49AF">
            <w:pPr>
              <w:spacing w:after="160" w:line="257" w:lineRule="auto"/>
              <w:rPr>
                <w:rFonts w:eastAsia="Aptos"/>
                <w:noProof/>
                <w:szCs w:val="22"/>
              </w:rPr>
            </w:pPr>
            <w:r w:rsidRPr="008B13A5">
              <w:rPr>
                <w:rFonts w:eastAsia="Aptos"/>
                <w:noProof/>
                <w:szCs w:val="22"/>
              </w:rPr>
              <w:t xml:space="preserve">≈ </w:t>
            </w:r>
            <w:r w:rsidRPr="008B13A5">
              <w:rPr>
                <w:rFonts w:eastAsia="Aptos"/>
                <w:noProof/>
              </w:rPr>
              <w:t xml:space="preserve"> 5 840 640</w:t>
            </w:r>
          </w:p>
        </w:tc>
      </w:tr>
      <w:tr w:rsidR="00EC49AF" w:rsidRPr="008B13A5" w14:paraId="32806336" w14:textId="77777777">
        <w:tc>
          <w:tcPr>
            <w:tcW w:w="7225" w:type="dxa"/>
          </w:tcPr>
          <w:p w14:paraId="7BF8DDF0" w14:textId="42118EB9" w:rsidR="00EC49AF" w:rsidRPr="008B13A5" w:rsidRDefault="00EC49AF">
            <w:pPr>
              <w:spacing w:after="160" w:line="257" w:lineRule="auto"/>
              <w:rPr>
                <w:noProof/>
                <w:szCs w:val="22"/>
              </w:rPr>
            </w:pPr>
            <w:r w:rsidRPr="00BD008E">
              <w:rPr>
                <w:noProof/>
                <w:szCs w:val="22"/>
              </w:rPr>
              <w:t xml:space="preserve">Estimated total scope 1 emissions </w:t>
            </w:r>
            <w:r w:rsidRPr="008B13A5">
              <w:rPr>
                <w:noProof/>
                <w:szCs w:val="22"/>
              </w:rPr>
              <w:t>in 2035 under BAU using imec.netzero model</w:t>
            </w:r>
            <w:r w:rsidR="00C26DE7">
              <w:rPr>
                <w:noProof/>
                <w:szCs w:val="22"/>
              </w:rPr>
              <w:t xml:space="preserve"> (</w:t>
            </w:r>
            <w:r w:rsidR="0055733C">
              <w:rPr>
                <w:rStyle w:val="FootnoteReference"/>
                <w:noProof/>
                <w:szCs w:val="22"/>
              </w:rPr>
              <w:footnoteReference w:id="343"/>
            </w:r>
            <w:r w:rsidR="00C26DE7" w:rsidRPr="00C26DE7">
              <w:rPr>
                <w:noProof/>
                <w:szCs w:val="22"/>
              </w:rPr>
              <w:t>)</w:t>
            </w:r>
            <w:r w:rsidR="0055733C">
              <w:rPr>
                <w:noProof/>
                <w:szCs w:val="22"/>
              </w:rPr>
              <w:t xml:space="preserve"> </w:t>
            </w:r>
            <w:r w:rsidRPr="00BD008E">
              <w:rPr>
                <w:noProof/>
                <w:szCs w:val="22"/>
              </w:rPr>
              <w:t>/ tCO2e</w:t>
            </w:r>
          </w:p>
        </w:tc>
        <w:tc>
          <w:tcPr>
            <w:tcW w:w="2377" w:type="dxa"/>
          </w:tcPr>
          <w:p w14:paraId="15672EF0" w14:textId="40BBB8E2" w:rsidR="00EC49AF" w:rsidRPr="008B13A5" w:rsidRDefault="00EC49AF">
            <w:pPr>
              <w:spacing w:after="160" w:line="257" w:lineRule="auto"/>
              <w:rPr>
                <w:rFonts w:eastAsia="Aptos"/>
                <w:noProof/>
                <w:szCs w:val="22"/>
              </w:rPr>
            </w:pPr>
            <w:r w:rsidRPr="008B13A5">
              <w:rPr>
                <w:rFonts w:eastAsia="Aptos"/>
                <w:noProof/>
                <w:szCs w:val="22"/>
              </w:rPr>
              <w:t>1 622 400</w:t>
            </w:r>
          </w:p>
        </w:tc>
      </w:tr>
      <w:tr w:rsidR="00EC49AF" w:rsidRPr="008B13A5" w14:paraId="327495D1" w14:textId="77777777">
        <w:tc>
          <w:tcPr>
            <w:tcW w:w="7225" w:type="dxa"/>
          </w:tcPr>
          <w:p w14:paraId="026AE709" w14:textId="7F5B86FE" w:rsidR="00EC49AF" w:rsidRPr="008B13A5" w:rsidRDefault="00EC49AF">
            <w:pPr>
              <w:spacing w:after="160" w:line="257" w:lineRule="auto"/>
              <w:rPr>
                <w:noProof/>
                <w:szCs w:val="22"/>
              </w:rPr>
            </w:pPr>
            <w:r w:rsidRPr="008B13A5">
              <w:rPr>
                <w:noProof/>
                <w:szCs w:val="22"/>
              </w:rPr>
              <w:t>Estimated total scope 2 emissions in 2035 under BAU using imec.netzero model</w:t>
            </w:r>
            <w:r w:rsidR="00C26DE7">
              <w:rPr>
                <w:noProof/>
                <w:szCs w:val="22"/>
              </w:rPr>
              <w:t xml:space="preserve"> (</w:t>
            </w:r>
            <w:r w:rsidR="0055733C">
              <w:rPr>
                <w:rStyle w:val="FootnoteReference"/>
                <w:noProof/>
                <w:szCs w:val="22"/>
              </w:rPr>
              <w:footnoteReference w:id="344"/>
            </w:r>
            <w:r w:rsidR="00C26DE7" w:rsidRPr="00C26DE7">
              <w:rPr>
                <w:noProof/>
                <w:szCs w:val="22"/>
              </w:rPr>
              <w:t>)</w:t>
            </w:r>
            <w:r w:rsidRPr="008B13A5">
              <w:rPr>
                <w:noProof/>
                <w:szCs w:val="22"/>
              </w:rPr>
              <w:t xml:space="preserve"> / tCO2e</w:t>
            </w:r>
          </w:p>
        </w:tc>
        <w:tc>
          <w:tcPr>
            <w:tcW w:w="2377" w:type="dxa"/>
          </w:tcPr>
          <w:p w14:paraId="5A2E04A2" w14:textId="20263B0F" w:rsidR="00EC49AF" w:rsidRPr="008B13A5" w:rsidRDefault="00EC49AF">
            <w:pPr>
              <w:spacing w:after="160" w:line="257" w:lineRule="auto"/>
              <w:rPr>
                <w:rFonts w:eastAsia="Aptos"/>
                <w:noProof/>
                <w:szCs w:val="22"/>
              </w:rPr>
            </w:pPr>
            <w:r w:rsidRPr="008B13A5">
              <w:rPr>
                <w:rFonts w:eastAsia="Aptos"/>
                <w:noProof/>
                <w:szCs w:val="22"/>
              </w:rPr>
              <w:t>8 517 600</w:t>
            </w:r>
          </w:p>
        </w:tc>
      </w:tr>
      <w:tr w:rsidR="00EC49AF" w:rsidRPr="008B13A5" w14:paraId="306B1A89" w14:textId="77777777">
        <w:tc>
          <w:tcPr>
            <w:tcW w:w="7225" w:type="dxa"/>
          </w:tcPr>
          <w:p w14:paraId="3DA45109" w14:textId="213D2718" w:rsidR="00EC49AF" w:rsidRPr="008B13A5" w:rsidRDefault="00EC49AF">
            <w:pPr>
              <w:spacing w:after="160" w:line="257" w:lineRule="auto"/>
              <w:rPr>
                <w:noProof/>
                <w:szCs w:val="22"/>
              </w:rPr>
            </w:pPr>
            <w:r w:rsidRPr="008B13A5">
              <w:rPr>
                <w:noProof/>
                <w:szCs w:val="22"/>
              </w:rPr>
              <w:t>Estimated total scope 3 emissions in 2035 under BAU using imec.netzero model</w:t>
            </w:r>
            <w:r w:rsidR="00C26DE7">
              <w:rPr>
                <w:noProof/>
                <w:szCs w:val="22"/>
              </w:rPr>
              <w:t xml:space="preserve"> (</w:t>
            </w:r>
            <w:r w:rsidR="0055733C">
              <w:rPr>
                <w:rStyle w:val="FootnoteReference"/>
                <w:noProof/>
                <w:szCs w:val="22"/>
              </w:rPr>
              <w:footnoteReference w:id="345"/>
            </w:r>
            <w:r w:rsidR="00C26DE7" w:rsidRPr="00C26DE7">
              <w:rPr>
                <w:noProof/>
                <w:szCs w:val="22"/>
              </w:rPr>
              <w:t>)</w:t>
            </w:r>
            <w:r w:rsidR="0055733C">
              <w:rPr>
                <w:noProof/>
                <w:szCs w:val="22"/>
              </w:rPr>
              <w:t xml:space="preserve"> </w:t>
            </w:r>
            <w:r w:rsidRPr="008B13A5">
              <w:rPr>
                <w:noProof/>
                <w:szCs w:val="22"/>
              </w:rPr>
              <w:t>/ tCO2e</w:t>
            </w:r>
          </w:p>
        </w:tc>
        <w:tc>
          <w:tcPr>
            <w:tcW w:w="2377" w:type="dxa"/>
          </w:tcPr>
          <w:p w14:paraId="63C5A580" w14:textId="0DD0B9E9" w:rsidR="00EC49AF" w:rsidRPr="008B13A5" w:rsidRDefault="00EC49AF">
            <w:pPr>
              <w:spacing w:after="160" w:line="257" w:lineRule="auto"/>
              <w:rPr>
                <w:rFonts w:eastAsia="Aptos"/>
                <w:noProof/>
                <w:szCs w:val="22"/>
              </w:rPr>
            </w:pPr>
            <w:r w:rsidRPr="008B13A5">
              <w:rPr>
                <w:rFonts w:eastAsia="Aptos"/>
                <w:noProof/>
                <w:szCs w:val="22"/>
              </w:rPr>
              <w:t>5 475 600</w:t>
            </w:r>
          </w:p>
        </w:tc>
      </w:tr>
    </w:tbl>
    <w:p w14:paraId="17E5B6FD" w14:textId="2FC2F061" w:rsidR="00EC49AF" w:rsidRPr="008B13A5" w:rsidRDefault="00EC49AF" w:rsidP="00EC49AF">
      <w:pPr>
        <w:spacing w:after="160" w:line="257" w:lineRule="auto"/>
        <w:rPr>
          <w:noProof/>
          <w:szCs w:val="22"/>
        </w:rPr>
      </w:pPr>
      <w:r w:rsidRPr="008B13A5">
        <w:rPr>
          <w:noProof/>
          <w:szCs w:val="22"/>
        </w:rPr>
        <w:t>Emissions from fluorinated gases (e.g. perfluorocarbons [PFCs], SF₆) decline slightly owing to substitution and abatement technologies, supported by international efforts under the Kyoto-Protocol gases framework</w:t>
      </w:r>
      <w:r w:rsidR="00C26DE7">
        <w:rPr>
          <w:noProof/>
          <w:szCs w:val="22"/>
        </w:rPr>
        <w:t xml:space="preserve">. </w:t>
      </w:r>
      <w:r w:rsidRPr="008B13A5">
        <w:rPr>
          <w:noProof/>
          <w:szCs w:val="22"/>
        </w:rPr>
        <w:t>(</w:t>
      </w:r>
      <w:r w:rsidRPr="008B13A5">
        <w:rPr>
          <w:rStyle w:val="FootnoteReference"/>
          <w:noProof/>
          <w:szCs w:val="22"/>
          <w:lang w:eastAsia="en-GB"/>
        </w:rPr>
        <w:footnoteReference w:id="346"/>
      </w:r>
      <w:r w:rsidRPr="008B13A5">
        <w:rPr>
          <w:noProof/>
          <w:szCs w:val="22"/>
        </w:rPr>
        <w:t>)</w:t>
      </w:r>
      <w:r w:rsidR="00C26DE7">
        <w:rPr>
          <w:noProof/>
          <w:szCs w:val="22"/>
        </w:rPr>
        <w:t xml:space="preserve"> </w:t>
      </w:r>
      <w:r w:rsidRPr="008B13A5">
        <w:rPr>
          <w:noProof/>
          <w:szCs w:val="22"/>
        </w:rPr>
        <w:t>Nevertheless, indirect emissions from electricity consumption dominate the sector’s carbon balance until full grid decarbonisation is achieved</w:t>
      </w:r>
      <w:r w:rsidR="00C26DE7">
        <w:rPr>
          <w:noProof/>
          <w:szCs w:val="22"/>
        </w:rPr>
        <w:t xml:space="preserve">. </w:t>
      </w:r>
      <w:r w:rsidRPr="008B13A5">
        <w:rPr>
          <w:noProof/>
          <w:szCs w:val="22"/>
        </w:rPr>
        <w:t>(</w:t>
      </w:r>
      <w:r w:rsidRPr="008B13A5">
        <w:rPr>
          <w:rStyle w:val="FootnoteReference"/>
          <w:noProof/>
          <w:szCs w:val="22"/>
          <w:lang w:eastAsia="en-GB"/>
        </w:rPr>
        <w:footnoteReference w:id="347"/>
      </w:r>
      <w:r w:rsidRPr="008B13A5">
        <w:rPr>
          <w:noProof/>
          <w:szCs w:val="22"/>
        </w:rPr>
        <w:t>)</w:t>
      </w:r>
      <w:r w:rsidRPr="005A31CE">
        <w:rPr>
          <w:noProof/>
          <w:szCs w:val="22"/>
        </w:rPr>
        <w:t>(</w:t>
      </w:r>
      <w:r w:rsidRPr="008B13A5">
        <w:rPr>
          <w:rStyle w:val="FootnoteReference"/>
          <w:noProof/>
          <w:szCs w:val="22"/>
          <w:lang w:eastAsia="en-GB"/>
        </w:rPr>
        <w:footnoteReference w:id="348"/>
      </w:r>
      <w:r w:rsidRPr="005A31CE">
        <w:rPr>
          <w:noProof/>
          <w:szCs w:val="22"/>
        </w:rPr>
        <w:t>)</w:t>
      </w:r>
      <w:r w:rsidR="00C26DE7">
        <w:rPr>
          <w:noProof/>
          <w:szCs w:val="22"/>
        </w:rPr>
        <w:t xml:space="preserve"> </w:t>
      </w:r>
      <w:r w:rsidRPr="008B13A5">
        <w:rPr>
          <w:noProof/>
          <w:szCs w:val="22"/>
        </w:rPr>
        <w:t>By 2035, Europe’s fab-related emissions intensity is expected to fall by roughly 20–25 %, but total emissions still rise in line with overall capacity growth</w:t>
      </w:r>
      <w:r w:rsidR="00C26DE7">
        <w:rPr>
          <w:noProof/>
          <w:szCs w:val="22"/>
        </w:rPr>
        <w:t xml:space="preserve">. </w:t>
      </w:r>
      <w:r w:rsidRPr="008B13A5">
        <w:rPr>
          <w:noProof/>
          <w:szCs w:val="22"/>
        </w:rPr>
        <w:t>(</w:t>
      </w:r>
      <w:r w:rsidRPr="008B13A5">
        <w:rPr>
          <w:rStyle w:val="FootnoteReference"/>
          <w:noProof/>
          <w:szCs w:val="22"/>
        </w:rPr>
        <w:footnoteReference w:id="349"/>
      </w:r>
      <w:r w:rsidRPr="008B13A5">
        <w:rPr>
          <w:noProof/>
          <w:szCs w:val="22"/>
        </w:rPr>
        <w:t>)</w:t>
      </w:r>
      <w:r w:rsidRPr="005A31CE">
        <w:rPr>
          <w:noProof/>
          <w:szCs w:val="22"/>
        </w:rPr>
        <w:t>(</w:t>
      </w:r>
      <w:r w:rsidRPr="008B13A5">
        <w:rPr>
          <w:rStyle w:val="FootnoteReference"/>
          <w:noProof/>
          <w:szCs w:val="22"/>
          <w:lang w:eastAsia="en-GB"/>
        </w:rPr>
        <w:footnoteReference w:id="350"/>
      </w:r>
      <w:r w:rsidRPr="005A31CE">
        <w:rPr>
          <w:noProof/>
          <w:szCs w:val="22"/>
        </w:rPr>
        <w:t>)</w:t>
      </w:r>
    </w:p>
    <w:p w14:paraId="62A9CABF" w14:textId="4675A8AF" w:rsidR="00EC49AF" w:rsidRPr="008B13A5" w:rsidRDefault="00EC49AF" w:rsidP="00EC49AF">
      <w:pPr>
        <w:rPr>
          <w:b/>
          <w:bCs/>
          <w:noProof/>
          <w:szCs w:val="22"/>
        </w:rPr>
      </w:pPr>
      <w:r w:rsidRPr="008B13A5">
        <w:rPr>
          <w:b/>
          <w:bCs/>
          <w:noProof/>
          <w:szCs w:val="22"/>
        </w:rPr>
        <w:t xml:space="preserve">Rationale </w:t>
      </w:r>
    </w:p>
    <w:p w14:paraId="26D3DC20" w14:textId="641A1EBC" w:rsidR="00EC49AF" w:rsidRPr="008B13A5" w:rsidRDefault="00EC49AF" w:rsidP="00EC49AF">
      <w:pPr>
        <w:rPr>
          <w:noProof/>
          <w:szCs w:val="22"/>
        </w:rPr>
      </w:pPr>
      <w:r w:rsidRPr="008B13A5">
        <w:rPr>
          <w:noProof/>
          <w:szCs w:val="22"/>
        </w:rPr>
        <w:t>Environmental performance improves gradually under BAU thanks to incremental technology gains, stricter EU environmental standards, and a cleaner electricity mix</w:t>
      </w:r>
      <w:r w:rsidR="00C26DE7">
        <w:rPr>
          <w:noProof/>
          <w:szCs w:val="22"/>
        </w:rPr>
        <w:t>.</w:t>
      </w:r>
      <w:r w:rsidR="00F274DD" w:rsidRPr="008B13A5">
        <w:rPr>
          <w:noProof/>
          <w:szCs w:val="22"/>
        </w:rPr>
        <w:t xml:space="preserve"> </w:t>
      </w:r>
      <w:r w:rsidRPr="008B13A5">
        <w:rPr>
          <w:noProof/>
          <w:szCs w:val="22"/>
        </w:rPr>
        <w:t>(</w:t>
      </w:r>
      <w:r w:rsidRPr="008B13A5">
        <w:rPr>
          <w:rStyle w:val="FootnoteReference"/>
          <w:noProof/>
          <w:szCs w:val="22"/>
        </w:rPr>
        <w:footnoteReference w:id="351"/>
      </w:r>
      <w:r w:rsidRPr="008B13A5">
        <w:rPr>
          <w:noProof/>
          <w:szCs w:val="22"/>
        </w:rPr>
        <w:t>)</w:t>
      </w:r>
      <w:r w:rsidRPr="005A31CE">
        <w:rPr>
          <w:noProof/>
          <w:szCs w:val="22"/>
        </w:rPr>
        <w:t>(</w:t>
      </w:r>
      <w:r w:rsidRPr="008B13A5">
        <w:rPr>
          <w:rStyle w:val="FootnoteReference"/>
          <w:noProof/>
          <w:szCs w:val="22"/>
          <w:lang w:eastAsia="en-GB"/>
        </w:rPr>
        <w:footnoteReference w:id="352"/>
      </w:r>
      <w:r w:rsidRPr="005A31CE">
        <w:rPr>
          <w:noProof/>
          <w:szCs w:val="22"/>
        </w:rPr>
        <w:t>)</w:t>
      </w:r>
      <w:r w:rsidRPr="008B13A5">
        <w:rPr>
          <w:noProof/>
          <w:szCs w:val="22"/>
        </w:rPr>
        <w:t xml:space="preserve"> European fabs benefit from ongoing grid decarbonisation, adoption of power purchase agreements (PPAs), and diffusion of energy- and water-efficiency technologies such as heat recovery and closed-loop recycling</w:t>
      </w:r>
      <w:r w:rsidR="00C26DE7">
        <w:rPr>
          <w:noProof/>
          <w:szCs w:val="22"/>
        </w:rPr>
        <w:t>.</w:t>
      </w:r>
      <w:r w:rsidR="00F274DD" w:rsidRPr="008B13A5">
        <w:rPr>
          <w:noProof/>
          <w:szCs w:val="22"/>
        </w:rPr>
        <w:t xml:space="preserve"> </w:t>
      </w:r>
      <w:r w:rsidRPr="008B13A5">
        <w:rPr>
          <w:noProof/>
          <w:szCs w:val="22"/>
        </w:rPr>
        <w:t>(</w:t>
      </w:r>
      <w:r w:rsidRPr="008B13A5">
        <w:rPr>
          <w:rStyle w:val="FootnoteReference"/>
          <w:noProof/>
          <w:szCs w:val="22"/>
          <w:lang w:eastAsia="en-GB"/>
        </w:rPr>
        <w:footnoteReference w:id="353"/>
      </w:r>
      <w:r w:rsidRPr="008B13A5">
        <w:rPr>
          <w:noProof/>
          <w:szCs w:val="22"/>
        </w:rPr>
        <w:t>)</w:t>
      </w:r>
      <w:r w:rsidRPr="005A31CE">
        <w:rPr>
          <w:noProof/>
          <w:szCs w:val="22"/>
        </w:rPr>
        <w:t>(</w:t>
      </w:r>
      <w:r w:rsidRPr="008B13A5">
        <w:rPr>
          <w:rStyle w:val="FootnoteReference"/>
          <w:noProof/>
          <w:szCs w:val="22"/>
          <w:lang w:eastAsia="en-GB"/>
        </w:rPr>
        <w:footnoteReference w:id="354"/>
      </w:r>
      <w:r w:rsidRPr="005A31CE">
        <w:rPr>
          <w:noProof/>
          <w:szCs w:val="22"/>
        </w:rPr>
        <w:t>)</w:t>
      </w:r>
    </w:p>
    <w:p w14:paraId="28B09031" w14:textId="1B92AD02" w:rsidR="00EC49AF" w:rsidRPr="008B13A5" w:rsidRDefault="00EC49AF" w:rsidP="00EC49AF">
      <w:pPr>
        <w:rPr>
          <w:noProof/>
          <w:szCs w:val="22"/>
        </w:rPr>
      </w:pPr>
      <w:r w:rsidRPr="008B13A5">
        <w:rPr>
          <w:noProof/>
          <w:szCs w:val="22"/>
        </w:rPr>
        <w:t>However, structural factors such as high capital intensity, dependence on specialty chemicals, and the 24/7 operational nature of fabs limit the scope for deep decarbonisation without major technological or process breakthroughs</w:t>
      </w:r>
      <w:r w:rsidR="00C26DE7">
        <w:rPr>
          <w:noProof/>
          <w:szCs w:val="22"/>
        </w:rPr>
        <w:t>.</w:t>
      </w:r>
      <w:r w:rsidR="00F274DD" w:rsidRPr="008B13A5">
        <w:rPr>
          <w:noProof/>
          <w:szCs w:val="22"/>
        </w:rPr>
        <w:t xml:space="preserve"> </w:t>
      </w:r>
      <w:r w:rsidRPr="008B13A5">
        <w:rPr>
          <w:noProof/>
          <w:szCs w:val="22"/>
        </w:rPr>
        <w:t>(</w:t>
      </w:r>
      <w:r w:rsidRPr="008B13A5">
        <w:rPr>
          <w:rStyle w:val="FootnoteReference"/>
          <w:noProof/>
          <w:szCs w:val="22"/>
          <w:lang w:eastAsia="en-GB"/>
        </w:rPr>
        <w:footnoteReference w:id="355"/>
      </w:r>
      <w:r w:rsidRPr="008B13A5">
        <w:rPr>
          <w:noProof/>
          <w:szCs w:val="22"/>
        </w:rPr>
        <w:t>)</w:t>
      </w:r>
      <w:r w:rsidRPr="005A31CE">
        <w:rPr>
          <w:noProof/>
          <w:szCs w:val="22"/>
        </w:rPr>
        <w:t>(</w:t>
      </w:r>
      <w:r w:rsidRPr="008B13A5">
        <w:rPr>
          <w:rStyle w:val="FootnoteReference"/>
          <w:noProof/>
          <w:szCs w:val="22"/>
          <w:lang w:eastAsia="en-GB"/>
        </w:rPr>
        <w:footnoteReference w:id="356"/>
      </w:r>
      <w:r w:rsidRPr="005A31CE">
        <w:rPr>
          <w:noProof/>
          <w:szCs w:val="22"/>
        </w:rPr>
        <w:t>)(</w:t>
      </w:r>
      <w:r w:rsidRPr="008B13A5">
        <w:rPr>
          <w:rStyle w:val="FootnoteReference"/>
          <w:noProof/>
          <w:szCs w:val="22"/>
        </w:rPr>
        <w:footnoteReference w:id="357"/>
      </w:r>
      <w:r w:rsidRPr="005A31CE">
        <w:rPr>
          <w:noProof/>
          <w:szCs w:val="22"/>
        </w:rPr>
        <w:t>)</w:t>
      </w:r>
    </w:p>
    <w:p w14:paraId="1898761B" w14:textId="77777777" w:rsidR="00EC49AF" w:rsidRPr="008B13A5" w:rsidRDefault="00EC49AF" w:rsidP="00EC49AF">
      <w:pPr>
        <w:rPr>
          <w:b/>
          <w:bCs/>
          <w:noProof/>
          <w:szCs w:val="22"/>
        </w:rPr>
      </w:pPr>
      <w:r w:rsidRPr="008B13A5">
        <w:rPr>
          <w:b/>
          <w:bCs/>
          <w:noProof/>
          <w:szCs w:val="22"/>
        </w:rPr>
        <w:t>Implications</w:t>
      </w:r>
    </w:p>
    <w:p w14:paraId="2BF7962B" w14:textId="761EAA7A" w:rsidR="00EC49AF" w:rsidRPr="008B13A5" w:rsidDel="00B20EB0" w:rsidRDefault="00EC49AF" w:rsidP="00EC49AF">
      <w:pPr>
        <w:rPr>
          <w:noProof/>
          <w:szCs w:val="22"/>
        </w:rPr>
      </w:pPr>
      <w:r w:rsidRPr="008B13A5">
        <w:rPr>
          <w:noProof/>
          <w:szCs w:val="22"/>
        </w:rPr>
        <w:t>Under BAU conditions, Europe’s semiconductor expansion increases the industry’s absolute environmental footprint despite moderate efficiency gains</w:t>
      </w:r>
      <w:r w:rsidR="00981A20">
        <w:rPr>
          <w:noProof/>
          <w:szCs w:val="22"/>
        </w:rPr>
        <w:t>.</w:t>
      </w:r>
      <w:r w:rsidR="00F274DD" w:rsidRPr="008B13A5">
        <w:rPr>
          <w:noProof/>
          <w:szCs w:val="22"/>
        </w:rPr>
        <w:t xml:space="preserve"> </w:t>
      </w:r>
      <w:r w:rsidRPr="008B13A5">
        <w:rPr>
          <w:noProof/>
          <w:szCs w:val="22"/>
        </w:rPr>
        <w:t>(</w:t>
      </w:r>
      <w:r w:rsidRPr="008B13A5">
        <w:rPr>
          <w:rStyle w:val="FootnoteReference"/>
          <w:noProof/>
          <w:szCs w:val="22"/>
        </w:rPr>
        <w:footnoteReference w:id="358"/>
      </w:r>
      <w:r w:rsidRPr="008B13A5">
        <w:rPr>
          <w:noProof/>
          <w:szCs w:val="22"/>
        </w:rPr>
        <w:t>)</w:t>
      </w:r>
      <w:r w:rsidRPr="005A31CE">
        <w:rPr>
          <w:noProof/>
          <w:szCs w:val="22"/>
        </w:rPr>
        <w:t>(</w:t>
      </w:r>
      <w:r w:rsidRPr="008B13A5">
        <w:rPr>
          <w:rStyle w:val="FootnoteReference"/>
          <w:noProof/>
          <w:szCs w:val="22"/>
          <w:lang w:eastAsia="en-GB"/>
        </w:rPr>
        <w:footnoteReference w:id="359"/>
      </w:r>
      <w:r w:rsidRPr="005A31CE">
        <w:rPr>
          <w:noProof/>
          <w:szCs w:val="22"/>
        </w:rPr>
        <w:t>)</w:t>
      </w:r>
      <w:r w:rsidR="00981A20">
        <w:rPr>
          <w:noProof/>
          <w:szCs w:val="22"/>
        </w:rPr>
        <w:t xml:space="preserve"> </w:t>
      </w:r>
      <w:r w:rsidRPr="008B13A5">
        <w:rPr>
          <w:noProof/>
          <w:szCs w:val="22"/>
        </w:rPr>
        <w:t>SMEs in supply chain segments particularly in materials, chemicals, and component processing face higher compliance costs as environmental reporting and permitting become more stringent under EU legislation such as the Industrial Emissions Directive and CSRD, while large fabs are better positioned to absorb these through scale and dedicated compliance teams</w:t>
      </w:r>
      <w:r w:rsidR="00981A20">
        <w:rPr>
          <w:noProof/>
          <w:szCs w:val="22"/>
        </w:rPr>
        <w:t>.</w:t>
      </w:r>
      <w:r w:rsidR="00F274DD" w:rsidRPr="008B13A5">
        <w:rPr>
          <w:noProof/>
          <w:szCs w:val="22"/>
        </w:rPr>
        <w:t xml:space="preserve"> </w:t>
      </w:r>
      <w:r w:rsidRPr="008B13A5">
        <w:rPr>
          <w:noProof/>
          <w:szCs w:val="22"/>
        </w:rPr>
        <w:t>(</w:t>
      </w:r>
      <w:r w:rsidRPr="008B13A5">
        <w:rPr>
          <w:rStyle w:val="FootnoteReference"/>
          <w:noProof/>
          <w:szCs w:val="22"/>
        </w:rPr>
        <w:footnoteReference w:id="360"/>
      </w:r>
      <w:r w:rsidRPr="008B13A5">
        <w:rPr>
          <w:noProof/>
          <w:szCs w:val="22"/>
        </w:rPr>
        <w:t>)</w:t>
      </w:r>
      <w:r w:rsidRPr="005A31CE">
        <w:rPr>
          <w:noProof/>
          <w:szCs w:val="22"/>
        </w:rPr>
        <w:t>(</w:t>
      </w:r>
      <w:r w:rsidRPr="008B13A5">
        <w:rPr>
          <w:rStyle w:val="FootnoteReference"/>
          <w:noProof/>
          <w:szCs w:val="22"/>
        </w:rPr>
        <w:footnoteReference w:id="361"/>
      </w:r>
      <w:r w:rsidRPr="005A31CE">
        <w:rPr>
          <w:noProof/>
          <w:szCs w:val="22"/>
        </w:rPr>
        <w:t>)</w:t>
      </w:r>
      <w:r w:rsidR="00981A20">
        <w:rPr>
          <w:noProof/>
          <w:szCs w:val="22"/>
        </w:rPr>
        <w:t xml:space="preserve"> </w:t>
      </w:r>
      <w:r w:rsidRPr="008B13A5">
        <w:rPr>
          <w:noProof/>
          <w:szCs w:val="22"/>
        </w:rPr>
        <w:t>Water and energy efficiency technologies, including closed-loop recycling, waste-heat recovery, and renewable PPAs, become standard features of new facilities by the early 2030s</w:t>
      </w:r>
      <w:r w:rsidR="00981A20">
        <w:rPr>
          <w:noProof/>
          <w:szCs w:val="22"/>
        </w:rPr>
        <w:t>,</w:t>
      </w:r>
      <w:r w:rsidR="00F274DD" w:rsidRPr="008B13A5">
        <w:rPr>
          <w:noProof/>
          <w:szCs w:val="22"/>
        </w:rPr>
        <w:t xml:space="preserve"> </w:t>
      </w:r>
      <w:r w:rsidRPr="008B13A5">
        <w:rPr>
          <w:noProof/>
          <w:szCs w:val="22"/>
        </w:rPr>
        <w:t>(</w:t>
      </w:r>
      <w:r w:rsidRPr="008B13A5">
        <w:rPr>
          <w:rStyle w:val="FootnoteReference"/>
          <w:noProof/>
          <w:szCs w:val="22"/>
          <w:lang w:eastAsia="en-GB"/>
        </w:rPr>
        <w:footnoteReference w:id="362"/>
      </w:r>
      <w:r w:rsidRPr="008B13A5">
        <w:rPr>
          <w:noProof/>
          <w:szCs w:val="22"/>
        </w:rPr>
        <w:t>)</w:t>
      </w:r>
      <w:r w:rsidRPr="005A31CE">
        <w:rPr>
          <w:noProof/>
          <w:szCs w:val="22"/>
        </w:rPr>
        <w:t>(</w:t>
      </w:r>
      <w:r w:rsidRPr="008B13A5">
        <w:rPr>
          <w:rStyle w:val="FootnoteReference"/>
          <w:noProof/>
          <w:szCs w:val="22"/>
        </w:rPr>
        <w:footnoteReference w:id="363"/>
      </w:r>
      <w:r w:rsidRPr="005A31CE">
        <w:rPr>
          <w:noProof/>
          <w:szCs w:val="22"/>
        </w:rPr>
        <w:t>)</w:t>
      </w:r>
      <w:r w:rsidRPr="008B13A5">
        <w:rPr>
          <w:noProof/>
          <w:szCs w:val="22"/>
        </w:rPr>
        <w:t xml:space="preserve"> but their diffusion across smaller suppliers remains uneven. In comparison to other manufacturing regions internationally, Europe has positioned itself as the frontier manufacturing hub when it comes to more sustainable solutions not only due to the availability of renewable energy but also due to its excellent research and development strengths in the supplier markets (equipment &amp; chemicals) as well as in chip production. </w:t>
      </w:r>
    </w:p>
    <w:p w14:paraId="5448B77A" w14:textId="484F7826" w:rsidR="00EC49AF" w:rsidRPr="008B13A5" w:rsidDel="00B20EB0" w:rsidRDefault="00EC49AF" w:rsidP="00F47256">
      <w:pPr>
        <w:pStyle w:val="Heading3"/>
        <w:rPr>
          <w:b/>
          <w:bCs/>
          <w:noProof/>
          <w:szCs w:val="22"/>
        </w:rPr>
      </w:pPr>
      <w:bookmarkStart w:id="352" w:name="_Toc223620654"/>
      <w:bookmarkStart w:id="353" w:name="_Toc230010476"/>
      <w:r w:rsidRPr="008B13A5">
        <w:rPr>
          <w:noProof/>
        </w:rPr>
        <w:t>Developments expected under Policy Option 1</w:t>
      </w:r>
      <w:bookmarkEnd w:id="352"/>
      <w:bookmarkEnd w:id="353"/>
    </w:p>
    <w:p w14:paraId="04B3A495" w14:textId="05B7BDCA" w:rsidR="00EC49AF" w:rsidRPr="008B13A5" w:rsidRDefault="00EC49AF" w:rsidP="00EC49AF">
      <w:pPr>
        <w:rPr>
          <w:noProof/>
          <w:szCs w:val="22"/>
        </w:rPr>
      </w:pPr>
      <w:r w:rsidRPr="008B13A5">
        <w:rPr>
          <w:noProof/>
          <w:szCs w:val="22"/>
        </w:rPr>
        <w:t>It was assumed that, under Policy Option 1 (PO1), more favourable policy frameworks would lead to a growth rate of 4% from 2030 onwards. This would lead to the capacity of 20.3 Mio wafer per year, which in turn would account to between 1.3 – 1.6 MtCO2 in scope 1 emissions and 6.6 – 8.526 MtCO2 in scope 2 emissions (location-based).</w:t>
      </w:r>
      <w:r w:rsidR="00F274DD" w:rsidRPr="008B13A5">
        <w:rPr>
          <w:noProof/>
          <w:szCs w:val="22"/>
        </w:rPr>
        <w:t xml:space="preserve"> </w:t>
      </w:r>
      <w:r w:rsidRPr="008B13A5">
        <w:rPr>
          <w:noProof/>
          <w:szCs w:val="22"/>
        </w:rPr>
        <w:t>Estimated EU’s total scope 1 and 2 emissions (location-based) of PO1 were calculated based on scope 1 and 2 emissions reported for the Global Foundries (GF) fab in Dresden in 2023 and imec.netzero</w:t>
      </w:r>
      <w:r w:rsidR="005A31CE">
        <w:rPr>
          <w:noProof/>
          <w:szCs w:val="22"/>
          <w:vertAlign w:val="superscript"/>
        </w:rPr>
        <w:t xml:space="preserve"> </w:t>
      </w:r>
      <w:r w:rsidRPr="008B13A5">
        <w:rPr>
          <w:noProof/>
          <w:szCs w:val="22"/>
        </w:rPr>
        <w:t>model.</w:t>
      </w:r>
      <w:r w:rsidR="008F0A3C">
        <w:rPr>
          <w:noProof/>
          <w:szCs w:val="22"/>
        </w:rPr>
        <w:t xml:space="preserve"> (</w:t>
      </w:r>
      <w:r w:rsidR="008F0A3C">
        <w:rPr>
          <w:rStyle w:val="FootnoteReference"/>
          <w:noProof/>
          <w:szCs w:val="22"/>
        </w:rPr>
        <w:footnoteReference w:id="364"/>
      </w:r>
      <w:r w:rsidR="008F0A3C">
        <w:rPr>
          <w:noProof/>
          <w:szCs w:val="22"/>
        </w:rPr>
        <w:t>)(</w:t>
      </w:r>
      <w:r w:rsidR="008F0A3C">
        <w:rPr>
          <w:rStyle w:val="FootnoteReference"/>
          <w:noProof/>
          <w:szCs w:val="22"/>
        </w:rPr>
        <w:footnoteReference w:id="365"/>
      </w:r>
      <w:r w:rsidR="008F0A3C">
        <w:rPr>
          <w:noProof/>
          <w:szCs w:val="22"/>
        </w:rPr>
        <w:t>)</w:t>
      </w:r>
    </w:p>
    <w:p w14:paraId="7ABD92C3" w14:textId="75DF54E2" w:rsidR="00EC49AF" w:rsidRPr="008B13A5" w:rsidDel="00B20EB0" w:rsidRDefault="00EC49AF" w:rsidP="00F47256">
      <w:pPr>
        <w:pStyle w:val="Heading3"/>
        <w:rPr>
          <w:b/>
          <w:bCs/>
          <w:noProof/>
          <w:szCs w:val="22"/>
        </w:rPr>
      </w:pPr>
      <w:bookmarkStart w:id="354" w:name="_Toc223620655"/>
      <w:bookmarkStart w:id="355" w:name="_Toc230010477"/>
      <w:r w:rsidRPr="008B13A5">
        <w:rPr>
          <w:noProof/>
        </w:rPr>
        <w:t>Developments expected under Policy Option 2</w:t>
      </w:r>
      <w:bookmarkEnd w:id="354"/>
      <w:bookmarkEnd w:id="355"/>
    </w:p>
    <w:p w14:paraId="55B42A3D" w14:textId="6DAF478F" w:rsidR="00EC49AF" w:rsidRPr="008B13A5" w:rsidDel="00B20EB0" w:rsidRDefault="00EC49AF" w:rsidP="00EC49AF">
      <w:pPr>
        <w:rPr>
          <w:noProof/>
          <w:szCs w:val="22"/>
        </w:rPr>
      </w:pPr>
      <w:r w:rsidRPr="008B13A5">
        <w:rPr>
          <w:noProof/>
          <w:szCs w:val="22"/>
        </w:rPr>
        <w:t>Under Policy Option 2, two scenarios were envisaged:</w:t>
      </w:r>
    </w:p>
    <w:p w14:paraId="7BC55979" w14:textId="264F6FB5" w:rsidR="00EC49AF" w:rsidRPr="008B13A5" w:rsidRDefault="00EC49AF" w:rsidP="00F47256">
      <w:pPr>
        <w:pStyle w:val="ListParagraph"/>
        <w:numPr>
          <w:ilvl w:val="0"/>
          <w:numId w:val="51"/>
        </w:numPr>
        <w:spacing w:after="120"/>
        <w:rPr>
          <w:noProof/>
        </w:rPr>
      </w:pPr>
      <w:r w:rsidRPr="008B13A5">
        <w:rPr>
          <w:noProof/>
        </w:rPr>
        <w:t xml:space="preserve">Scenario 1 - in which new investments broadly replicate the current European wafer mix and technology profile; </w:t>
      </w:r>
    </w:p>
    <w:p w14:paraId="5D0665B3" w14:textId="2EFEB5EB" w:rsidR="00EC49AF" w:rsidRPr="008B13A5" w:rsidRDefault="00EC49AF" w:rsidP="00F47256">
      <w:pPr>
        <w:pStyle w:val="ListParagraph"/>
        <w:numPr>
          <w:ilvl w:val="0"/>
          <w:numId w:val="51"/>
        </w:numPr>
        <w:spacing w:after="120"/>
        <w:rPr>
          <w:noProof/>
        </w:rPr>
      </w:pPr>
      <w:r w:rsidRPr="008B13A5">
        <w:rPr>
          <w:noProof/>
        </w:rPr>
        <w:t xml:space="preserve">Scenario 2 - in which part of the investment is redirected towards a cutting-edge logic fab, with the remainder following the current European mix. </w:t>
      </w:r>
    </w:p>
    <w:p w14:paraId="7646A3D4" w14:textId="0AA67F67" w:rsidR="00F57D6B" w:rsidRPr="001B785B" w:rsidRDefault="00EC49AF" w:rsidP="00EC49AF">
      <w:pPr>
        <w:rPr>
          <w:noProof/>
          <w:szCs w:val="22"/>
        </w:rPr>
      </w:pPr>
      <w:r w:rsidRPr="008B13A5">
        <w:rPr>
          <w:noProof/>
          <w:szCs w:val="22"/>
        </w:rPr>
        <w:t>The estimation of additional scope 1 and 2 emissions resulting from future investments for scenario 1 was based on emissions from Global Foundries fab in Dresden in 2023 and taking into consideration the expansion of the current European wafer mix as presented in</w:t>
      </w:r>
      <w:r w:rsidRPr="008B13A5">
        <w:rPr>
          <w:b/>
          <w:noProof/>
          <w:szCs w:val="22"/>
        </w:rPr>
        <w:t xml:space="preserve"> </w:t>
      </w:r>
      <w:r w:rsidRPr="008B13A5">
        <w:rPr>
          <w:noProof/>
          <w:szCs w:val="22"/>
        </w:rPr>
        <w:t xml:space="preserve">Annex </w:t>
      </w:r>
      <w:r w:rsidR="00BF4E3D">
        <w:rPr>
          <w:noProof/>
          <w:szCs w:val="22"/>
        </w:rPr>
        <w:t>4</w:t>
      </w:r>
      <w:r w:rsidRPr="008B13A5">
        <w:rPr>
          <w:noProof/>
          <w:szCs w:val="22"/>
        </w:rPr>
        <w:t>,</w:t>
      </w:r>
      <w:r w:rsidRPr="008B13A5">
        <w:rPr>
          <w:b/>
          <w:noProof/>
          <w:szCs w:val="22"/>
        </w:rPr>
        <w:t xml:space="preserve"> </w:t>
      </w:r>
      <w:r w:rsidRPr="008B13A5">
        <w:rPr>
          <w:noProof/>
          <w:szCs w:val="22"/>
        </w:rPr>
        <w:t>section 1.</w:t>
      </w:r>
      <w:r w:rsidR="006609B0">
        <w:rPr>
          <w:noProof/>
          <w:szCs w:val="22"/>
        </w:rPr>
        <w:t>2</w:t>
      </w:r>
      <w:r w:rsidR="001B785B">
        <w:rPr>
          <w:noProof/>
          <w:szCs w:val="22"/>
        </w:rPr>
        <w:t>.</w:t>
      </w:r>
    </w:p>
    <w:p w14:paraId="7C67C047" w14:textId="7125DC0C" w:rsidR="00EC49AF" w:rsidRPr="008B13A5" w:rsidRDefault="00EC49AF" w:rsidP="00EC49AF">
      <w:pPr>
        <w:rPr>
          <w:b/>
          <w:i/>
          <w:noProof/>
          <w:szCs w:val="22"/>
        </w:rPr>
      </w:pPr>
      <w:r w:rsidRPr="008B13A5">
        <w:rPr>
          <w:b/>
          <w:i/>
          <w:noProof/>
          <w:szCs w:val="22"/>
        </w:rPr>
        <w:t>Scenario 1:</w:t>
      </w:r>
    </w:p>
    <w:tbl>
      <w:tblPr>
        <w:tblStyle w:val="TableGrid"/>
        <w:tblW w:w="0" w:type="auto"/>
        <w:tblLook w:val="04A0" w:firstRow="1" w:lastRow="0" w:firstColumn="1" w:lastColumn="0" w:noHBand="0" w:noVBand="1"/>
      </w:tblPr>
      <w:tblGrid>
        <w:gridCol w:w="7113"/>
        <w:gridCol w:w="2173"/>
      </w:tblGrid>
      <w:tr w:rsidR="00EC49AF" w:rsidRPr="008B13A5" w14:paraId="4AEA0B5F" w14:textId="77777777">
        <w:tc>
          <w:tcPr>
            <w:tcW w:w="7366" w:type="dxa"/>
          </w:tcPr>
          <w:p w14:paraId="33486BF0" w14:textId="10B6AC46" w:rsidR="00EC49AF" w:rsidRPr="008B13A5" w:rsidRDefault="00EC49AF">
            <w:pPr>
              <w:rPr>
                <w:noProof/>
                <w:szCs w:val="22"/>
              </w:rPr>
            </w:pPr>
            <w:r w:rsidRPr="008B13A5">
              <w:rPr>
                <w:noProof/>
                <w:szCs w:val="22"/>
              </w:rPr>
              <w:t>Total estimated capacity in 2035 in scenario 1/wpy</w:t>
            </w:r>
          </w:p>
        </w:tc>
        <w:tc>
          <w:tcPr>
            <w:tcW w:w="2236" w:type="dxa"/>
          </w:tcPr>
          <w:p w14:paraId="7C61B1AC" w14:textId="0292FE3D" w:rsidR="00EC49AF" w:rsidRPr="008B13A5" w:rsidRDefault="00EC49AF">
            <w:pPr>
              <w:rPr>
                <w:noProof/>
                <w:szCs w:val="22"/>
              </w:rPr>
            </w:pPr>
            <w:r w:rsidRPr="008B13A5">
              <w:rPr>
                <w:noProof/>
                <w:szCs w:val="22"/>
              </w:rPr>
              <w:t>≈ 22.0 Mio</w:t>
            </w:r>
          </w:p>
        </w:tc>
      </w:tr>
      <w:tr w:rsidR="00EC49AF" w:rsidRPr="008B13A5" w14:paraId="381A5788" w14:textId="77777777">
        <w:tc>
          <w:tcPr>
            <w:tcW w:w="7366" w:type="dxa"/>
          </w:tcPr>
          <w:p w14:paraId="0FC306F8" w14:textId="61DA7D73" w:rsidR="00EC49AF" w:rsidRPr="008B13A5" w:rsidRDefault="00EC49AF">
            <w:pPr>
              <w:rPr>
                <w:noProof/>
                <w:szCs w:val="22"/>
              </w:rPr>
            </w:pPr>
            <w:r w:rsidRPr="008B13A5">
              <w:rPr>
                <w:noProof/>
                <w:szCs w:val="22"/>
              </w:rPr>
              <w:t>Estimated total scope 1 emissions in 2035 in scenario 1/ tCO2e</w:t>
            </w:r>
          </w:p>
        </w:tc>
        <w:tc>
          <w:tcPr>
            <w:tcW w:w="2236" w:type="dxa"/>
          </w:tcPr>
          <w:p w14:paraId="47EF0833" w14:textId="2F2DD4D5" w:rsidR="00EC49AF" w:rsidRPr="008B13A5" w:rsidRDefault="00EC49AF">
            <w:pPr>
              <w:rPr>
                <w:noProof/>
                <w:szCs w:val="22"/>
              </w:rPr>
            </w:pPr>
            <w:r w:rsidRPr="008B13A5">
              <w:rPr>
                <w:noProof/>
                <w:szCs w:val="22"/>
              </w:rPr>
              <w:t xml:space="preserve">≈ 1 409 859 </w:t>
            </w:r>
          </w:p>
        </w:tc>
      </w:tr>
      <w:tr w:rsidR="00EC49AF" w:rsidRPr="008B13A5" w14:paraId="491EA34A" w14:textId="77777777">
        <w:trPr>
          <w:trHeight w:val="771"/>
        </w:trPr>
        <w:tc>
          <w:tcPr>
            <w:tcW w:w="7366" w:type="dxa"/>
          </w:tcPr>
          <w:p w14:paraId="659CCF6D" w14:textId="64173168" w:rsidR="00EC49AF" w:rsidRPr="008B13A5" w:rsidRDefault="00EC49AF">
            <w:pPr>
              <w:rPr>
                <w:noProof/>
                <w:szCs w:val="22"/>
              </w:rPr>
            </w:pPr>
            <w:r w:rsidRPr="008B13A5">
              <w:rPr>
                <w:noProof/>
                <w:szCs w:val="22"/>
              </w:rPr>
              <w:t>Estimated total scope 2 (location-based) emissions</w:t>
            </w:r>
            <w:r w:rsidRPr="008B13A5">
              <w:rPr>
                <w:rFonts w:eastAsia="Aptos"/>
                <w:noProof/>
                <w:szCs w:val="22"/>
              </w:rPr>
              <w:t xml:space="preserve"> in 2035</w:t>
            </w:r>
            <w:r w:rsidRPr="008B13A5">
              <w:rPr>
                <w:noProof/>
                <w:szCs w:val="22"/>
              </w:rPr>
              <w:t xml:space="preserve"> in scenario 1</w:t>
            </w:r>
            <w:r w:rsidRPr="008B13A5">
              <w:rPr>
                <w:rFonts w:eastAsia="Aptos"/>
                <w:noProof/>
                <w:szCs w:val="22"/>
              </w:rPr>
              <w:t xml:space="preserve"> / tCO2e</w:t>
            </w:r>
          </w:p>
        </w:tc>
        <w:tc>
          <w:tcPr>
            <w:tcW w:w="2236" w:type="dxa"/>
          </w:tcPr>
          <w:p w14:paraId="4BCE6C54" w14:textId="0ADB69E3" w:rsidR="00EC49AF" w:rsidRPr="008B13A5" w:rsidRDefault="00EC49AF">
            <w:pPr>
              <w:rPr>
                <w:noProof/>
                <w:szCs w:val="22"/>
              </w:rPr>
            </w:pPr>
            <w:r w:rsidRPr="008B13A5">
              <w:rPr>
                <w:noProof/>
                <w:szCs w:val="22"/>
              </w:rPr>
              <w:t>≈ 7 146 221</w:t>
            </w:r>
          </w:p>
        </w:tc>
      </w:tr>
      <w:tr w:rsidR="00EC49AF" w:rsidRPr="008B13A5" w14:paraId="7E5CC8D7" w14:textId="77777777">
        <w:tc>
          <w:tcPr>
            <w:tcW w:w="7366" w:type="dxa"/>
          </w:tcPr>
          <w:p w14:paraId="376B2061" w14:textId="6D398454" w:rsidR="00EC49AF" w:rsidRPr="008B13A5" w:rsidRDefault="00EC49AF">
            <w:pPr>
              <w:rPr>
                <w:noProof/>
                <w:szCs w:val="22"/>
              </w:rPr>
            </w:pPr>
            <w:r w:rsidRPr="008B13A5">
              <w:rPr>
                <w:noProof/>
                <w:szCs w:val="22"/>
              </w:rPr>
              <w:t>Estimated total scope 2 (market-based) emissions in 2035 in scenario 1 / tCO2e</w:t>
            </w:r>
          </w:p>
        </w:tc>
        <w:tc>
          <w:tcPr>
            <w:tcW w:w="2236" w:type="dxa"/>
          </w:tcPr>
          <w:p w14:paraId="23C6028E" w14:textId="6038678F" w:rsidR="00EC49AF" w:rsidRPr="008B13A5" w:rsidRDefault="00EC49AF">
            <w:pPr>
              <w:rPr>
                <w:noProof/>
                <w:szCs w:val="22"/>
              </w:rPr>
            </w:pPr>
            <w:r w:rsidRPr="008B13A5">
              <w:rPr>
                <w:noProof/>
                <w:szCs w:val="22"/>
              </w:rPr>
              <w:t>≈ 6 350 288</w:t>
            </w:r>
          </w:p>
        </w:tc>
      </w:tr>
      <w:tr w:rsidR="00EC49AF" w:rsidRPr="008B13A5" w14:paraId="1E59BA30" w14:textId="77777777">
        <w:tc>
          <w:tcPr>
            <w:tcW w:w="7366" w:type="dxa"/>
          </w:tcPr>
          <w:p w14:paraId="4891D658" w14:textId="4F16CE93" w:rsidR="00EC49AF" w:rsidRPr="008B13A5" w:rsidRDefault="00EC49AF">
            <w:pPr>
              <w:rPr>
                <w:noProof/>
                <w:szCs w:val="22"/>
              </w:rPr>
            </w:pPr>
            <w:r w:rsidRPr="008B13A5">
              <w:rPr>
                <w:noProof/>
                <w:szCs w:val="22"/>
              </w:rPr>
              <w:t>Total estimated water withdrawal per year in 2035 in scenario 1/ Mio m</w:t>
            </w:r>
            <w:r w:rsidRPr="008B13A5">
              <w:rPr>
                <w:noProof/>
                <w:szCs w:val="22"/>
                <w:vertAlign w:val="superscript"/>
              </w:rPr>
              <w:t>3</w:t>
            </w:r>
          </w:p>
        </w:tc>
        <w:tc>
          <w:tcPr>
            <w:tcW w:w="2236" w:type="dxa"/>
          </w:tcPr>
          <w:p w14:paraId="1DD8B9B9" w14:textId="44090400" w:rsidR="00EC49AF" w:rsidRPr="008B13A5" w:rsidRDefault="00EC49AF">
            <w:pPr>
              <w:rPr>
                <w:noProof/>
                <w:szCs w:val="22"/>
              </w:rPr>
            </w:pPr>
            <w:r w:rsidRPr="008B13A5">
              <w:rPr>
                <w:noProof/>
                <w:szCs w:val="22"/>
              </w:rPr>
              <w:t>≈ 236.5</w:t>
            </w:r>
          </w:p>
        </w:tc>
      </w:tr>
      <w:tr w:rsidR="00EC49AF" w:rsidRPr="008B13A5" w14:paraId="21F58E53" w14:textId="77777777">
        <w:tc>
          <w:tcPr>
            <w:tcW w:w="7366" w:type="dxa"/>
          </w:tcPr>
          <w:p w14:paraId="73487DF4" w14:textId="729920F5" w:rsidR="00EC49AF" w:rsidRPr="008B13A5" w:rsidRDefault="00EC49AF">
            <w:pPr>
              <w:rPr>
                <w:noProof/>
                <w:szCs w:val="22"/>
              </w:rPr>
            </w:pPr>
            <w:r w:rsidRPr="00BD008E">
              <w:rPr>
                <w:noProof/>
                <w:szCs w:val="22"/>
              </w:rPr>
              <w:t xml:space="preserve">Estimated total scope 1 emissions </w:t>
            </w:r>
            <w:r w:rsidRPr="008B13A5">
              <w:rPr>
                <w:noProof/>
                <w:szCs w:val="22"/>
              </w:rPr>
              <w:t>in 2035 in scenario 1 using imec.netzero model</w:t>
            </w:r>
            <w:r w:rsidR="00981A20">
              <w:rPr>
                <w:noProof/>
                <w:szCs w:val="22"/>
              </w:rPr>
              <w:t xml:space="preserve"> (</w:t>
            </w:r>
            <w:r w:rsidR="00007F40">
              <w:rPr>
                <w:rStyle w:val="FootnoteReference"/>
                <w:noProof/>
                <w:szCs w:val="22"/>
              </w:rPr>
              <w:footnoteReference w:id="366"/>
            </w:r>
            <w:r w:rsidR="00981A20" w:rsidRPr="00981A20">
              <w:rPr>
                <w:noProof/>
                <w:szCs w:val="22"/>
              </w:rPr>
              <w:t>)</w:t>
            </w:r>
            <w:r w:rsidR="00981A20">
              <w:rPr>
                <w:noProof/>
                <w:szCs w:val="22"/>
              </w:rPr>
              <w:t xml:space="preserve"> </w:t>
            </w:r>
            <w:r w:rsidRPr="00BD008E">
              <w:rPr>
                <w:noProof/>
                <w:szCs w:val="22"/>
              </w:rPr>
              <w:t>/ tCO2e</w:t>
            </w:r>
          </w:p>
        </w:tc>
        <w:tc>
          <w:tcPr>
            <w:tcW w:w="2236" w:type="dxa"/>
          </w:tcPr>
          <w:p w14:paraId="3F14F486" w14:textId="04D065DA" w:rsidR="00EC49AF" w:rsidRPr="008B13A5" w:rsidRDefault="00EC49AF">
            <w:pPr>
              <w:rPr>
                <w:noProof/>
                <w:szCs w:val="22"/>
              </w:rPr>
            </w:pPr>
            <w:r w:rsidRPr="008B13A5">
              <w:rPr>
                <w:noProof/>
                <w:szCs w:val="22"/>
              </w:rPr>
              <w:t>1 761 426</w:t>
            </w:r>
          </w:p>
        </w:tc>
      </w:tr>
      <w:tr w:rsidR="00EC49AF" w:rsidRPr="008B13A5" w14:paraId="215E74D8" w14:textId="77777777">
        <w:tc>
          <w:tcPr>
            <w:tcW w:w="7366" w:type="dxa"/>
          </w:tcPr>
          <w:p w14:paraId="6461D13B" w14:textId="3E0D101E" w:rsidR="00EC49AF" w:rsidRPr="008B13A5" w:rsidRDefault="00EC49AF">
            <w:pPr>
              <w:rPr>
                <w:noProof/>
                <w:szCs w:val="22"/>
              </w:rPr>
            </w:pPr>
            <w:r w:rsidRPr="008B13A5">
              <w:rPr>
                <w:noProof/>
                <w:szCs w:val="22"/>
              </w:rPr>
              <w:t>Estimated total scope 2 emissions in 2035 in scenario 1 using imec.netzero model</w:t>
            </w:r>
            <w:r w:rsidR="00981A20">
              <w:rPr>
                <w:noProof/>
                <w:szCs w:val="22"/>
              </w:rPr>
              <w:t xml:space="preserve"> (</w:t>
            </w:r>
            <w:r w:rsidR="00007F40">
              <w:rPr>
                <w:rStyle w:val="FootnoteReference"/>
                <w:noProof/>
                <w:szCs w:val="22"/>
              </w:rPr>
              <w:footnoteReference w:id="367"/>
            </w:r>
            <w:r w:rsidR="00981A20" w:rsidRPr="00981A20">
              <w:rPr>
                <w:noProof/>
                <w:szCs w:val="22"/>
              </w:rPr>
              <w:t>)</w:t>
            </w:r>
            <w:r w:rsidRPr="008B13A5">
              <w:rPr>
                <w:noProof/>
                <w:szCs w:val="22"/>
              </w:rPr>
              <w:t xml:space="preserve"> / tCO2e</w:t>
            </w:r>
          </w:p>
        </w:tc>
        <w:tc>
          <w:tcPr>
            <w:tcW w:w="2236" w:type="dxa"/>
          </w:tcPr>
          <w:p w14:paraId="17A49E6D" w14:textId="65819B62" w:rsidR="00EC49AF" w:rsidRPr="008B13A5" w:rsidRDefault="00EC49AF">
            <w:pPr>
              <w:rPr>
                <w:noProof/>
                <w:szCs w:val="22"/>
              </w:rPr>
            </w:pPr>
            <w:r w:rsidRPr="008B13A5">
              <w:rPr>
                <w:noProof/>
                <w:szCs w:val="22"/>
              </w:rPr>
              <w:t>9 247 486</w:t>
            </w:r>
          </w:p>
        </w:tc>
      </w:tr>
      <w:tr w:rsidR="00EC49AF" w:rsidRPr="008B13A5" w14:paraId="32695E96" w14:textId="77777777">
        <w:tc>
          <w:tcPr>
            <w:tcW w:w="7366" w:type="dxa"/>
          </w:tcPr>
          <w:p w14:paraId="3FB5539E" w14:textId="07B1E0FD" w:rsidR="00EC49AF" w:rsidRPr="008B13A5" w:rsidRDefault="00EC49AF">
            <w:pPr>
              <w:rPr>
                <w:noProof/>
                <w:szCs w:val="22"/>
              </w:rPr>
            </w:pPr>
            <w:r w:rsidRPr="008B13A5">
              <w:rPr>
                <w:noProof/>
                <w:szCs w:val="22"/>
              </w:rPr>
              <w:t>Estimated total scope 3 emissions in 20</w:t>
            </w:r>
            <w:r w:rsidR="00007F40">
              <w:rPr>
                <w:noProof/>
                <w:szCs w:val="22"/>
              </w:rPr>
              <w:t>3</w:t>
            </w:r>
            <w:r w:rsidRPr="008B13A5">
              <w:rPr>
                <w:noProof/>
                <w:szCs w:val="22"/>
              </w:rPr>
              <w:t>5 in scenario 1 using imec.netzero model</w:t>
            </w:r>
            <w:r w:rsidR="00981A20">
              <w:rPr>
                <w:noProof/>
                <w:szCs w:val="22"/>
              </w:rPr>
              <w:t xml:space="preserve"> (</w:t>
            </w:r>
            <w:r w:rsidR="00007F40">
              <w:rPr>
                <w:rStyle w:val="FootnoteReference"/>
                <w:noProof/>
                <w:szCs w:val="22"/>
              </w:rPr>
              <w:footnoteReference w:id="368"/>
            </w:r>
            <w:r w:rsidR="00981A20" w:rsidRPr="00981A20">
              <w:rPr>
                <w:noProof/>
                <w:szCs w:val="22"/>
              </w:rPr>
              <w:t>)</w:t>
            </w:r>
            <w:r w:rsidR="00981A20">
              <w:rPr>
                <w:noProof/>
                <w:szCs w:val="22"/>
              </w:rPr>
              <w:t xml:space="preserve"> </w:t>
            </w:r>
            <w:r w:rsidRPr="008B13A5">
              <w:rPr>
                <w:noProof/>
                <w:szCs w:val="22"/>
              </w:rPr>
              <w:t>/ tCO2e</w:t>
            </w:r>
          </w:p>
        </w:tc>
        <w:tc>
          <w:tcPr>
            <w:tcW w:w="2236" w:type="dxa"/>
          </w:tcPr>
          <w:p w14:paraId="2A55A360" w14:textId="4AB5E92A" w:rsidR="00EC49AF" w:rsidRPr="008B13A5" w:rsidRDefault="00EC49AF">
            <w:pPr>
              <w:rPr>
                <w:noProof/>
                <w:szCs w:val="22"/>
              </w:rPr>
            </w:pPr>
            <w:r w:rsidRPr="008B13A5">
              <w:rPr>
                <w:noProof/>
                <w:szCs w:val="22"/>
              </w:rPr>
              <w:t>5 944 813</w:t>
            </w:r>
          </w:p>
        </w:tc>
      </w:tr>
    </w:tbl>
    <w:p w14:paraId="0F5E69A0" w14:textId="578328EE" w:rsidR="00EC49AF" w:rsidRPr="008B13A5" w:rsidRDefault="00EC49AF" w:rsidP="00EC49AF">
      <w:pPr>
        <w:rPr>
          <w:noProof/>
          <w:szCs w:val="22"/>
        </w:rPr>
      </w:pPr>
      <w:r w:rsidRPr="008B13A5">
        <w:rPr>
          <w:noProof/>
          <w:szCs w:val="22"/>
        </w:rPr>
        <w:t>In scenario 1, the total water withdrawal would increase to 236.5 Mio m</w:t>
      </w:r>
      <w:r w:rsidRPr="008B13A5">
        <w:rPr>
          <w:noProof/>
          <w:szCs w:val="22"/>
          <w:vertAlign w:val="superscript"/>
        </w:rPr>
        <w:t>3</w:t>
      </w:r>
      <w:r w:rsidRPr="008B13A5">
        <w:rPr>
          <w:noProof/>
          <w:szCs w:val="22"/>
        </w:rPr>
        <w:t xml:space="preserve"> per year, which is around 8.5% increase in water withdrawal compared to the baseline scenario. </w:t>
      </w:r>
    </w:p>
    <w:p w14:paraId="3406DD64" w14:textId="5EAE7474" w:rsidR="00EC49AF" w:rsidRDefault="00EC49AF" w:rsidP="00EC49AF">
      <w:pPr>
        <w:rPr>
          <w:noProof/>
          <w:szCs w:val="22"/>
        </w:rPr>
      </w:pPr>
      <w:r w:rsidRPr="008B13A5">
        <w:rPr>
          <w:noProof/>
          <w:szCs w:val="22"/>
        </w:rPr>
        <w:t xml:space="preserve">The estimation of additional scope 1 and 2 emissions resulting from future investments for scenario 2 was based on emissions from Global Foundries fab in Dresden in 2023 and as well as scope 1 and 2 emissions of TSMC fabs Japan, also taking into consideration the expansion of mainstream manufacturing capacities and </w:t>
      </w:r>
      <w:r w:rsidRPr="008B13A5">
        <w:rPr>
          <w:b/>
          <w:bCs/>
          <w:noProof/>
          <w:szCs w:val="22"/>
        </w:rPr>
        <w:t xml:space="preserve">assuming emergence of </w:t>
      </w:r>
      <w:r w:rsidRPr="008B13A5">
        <w:rPr>
          <w:b/>
          <w:noProof/>
          <w:szCs w:val="22"/>
        </w:rPr>
        <w:t>leading</w:t>
      </w:r>
      <w:r w:rsidRPr="008B13A5">
        <w:rPr>
          <w:b/>
          <w:bCs/>
          <w:noProof/>
          <w:szCs w:val="22"/>
        </w:rPr>
        <w:t>-edge manufacturing</w:t>
      </w:r>
      <w:r w:rsidRPr="008B13A5" w:rsidDel="000E389D">
        <w:rPr>
          <w:noProof/>
          <w:szCs w:val="22"/>
        </w:rPr>
        <w:t xml:space="preserve"> </w:t>
      </w:r>
      <w:r w:rsidRPr="008B13A5">
        <w:rPr>
          <w:noProof/>
          <w:szCs w:val="22"/>
        </w:rPr>
        <w:t>as presented in</w:t>
      </w:r>
      <w:r w:rsidR="00BF4E3D">
        <w:rPr>
          <w:noProof/>
          <w:szCs w:val="22"/>
        </w:rPr>
        <w:t xml:space="preserve"> Annex 4,</w:t>
      </w:r>
      <w:r w:rsidRPr="008B13A5">
        <w:rPr>
          <w:noProof/>
          <w:szCs w:val="22"/>
        </w:rPr>
        <w:t xml:space="preserve"> Section </w:t>
      </w:r>
      <w:r w:rsidR="0083085A">
        <w:rPr>
          <w:noProof/>
          <w:szCs w:val="22"/>
        </w:rPr>
        <w:t>1.1 and 1.2</w:t>
      </w:r>
      <w:r w:rsidRPr="008B13A5">
        <w:rPr>
          <w:noProof/>
          <w:szCs w:val="22"/>
        </w:rPr>
        <w:t>.</w:t>
      </w:r>
    </w:p>
    <w:p w14:paraId="1F9245E3" w14:textId="77777777" w:rsidR="008E1689" w:rsidRDefault="008E1689" w:rsidP="00EC49AF">
      <w:pPr>
        <w:rPr>
          <w:noProof/>
          <w:szCs w:val="22"/>
        </w:rPr>
      </w:pPr>
    </w:p>
    <w:p w14:paraId="2EE85706" w14:textId="77777777" w:rsidR="008E1689" w:rsidRPr="008B13A5" w:rsidRDefault="008E1689" w:rsidP="00EC49AF">
      <w:pPr>
        <w:rPr>
          <w:noProof/>
          <w:szCs w:val="22"/>
        </w:rPr>
      </w:pPr>
    </w:p>
    <w:p w14:paraId="06681D00" w14:textId="2027947E" w:rsidR="00EC49AF" w:rsidRPr="008B13A5" w:rsidRDefault="00EC49AF" w:rsidP="00EC49AF">
      <w:pPr>
        <w:rPr>
          <w:b/>
          <w:i/>
          <w:noProof/>
          <w:szCs w:val="22"/>
        </w:rPr>
      </w:pPr>
      <w:r w:rsidRPr="008B13A5">
        <w:rPr>
          <w:b/>
          <w:i/>
          <w:noProof/>
          <w:szCs w:val="22"/>
        </w:rPr>
        <w:t>Scenario 2:</w:t>
      </w:r>
    </w:p>
    <w:tbl>
      <w:tblPr>
        <w:tblStyle w:val="TableGrid"/>
        <w:tblW w:w="0" w:type="auto"/>
        <w:tblLook w:val="04A0" w:firstRow="1" w:lastRow="0" w:firstColumn="1" w:lastColumn="0" w:noHBand="0" w:noVBand="1"/>
      </w:tblPr>
      <w:tblGrid>
        <w:gridCol w:w="7115"/>
        <w:gridCol w:w="2171"/>
      </w:tblGrid>
      <w:tr w:rsidR="00EC49AF" w:rsidRPr="008B13A5" w14:paraId="235B5990" w14:textId="77777777">
        <w:tc>
          <w:tcPr>
            <w:tcW w:w="7366" w:type="dxa"/>
          </w:tcPr>
          <w:p w14:paraId="632D2A0B" w14:textId="22C0043B" w:rsidR="00EC49AF" w:rsidRPr="008B13A5" w:rsidRDefault="00EC49AF">
            <w:pPr>
              <w:rPr>
                <w:noProof/>
                <w:szCs w:val="22"/>
              </w:rPr>
            </w:pPr>
            <w:r w:rsidRPr="008B13A5">
              <w:rPr>
                <w:noProof/>
                <w:szCs w:val="22"/>
              </w:rPr>
              <w:t>Total estimated capacity in 2035 of mainstream manufacturing in scenario 2 / wpy</w:t>
            </w:r>
          </w:p>
        </w:tc>
        <w:tc>
          <w:tcPr>
            <w:tcW w:w="2236" w:type="dxa"/>
          </w:tcPr>
          <w:p w14:paraId="56B2C5CE" w14:textId="5DF95F6C" w:rsidR="00EC49AF" w:rsidRPr="008B13A5" w:rsidRDefault="00EC49AF">
            <w:pPr>
              <w:rPr>
                <w:noProof/>
                <w:szCs w:val="22"/>
              </w:rPr>
            </w:pPr>
            <w:r w:rsidRPr="008B13A5">
              <w:rPr>
                <w:noProof/>
                <w:szCs w:val="22"/>
              </w:rPr>
              <w:t>≈ 20.4 Mio</w:t>
            </w:r>
          </w:p>
        </w:tc>
      </w:tr>
      <w:tr w:rsidR="00EC49AF" w:rsidRPr="008B13A5" w14:paraId="694E3EF7" w14:textId="77777777">
        <w:tc>
          <w:tcPr>
            <w:tcW w:w="7366" w:type="dxa"/>
          </w:tcPr>
          <w:p w14:paraId="0287A81B" w14:textId="7D21A178" w:rsidR="00EC49AF" w:rsidRPr="008B13A5" w:rsidRDefault="00EC49AF">
            <w:pPr>
              <w:rPr>
                <w:noProof/>
                <w:szCs w:val="22"/>
              </w:rPr>
            </w:pPr>
            <w:r w:rsidRPr="008B13A5">
              <w:rPr>
                <w:noProof/>
                <w:szCs w:val="22"/>
              </w:rPr>
              <w:t>Estimated total scope 1 emissions in 2035 of mainstream manufacturing in scenario 2/ tCO2e per year</w:t>
            </w:r>
          </w:p>
        </w:tc>
        <w:tc>
          <w:tcPr>
            <w:tcW w:w="2236" w:type="dxa"/>
          </w:tcPr>
          <w:p w14:paraId="2948CF87" w14:textId="12CC5604" w:rsidR="00EC49AF" w:rsidRPr="008B13A5" w:rsidRDefault="00EC49AF">
            <w:pPr>
              <w:rPr>
                <w:noProof/>
                <w:szCs w:val="22"/>
              </w:rPr>
            </w:pPr>
            <w:r w:rsidRPr="008B13A5">
              <w:rPr>
                <w:noProof/>
                <w:szCs w:val="22"/>
              </w:rPr>
              <w:t xml:space="preserve">≈ 1 303 394 </w:t>
            </w:r>
          </w:p>
        </w:tc>
      </w:tr>
      <w:tr w:rsidR="00EC49AF" w:rsidRPr="008B13A5" w14:paraId="1A1AE765" w14:textId="77777777">
        <w:tc>
          <w:tcPr>
            <w:tcW w:w="7366" w:type="dxa"/>
          </w:tcPr>
          <w:p w14:paraId="79D2812A" w14:textId="61C998E3" w:rsidR="00EC49AF" w:rsidRPr="008B13A5" w:rsidRDefault="00EC49AF">
            <w:pPr>
              <w:rPr>
                <w:noProof/>
                <w:szCs w:val="22"/>
              </w:rPr>
            </w:pPr>
            <w:r w:rsidRPr="008B13A5">
              <w:rPr>
                <w:noProof/>
                <w:szCs w:val="22"/>
              </w:rPr>
              <w:t>Estimated total scope 2 (location-based) emissions</w:t>
            </w:r>
            <w:r w:rsidRPr="008B13A5">
              <w:rPr>
                <w:rFonts w:eastAsia="Aptos"/>
                <w:noProof/>
                <w:szCs w:val="22"/>
              </w:rPr>
              <w:t xml:space="preserve"> in 2035</w:t>
            </w:r>
            <w:r w:rsidRPr="008B13A5">
              <w:rPr>
                <w:noProof/>
                <w:szCs w:val="22"/>
              </w:rPr>
              <w:t xml:space="preserve"> of mainstream manufacturing in scenario 2</w:t>
            </w:r>
            <w:r w:rsidRPr="008B13A5">
              <w:rPr>
                <w:rFonts w:eastAsia="Aptos"/>
                <w:noProof/>
                <w:szCs w:val="22"/>
              </w:rPr>
              <w:t>/ tCO2e per year</w:t>
            </w:r>
          </w:p>
        </w:tc>
        <w:tc>
          <w:tcPr>
            <w:tcW w:w="2236" w:type="dxa"/>
          </w:tcPr>
          <w:p w14:paraId="1BB216A1" w14:textId="25878DD8" w:rsidR="00EC49AF" w:rsidRPr="008B13A5" w:rsidRDefault="00EC49AF">
            <w:pPr>
              <w:rPr>
                <w:noProof/>
                <w:szCs w:val="22"/>
              </w:rPr>
            </w:pPr>
            <w:r w:rsidRPr="008B13A5">
              <w:rPr>
                <w:noProof/>
                <w:szCs w:val="22"/>
              </w:rPr>
              <w:t xml:space="preserve">≈ 6 606 576 </w:t>
            </w:r>
          </w:p>
        </w:tc>
      </w:tr>
      <w:tr w:rsidR="00EC49AF" w:rsidRPr="008B13A5" w14:paraId="1E92E76B" w14:textId="77777777">
        <w:trPr>
          <w:trHeight w:val="510"/>
        </w:trPr>
        <w:tc>
          <w:tcPr>
            <w:tcW w:w="7366" w:type="dxa"/>
          </w:tcPr>
          <w:p w14:paraId="152BDD6B" w14:textId="7420F1F5" w:rsidR="00EC49AF" w:rsidRPr="008B13A5" w:rsidRDefault="00EC49AF">
            <w:pPr>
              <w:rPr>
                <w:noProof/>
                <w:szCs w:val="22"/>
              </w:rPr>
            </w:pPr>
            <w:r w:rsidRPr="008B13A5">
              <w:rPr>
                <w:noProof/>
                <w:szCs w:val="22"/>
              </w:rPr>
              <w:t>Estimated total scope 2 (market-based) emissions in 2035 of mainstream manufacturing in scenario 2/ tCO2e per year</w:t>
            </w:r>
          </w:p>
        </w:tc>
        <w:tc>
          <w:tcPr>
            <w:tcW w:w="2236" w:type="dxa"/>
          </w:tcPr>
          <w:p w14:paraId="4EDA0F89" w14:textId="49CB2ED2" w:rsidR="00EC49AF" w:rsidRPr="008B13A5" w:rsidRDefault="00EC49AF">
            <w:pPr>
              <w:rPr>
                <w:noProof/>
                <w:szCs w:val="22"/>
              </w:rPr>
            </w:pPr>
            <w:r w:rsidRPr="008B13A5">
              <w:rPr>
                <w:noProof/>
                <w:szCs w:val="22"/>
              </w:rPr>
              <w:t>≈ 5 870 747</w:t>
            </w:r>
          </w:p>
        </w:tc>
      </w:tr>
      <w:tr w:rsidR="00EC49AF" w:rsidRPr="008B13A5" w14:paraId="6D8BE58A" w14:textId="77777777">
        <w:tc>
          <w:tcPr>
            <w:tcW w:w="7366" w:type="dxa"/>
          </w:tcPr>
          <w:p w14:paraId="04C4B5E3" w14:textId="2BB4FFAF" w:rsidR="00EC49AF" w:rsidRPr="008B13A5" w:rsidRDefault="00EC49AF">
            <w:pPr>
              <w:rPr>
                <w:noProof/>
                <w:szCs w:val="22"/>
              </w:rPr>
            </w:pPr>
            <w:r w:rsidRPr="008B13A5">
              <w:rPr>
                <w:noProof/>
                <w:szCs w:val="22"/>
              </w:rPr>
              <w:t>Total estimated water withdrawal per year in 2035 of mainstream manufacturing in scenario 2/ Mio m</w:t>
            </w:r>
            <w:r w:rsidRPr="008B13A5">
              <w:rPr>
                <w:noProof/>
                <w:szCs w:val="22"/>
                <w:vertAlign w:val="superscript"/>
              </w:rPr>
              <w:t>3</w:t>
            </w:r>
            <w:r w:rsidRPr="008B13A5">
              <w:rPr>
                <w:noProof/>
                <w:szCs w:val="22"/>
              </w:rPr>
              <w:t xml:space="preserve"> per year</w:t>
            </w:r>
          </w:p>
        </w:tc>
        <w:tc>
          <w:tcPr>
            <w:tcW w:w="2236" w:type="dxa"/>
          </w:tcPr>
          <w:p w14:paraId="098279EB" w14:textId="4F542CD5" w:rsidR="00EC49AF" w:rsidRPr="008B13A5" w:rsidRDefault="00EC49AF">
            <w:pPr>
              <w:rPr>
                <w:noProof/>
                <w:szCs w:val="22"/>
              </w:rPr>
            </w:pPr>
            <w:r w:rsidRPr="008B13A5">
              <w:rPr>
                <w:noProof/>
                <w:szCs w:val="22"/>
              </w:rPr>
              <w:t xml:space="preserve">≈ 222.5 </w:t>
            </w:r>
          </w:p>
        </w:tc>
      </w:tr>
      <w:tr w:rsidR="00EC49AF" w:rsidRPr="008B13A5" w14:paraId="6752B1FD" w14:textId="77777777">
        <w:tc>
          <w:tcPr>
            <w:tcW w:w="7366" w:type="dxa"/>
          </w:tcPr>
          <w:p w14:paraId="2AF1CFAD" w14:textId="09C07BA9" w:rsidR="00EC49AF" w:rsidRPr="008B13A5" w:rsidRDefault="00EC49AF">
            <w:pPr>
              <w:rPr>
                <w:noProof/>
                <w:szCs w:val="22"/>
              </w:rPr>
            </w:pPr>
            <w:r w:rsidRPr="00BD008E">
              <w:rPr>
                <w:noProof/>
                <w:szCs w:val="22"/>
              </w:rPr>
              <w:t xml:space="preserve">Estimated total scope 1 </w:t>
            </w:r>
            <w:r w:rsidRPr="008B13A5">
              <w:rPr>
                <w:noProof/>
                <w:szCs w:val="22"/>
              </w:rPr>
              <w:t>in 2035 of mainstream manufacturing in scenario 2 using imec.netzero model</w:t>
            </w:r>
            <w:r w:rsidR="00981A20">
              <w:rPr>
                <w:noProof/>
                <w:szCs w:val="22"/>
              </w:rPr>
              <w:t xml:space="preserve"> (</w:t>
            </w:r>
            <w:r w:rsidR="00C10378">
              <w:rPr>
                <w:rStyle w:val="FootnoteReference"/>
                <w:noProof/>
                <w:szCs w:val="22"/>
              </w:rPr>
              <w:footnoteReference w:id="369"/>
            </w:r>
            <w:r w:rsidR="00981A20" w:rsidRPr="00981A20">
              <w:rPr>
                <w:noProof/>
                <w:szCs w:val="22"/>
              </w:rPr>
              <w:t>)</w:t>
            </w:r>
            <w:r w:rsidR="00981A20">
              <w:rPr>
                <w:noProof/>
                <w:szCs w:val="22"/>
              </w:rPr>
              <w:t xml:space="preserve"> </w:t>
            </w:r>
            <w:r w:rsidRPr="00BD008E">
              <w:rPr>
                <w:noProof/>
                <w:szCs w:val="22"/>
              </w:rPr>
              <w:t>/ tCO2e</w:t>
            </w:r>
          </w:p>
        </w:tc>
        <w:tc>
          <w:tcPr>
            <w:tcW w:w="2236" w:type="dxa"/>
          </w:tcPr>
          <w:p w14:paraId="19B8F318" w14:textId="56DDC8D8" w:rsidR="00EC49AF" w:rsidRPr="008B13A5" w:rsidRDefault="00EC49AF">
            <w:pPr>
              <w:rPr>
                <w:noProof/>
                <w:szCs w:val="22"/>
              </w:rPr>
            </w:pPr>
            <w:r w:rsidRPr="008B13A5">
              <w:rPr>
                <w:noProof/>
                <w:szCs w:val="22"/>
              </w:rPr>
              <w:t>1 628 412</w:t>
            </w:r>
          </w:p>
        </w:tc>
      </w:tr>
      <w:tr w:rsidR="00EC49AF" w:rsidRPr="008B13A5" w14:paraId="5383EEEA" w14:textId="77777777">
        <w:tc>
          <w:tcPr>
            <w:tcW w:w="7366" w:type="dxa"/>
          </w:tcPr>
          <w:p w14:paraId="6A8321AE" w14:textId="2734C89A" w:rsidR="00EC49AF" w:rsidRPr="008B13A5" w:rsidRDefault="00EC49AF">
            <w:pPr>
              <w:rPr>
                <w:noProof/>
                <w:szCs w:val="22"/>
              </w:rPr>
            </w:pPr>
            <w:r w:rsidRPr="008B13A5">
              <w:rPr>
                <w:noProof/>
                <w:szCs w:val="22"/>
              </w:rPr>
              <w:t>Estimated total scope 2 emissions in 2035 of mainstream manufacturing in scenario 2 using imec.netzero model</w:t>
            </w:r>
            <w:r w:rsidR="00981A20">
              <w:rPr>
                <w:noProof/>
                <w:szCs w:val="22"/>
              </w:rPr>
              <w:t xml:space="preserve"> (</w:t>
            </w:r>
            <w:r w:rsidR="00C10378">
              <w:rPr>
                <w:rStyle w:val="FootnoteReference"/>
                <w:noProof/>
                <w:szCs w:val="22"/>
              </w:rPr>
              <w:footnoteReference w:id="370"/>
            </w:r>
            <w:r w:rsidR="00981A20" w:rsidRPr="00981A20">
              <w:rPr>
                <w:noProof/>
                <w:szCs w:val="22"/>
              </w:rPr>
              <w:t>)</w:t>
            </w:r>
            <w:r w:rsidRPr="008B13A5">
              <w:rPr>
                <w:noProof/>
                <w:szCs w:val="22"/>
              </w:rPr>
              <w:t xml:space="preserve"> / tCO2e</w:t>
            </w:r>
          </w:p>
        </w:tc>
        <w:tc>
          <w:tcPr>
            <w:tcW w:w="2236" w:type="dxa"/>
          </w:tcPr>
          <w:p w14:paraId="43B00A32" w14:textId="02B7D190" w:rsidR="00EC49AF" w:rsidRPr="008B13A5" w:rsidRDefault="00EC49AF">
            <w:pPr>
              <w:rPr>
                <w:noProof/>
                <w:szCs w:val="22"/>
              </w:rPr>
            </w:pPr>
            <w:r w:rsidRPr="008B13A5">
              <w:rPr>
                <w:noProof/>
                <w:szCs w:val="22"/>
              </w:rPr>
              <w:t>8 549 164</w:t>
            </w:r>
          </w:p>
        </w:tc>
      </w:tr>
      <w:tr w:rsidR="00EC49AF" w:rsidRPr="008B13A5" w14:paraId="45C6879C" w14:textId="77777777">
        <w:tc>
          <w:tcPr>
            <w:tcW w:w="7366" w:type="dxa"/>
          </w:tcPr>
          <w:p w14:paraId="07715D2E" w14:textId="6D982759" w:rsidR="00EC49AF" w:rsidRPr="008B13A5" w:rsidRDefault="00EC49AF">
            <w:pPr>
              <w:rPr>
                <w:noProof/>
                <w:szCs w:val="22"/>
              </w:rPr>
            </w:pPr>
            <w:r w:rsidRPr="008B13A5">
              <w:rPr>
                <w:noProof/>
                <w:szCs w:val="22"/>
              </w:rPr>
              <w:t>Estimated total scope 3 emissions in 2035 of mainstream manufacturing in scenario 2 using imec.netzero model</w:t>
            </w:r>
            <w:r w:rsidR="00981A20">
              <w:rPr>
                <w:noProof/>
                <w:szCs w:val="22"/>
              </w:rPr>
              <w:t xml:space="preserve"> (</w:t>
            </w:r>
            <w:r w:rsidR="00C10378">
              <w:rPr>
                <w:rStyle w:val="FootnoteReference"/>
                <w:noProof/>
                <w:szCs w:val="22"/>
              </w:rPr>
              <w:footnoteReference w:id="371"/>
            </w:r>
            <w:r w:rsidR="00981A20" w:rsidRPr="00981A20">
              <w:rPr>
                <w:noProof/>
                <w:szCs w:val="22"/>
              </w:rPr>
              <w:t>)</w:t>
            </w:r>
            <w:r w:rsidR="00981A20">
              <w:rPr>
                <w:noProof/>
                <w:szCs w:val="22"/>
              </w:rPr>
              <w:t xml:space="preserve"> </w:t>
            </w:r>
            <w:r w:rsidRPr="008B13A5">
              <w:rPr>
                <w:noProof/>
                <w:szCs w:val="22"/>
              </w:rPr>
              <w:t>/ tCO2e</w:t>
            </w:r>
          </w:p>
        </w:tc>
        <w:tc>
          <w:tcPr>
            <w:tcW w:w="2236" w:type="dxa"/>
          </w:tcPr>
          <w:p w14:paraId="23105CD8" w14:textId="67D03BCD" w:rsidR="00EC49AF" w:rsidRPr="008B13A5" w:rsidRDefault="00EC49AF">
            <w:pPr>
              <w:rPr>
                <w:noProof/>
                <w:szCs w:val="22"/>
              </w:rPr>
            </w:pPr>
            <w:r w:rsidRPr="008B13A5">
              <w:rPr>
                <w:noProof/>
                <w:szCs w:val="22"/>
              </w:rPr>
              <w:t>5 495 891</w:t>
            </w:r>
          </w:p>
        </w:tc>
      </w:tr>
    </w:tbl>
    <w:p w14:paraId="6C4D4DE7" w14:textId="77777777" w:rsidR="00EC49AF" w:rsidRPr="008B13A5" w:rsidRDefault="00EC49AF" w:rsidP="00EC49AF">
      <w:pPr>
        <w:rPr>
          <w:noProof/>
          <w:szCs w:val="22"/>
        </w:rPr>
      </w:pPr>
    </w:p>
    <w:p w14:paraId="155D2BA3" w14:textId="700B0557" w:rsidR="00EC49AF" w:rsidRPr="008B13A5" w:rsidRDefault="00EC49AF" w:rsidP="00EC49AF">
      <w:pPr>
        <w:rPr>
          <w:noProof/>
          <w:szCs w:val="22"/>
        </w:rPr>
      </w:pPr>
      <w:r w:rsidRPr="008B13A5">
        <w:rPr>
          <w:noProof/>
          <w:szCs w:val="22"/>
        </w:rPr>
        <w:t>The data to calculate the environmental impact of one leading-edge fab in Europe were based on the emissions reported by TSMC in 2024 and taking into consideration that TSMC’s wafer manufacturing capacity in 2024 was 12.9 Mio.</w:t>
      </w:r>
      <w:r w:rsidR="00F274DD" w:rsidRPr="008B13A5">
        <w:rPr>
          <w:noProof/>
          <w:szCs w:val="22"/>
        </w:rPr>
        <w:t xml:space="preserve"> </w:t>
      </w:r>
      <w:r w:rsidRPr="008B13A5">
        <w:rPr>
          <w:noProof/>
          <w:szCs w:val="22"/>
        </w:rPr>
        <w:t>(</w:t>
      </w:r>
      <w:r w:rsidRPr="008B13A5">
        <w:rPr>
          <w:noProof/>
          <w:szCs w:val="22"/>
          <w:vertAlign w:val="superscript"/>
        </w:rPr>
        <w:footnoteReference w:id="372"/>
      </w:r>
      <w:r w:rsidRPr="008B13A5">
        <w:rPr>
          <w:noProof/>
          <w:szCs w:val="22"/>
        </w:rPr>
        <w:t>)</w:t>
      </w:r>
      <w:r w:rsidRPr="008B13A5">
        <w:rPr>
          <w:noProof/>
          <w:szCs w:val="22"/>
          <w:vertAlign w:val="superscript"/>
        </w:rPr>
        <w:t xml:space="preserve"> </w:t>
      </w:r>
      <w:r w:rsidRPr="008B13A5">
        <w:rPr>
          <w:noProof/>
          <w:szCs w:val="22"/>
        </w:rPr>
        <w:t>Using TSMC as a proxy for leading-edge fab emissions in Europe can be justified on technical and operational grounds. Firstly, leading-edge fabs are dominated by process node physics and equipment sets (EUV lithography, advanced deposition/etch, ultra-pure water systems). TSMC operates the same class of tools and nodes expected in Europe, making its per-wafer and per-area intensities a defensible starting point.</w:t>
      </w:r>
      <w:r w:rsidRPr="008B13A5">
        <w:rPr>
          <w:noProof/>
        </w:rPr>
        <w:t xml:space="preserve"> Secondly, </w:t>
      </w:r>
      <w:r w:rsidRPr="008B13A5">
        <w:rPr>
          <w:noProof/>
          <w:szCs w:val="22"/>
        </w:rPr>
        <w:t xml:space="preserve">TSMC represents a global efficiency frontier for high-volume advanced manufacturing. Using a best-practice operator avoids underestimating process-intrinsic loads and provides a conservative, performance-anchored baseline for </w:t>
      </w:r>
      <w:r w:rsidR="00CD2472">
        <w:rPr>
          <w:noProof/>
          <w:szCs w:val="22"/>
        </w:rPr>
        <w:t>s</w:t>
      </w:r>
      <w:r w:rsidRPr="008B13A5">
        <w:rPr>
          <w:noProof/>
          <w:szCs w:val="22"/>
        </w:rPr>
        <w:t xml:space="preserve">cope 1 (process gases) and </w:t>
      </w:r>
      <w:r w:rsidR="00CD2472">
        <w:rPr>
          <w:noProof/>
          <w:szCs w:val="22"/>
        </w:rPr>
        <w:t>s</w:t>
      </w:r>
      <w:r w:rsidRPr="008B13A5">
        <w:rPr>
          <w:noProof/>
          <w:szCs w:val="22"/>
        </w:rPr>
        <w:t>cope 2 (electricity demand before grid adjustment).</w:t>
      </w:r>
      <w:r w:rsidRPr="008B13A5">
        <w:rPr>
          <w:noProof/>
        </w:rPr>
        <w:t xml:space="preserve"> </w:t>
      </w:r>
      <w:r w:rsidRPr="008B13A5">
        <w:rPr>
          <w:noProof/>
          <w:szCs w:val="22"/>
        </w:rPr>
        <w:t>While TSMC’s portfolio and scale in Taiwan will differ from a new proposed European site, scale efficiencies mainly affect overhead energy (HVAC, utilities) rather than tool energy per wafer. Additionally, imec.netzero multi-parametric Life-Cycle Assessment model that calculates the environmental footprint for the fabrication of integrated circuits in a high-volume semiconductor fab was also used and the data achieved are consistent with our own calculations, confirming their credibility and relevance.</w:t>
      </w:r>
      <w:r w:rsidR="00F274DD" w:rsidRPr="008B13A5">
        <w:rPr>
          <w:noProof/>
          <w:szCs w:val="22"/>
        </w:rPr>
        <w:t xml:space="preserve"> </w:t>
      </w:r>
      <w:r w:rsidRPr="008B13A5">
        <w:rPr>
          <w:noProof/>
          <w:szCs w:val="22"/>
        </w:rPr>
        <w:t>(</w:t>
      </w:r>
      <w:r w:rsidRPr="008B13A5">
        <w:rPr>
          <w:rStyle w:val="FootnoteReference"/>
          <w:noProof/>
          <w:szCs w:val="22"/>
        </w:rPr>
        <w:footnoteReference w:id="373"/>
      </w:r>
      <w:r w:rsidRPr="008B13A5">
        <w:rPr>
          <w:noProof/>
          <w:szCs w:val="22"/>
        </w:rPr>
        <w:t>)</w:t>
      </w:r>
    </w:p>
    <w:tbl>
      <w:tblPr>
        <w:tblStyle w:val="TableGrid"/>
        <w:tblW w:w="9180" w:type="dxa"/>
        <w:tblLook w:val="04A0" w:firstRow="1" w:lastRow="0" w:firstColumn="1" w:lastColumn="0" w:noHBand="0" w:noVBand="1"/>
      </w:tblPr>
      <w:tblGrid>
        <w:gridCol w:w="7054"/>
        <w:gridCol w:w="2126"/>
      </w:tblGrid>
      <w:tr w:rsidR="00EC49AF" w:rsidRPr="008B13A5" w14:paraId="0397D31B" w14:textId="77777777" w:rsidTr="00F57D6B">
        <w:tc>
          <w:tcPr>
            <w:tcW w:w="7054" w:type="dxa"/>
          </w:tcPr>
          <w:p w14:paraId="325FC5B0" w14:textId="32165CF4" w:rsidR="00EC49AF" w:rsidRPr="008B13A5" w:rsidRDefault="00EC49AF">
            <w:pPr>
              <w:spacing w:after="160" w:line="257" w:lineRule="auto"/>
              <w:rPr>
                <w:b/>
                <w:bCs/>
                <w:noProof/>
                <w:szCs w:val="22"/>
              </w:rPr>
            </w:pPr>
            <w:r w:rsidRPr="008B13A5">
              <w:rPr>
                <w:noProof/>
                <w:szCs w:val="22"/>
              </w:rPr>
              <w:t>Maximum yearly wafer capacity /wpy</w:t>
            </w:r>
          </w:p>
        </w:tc>
        <w:tc>
          <w:tcPr>
            <w:tcW w:w="2126" w:type="dxa"/>
          </w:tcPr>
          <w:p w14:paraId="1F2FB0A1" w14:textId="4A578938" w:rsidR="00EC49AF" w:rsidRPr="008B13A5" w:rsidRDefault="00EC49AF">
            <w:pPr>
              <w:spacing w:after="160" w:line="257" w:lineRule="auto"/>
              <w:rPr>
                <w:noProof/>
                <w:szCs w:val="22"/>
              </w:rPr>
            </w:pPr>
            <w:r w:rsidRPr="008B13A5">
              <w:rPr>
                <w:noProof/>
                <w:szCs w:val="22"/>
              </w:rPr>
              <w:t>12.9 Mio</w:t>
            </w:r>
          </w:p>
        </w:tc>
      </w:tr>
      <w:tr w:rsidR="00EC49AF" w:rsidRPr="008B13A5" w14:paraId="2C095076" w14:textId="77777777" w:rsidTr="00F57D6B">
        <w:tc>
          <w:tcPr>
            <w:tcW w:w="7054" w:type="dxa"/>
          </w:tcPr>
          <w:p w14:paraId="728A5247" w14:textId="6208F513" w:rsidR="00EC49AF" w:rsidRPr="00BD008E" w:rsidRDefault="00EC49AF">
            <w:pPr>
              <w:spacing w:after="160" w:line="257" w:lineRule="auto"/>
              <w:rPr>
                <w:b/>
                <w:noProof/>
                <w:szCs w:val="22"/>
              </w:rPr>
            </w:pPr>
            <w:r w:rsidRPr="00BD008E">
              <w:rPr>
                <w:noProof/>
                <w:szCs w:val="22"/>
              </w:rPr>
              <w:t>Scope 1 emissions / tCO2e per year</w:t>
            </w:r>
          </w:p>
        </w:tc>
        <w:tc>
          <w:tcPr>
            <w:tcW w:w="2126" w:type="dxa"/>
          </w:tcPr>
          <w:p w14:paraId="3F8352B9" w14:textId="046F3C1F" w:rsidR="00EC49AF" w:rsidRPr="008B13A5" w:rsidRDefault="00EC49AF">
            <w:pPr>
              <w:spacing w:after="160" w:line="257" w:lineRule="auto"/>
              <w:rPr>
                <w:b/>
                <w:bCs/>
                <w:noProof/>
                <w:szCs w:val="22"/>
              </w:rPr>
            </w:pPr>
            <w:r w:rsidRPr="008B13A5">
              <w:rPr>
                <w:noProof/>
                <w:szCs w:val="22"/>
              </w:rPr>
              <w:t>1 826 000</w:t>
            </w:r>
          </w:p>
        </w:tc>
      </w:tr>
      <w:tr w:rsidR="00EC49AF" w:rsidRPr="008B13A5" w14:paraId="19DCCAD9" w14:textId="77777777" w:rsidTr="00F57D6B">
        <w:tc>
          <w:tcPr>
            <w:tcW w:w="7054" w:type="dxa"/>
          </w:tcPr>
          <w:p w14:paraId="7C607CC1" w14:textId="21DF16CD" w:rsidR="00EC49AF" w:rsidRPr="008B13A5" w:rsidRDefault="00EC49AF">
            <w:pPr>
              <w:spacing w:after="160" w:line="257" w:lineRule="auto"/>
              <w:rPr>
                <w:b/>
                <w:bCs/>
                <w:noProof/>
                <w:szCs w:val="22"/>
              </w:rPr>
            </w:pPr>
            <w:r w:rsidRPr="00BD008E">
              <w:rPr>
                <w:noProof/>
                <w:szCs w:val="22"/>
              </w:rPr>
              <w:t>Scope 2 emissions (location-based) / tCO2e per year</w:t>
            </w:r>
          </w:p>
        </w:tc>
        <w:tc>
          <w:tcPr>
            <w:tcW w:w="2126" w:type="dxa"/>
          </w:tcPr>
          <w:p w14:paraId="1C9EF9AB" w14:textId="1E30C913" w:rsidR="00EC49AF" w:rsidRPr="008B13A5" w:rsidRDefault="00EC49AF">
            <w:pPr>
              <w:spacing w:after="160" w:line="257" w:lineRule="auto"/>
              <w:rPr>
                <w:noProof/>
                <w:szCs w:val="22"/>
              </w:rPr>
            </w:pPr>
            <w:r w:rsidRPr="008B13A5">
              <w:rPr>
                <w:noProof/>
                <w:szCs w:val="22"/>
              </w:rPr>
              <w:t>12 674 921</w:t>
            </w:r>
          </w:p>
        </w:tc>
      </w:tr>
      <w:tr w:rsidR="00EC49AF" w:rsidRPr="008B13A5" w14:paraId="394114AC" w14:textId="77777777" w:rsidTr="00F57D6B">
        <w:tc>
          <w:tcPr>
            <w:tcW w:w="7054" w:type="dxa"/>
          </w:tcPr>
          <w:p w14:paraId="465EA360" w14:textId="57B743C3" w:rsidR="00EC49AF" w:rsidRPr="008B13A5" w:rsidRDefault="00EC49AF">
            <w:pPr>
              <w:spacing w:after="160" w:line="257" w:lineRule="auto"/>
              <w:rPr>
                <w:b/>
                <w:bCs/>
                <w:noProof/>
                <w:szCs w:val="22"/>
              </w:rPr>
            </w:pPr>
            <w:r w:rsidRPr="00BD008E">
              <w:rPr>
                <w:noProof/>
                <w:szCs w:val="22"/>
              </w:rPr>
              <w:t>Scope 2 emissions (market-based) / tCO2e per year</w:t>
            </w:r>
          </w:p>
        </w:tc>
        <w:tc>
          <w:tcPr>
            <w:tcW w:w="2126" w:type="dxa"/>
          </w:tcPr>
          <w:p w14:paraId="37AE6AB9" w14:textId="73CC1A0B" w:rsidR="00EC49AF" w:rsidRPr="008B13A5" w:rsidRDefault="00EC49AF">
            <w:pPr>
              <w:spacing w:after="160" w:line="257" w:lineRule="auto"/>
              <w:rPr>
                <w:b/>
                <w:bCs/>
                <w:noProof/>
                <w:szCs w:val="22"/>
              </w:rPr>
            </w:pPr>
            <w:r w:rsidRPr="008B13A5">
              <w:rPr>
                <w:noProof/>
                <w:szCs w:val="22"/>
              </w:rPr>
              <w:t>10 957 397</w:t>
            </w:r>
          </w:p>
        </w:tc>
      </w:tr>
      <w:tr w:rsidR="00EC49AF" w:rsidRPr="008B13A5" w14:paraId="254A73D3" w14:textId="77777777" w:rsidTr="00F57D6B">
        <w:tc>
          <w:tcPr>
            <w:tcW w:w="7054" w:type="dxa"/>
          </w:tcPr>
          <w:p w14:paraId="10C2DFAE" w14:textId="2C80337E" w:rsidR="00EC49AF" w:rsidRPr="008B13A5" w:rsidRDefault="00EC49AF">
            <w:pPr>
              <w:spacing w:after="160" w:line="257" w:lineRule="auto"/>
              <w:rPr>
                <w:b/>
                <w:bCs/>
                <w:noProof/>
                <w:szCs w:val="22"/>
              </w:rPr>
            </w:pPr>
            <w:r w:rsidRPr="008B13A5">
              <w:rPr>
                <w:noProof/>
                <w:szCs w:val="22"/>
              </w:rPr>
              <w:t>Scope 1 emissions / tCO2e/wafer</w:t>
            </w:r>
          </w:p>
        </w:tc>
        <w:tc>
          <w:tcPr>
            <w:tcW w:w="2126" w:type="dxa"/>
          </w:tcPr>
          <w:p w14:paraId="1F0BDDD8" w14:textId="4C0A71BF" w:rsidR="00EC49AF" w:rsidRPr="008B13A5" w:rsidRDefault="00EC49AF">
            <w:pPr>
              <w:spacing w:after="160" w:line="257" w:lineRule="auto"/>
              <w:rPr>
                <w:b/>
                <w:bCs/>
                <w:noProof/>
                <w:szCs w:val="22"/>
              </w:rPr>
            </w:pPr>
            <w:r w:rsidRPr="008B13A5">
              <w:rPr>
                <w:noProof/>
                <w:szCs w:val="22"/>
              </w:rPr>
              <w:t>≈ 0.141550</w:t>
            </w:r>
          </w:p>
        </w:tc>
      </w:tr>
      <w:tr w:rsidR="00EC49AF" w:rsidRPr="008B13A5" w14:paraId="3C1C15A5" w14:textId="77777777" w:rsidTr="00F57D6B">
        <w:tc>
          <w:tcPr>
            <w:tcW w:w="7054" w:type="dxa"/>
          </w:tcPr>
          <w:p w14:paraId="344A1CA7" w14:textId="0505EB35" w:rsidR="00EC49AF" w:rsidRPr="008B13A5" w:rsidRDefault="00EC49AF">
            <w:pPr>
              <w:spacing w:after="160" w:line="257" w:lineRule="auto"/>
              <w:rPr>
                <w:b/>
                <w:bCs/>
                <w:noProof/>
                <w:szCs w:val="22"/>
              </w:rPr>
            </w:pPr>
            <w:r w:rsidRPr="00BD008E">
              <w:rPr>
                <w:noProof/>
                <w:szCs w:val="22"/>
              </w:rPr>
              <w:t>Scope 2 (location-based)</w:t>
            </w:r>
            <w:r w:rsidRPr="008B13A5">
              <w:rPr>
                <w:noProof/>
                <w:szCs w:val="22"/>
              </w:rPr>
              <w:t xml:space="preserve"> emissions / tCO2e/wafer</w:t>
            </w:r>
          </w:p>
        </w:tc>
        <w:tc>
          <w:tcPr>
            <w:tcW w:w="2126" w:type="dxa"/>
          </w:tcPr>
          <w:p w14:paraId="1A39F296" w14:textId="256482C8" w:rsidR="00EC49AF" w:rsidRPr="008B13A5" w:rsidRDefault="00EC49AF">
            <w:pPr>
              <w:spacing w:after="160" w:line="257" w:lineRule="auto"/>
              <w:rPr>
                <w:b/>
                <w:bCs/>
                <w:noProof/>
                <w:szCs w:val="22"/>
              </w:rPr>
            </w:pPr>
            <w:r w:rsidRPr="008B13A5">
              <w:rPr>
                <w:rFonts w:eastAsia="Aptos"/>
                <w:noProof/>
                <w:szCs w:val="22"/>
              </w:rPr>
              <w:t xml:space="preserve">≈ </w:t>
            </w:r>
            <w:r w:rsidRPr="008B13A5">
              <w:rPr>
                <w:noProof/>
                <w:szCs w:val="22"/>
              </w:rPr>
              <w:t>0.9824806</w:t>
            </w:r>
          </w:p>
        </w:tc>
      </w:tr>
      <w:tr w:rsidR="00EC49AF" w:rsidRPr="008B13A5" w14:paraId="709DBD28" w14:textId="77777777" w:rsidTr="00F57D6B">
        <w:tc>
          <w:tcPr>
            <w:tcW w:w="7054" w:type="dxa"/>
          </w:tcPr>
          <w:p w14:paraId="1C773AC7" w14:textId="48B900E2" w:rsidR="00EC49AF" w:rsidRPr="008B13A5" w:rsidRDefault="00EC49AF">
            <w:pPr>
              <w:spacing w:after="160" w:line="257" w:lineRule="auto"/>
              <w:rPr>
                <w:noProof/>
                <w:szCs w:val="22"/>
              </w:rPr>
            </w:pPr>
            <w:r w:rsidRPr="00BD008E">
              <w:rPr>
                <w:noProof/>
                <w:szCs w:val="22"/>
              </w:rPr>
              <w:t xml:space="preserve">Scope 2 (market-based) </w:t>
            </w:r>
            <w:r w:rsidRPr="008B13A5">
              <w:rPr>
                <w:noProof/>
                <w:szCs w:val="22"/>
              </w:rPr>
              <w:t>emissions / tCO2e/wafer</w:t>
            </w:r>
          </w:p>
        </w:tc>
        <w:tc>
          <w:tcPr>
            <w:tcW w:w="2126" w:type="dxa"/>
          </w:tcPr>
          <w:p w14:paraId="2516A3FC" w14:textId="1A8E5377" w:rsidR="00EC49AF" w:rsidRPr="008B13A5" w:rsidRDefault="00EC49AF">
            <w:pPr>
              <w:spacing w:after="160" w:line="257" w:lineRule="auto"/>
              <w:rPr>
                <w:b/>
                <w:bCs/>
                <w:noProof/>
                <w:szCs w:val="22"/>
              </w:rPr>
            </w:pPr>
            <w:r w:rsidRPr="008B13A5">
              <w:rPr>
                <w:rFonts w:eastAsia="Aptos"/>
                <w:noProof/>
                <w:szCs w:val="22"/>
              </w:rPr>
              <w:t xml:space="preserve">≈ </w:t>
            </w:r>
            <w:r w:rsidRPr="008B13A5">
              <w:rPr>
                <w:noProof/>
                <w:szCs w:val="22"/>
              </w:rPr>
              <w:t>0.8493798</w:t>
            </w:r>
          </w:p>
        </w:tc>
      </w:tr>
      <w:tr w:rsidR="00EC49AF" w:rsidRPr="008B13A5" w14:paraId="0A5F9AC1" w14:textId="77777777" w:rsidTr="00F57D6B">
        <w:tc>
          <w:tcPr>
            <w:tcW w:w="7054" w:type="dxa"/>
          </w:tcPr>
          <w:p w14:paraId="6E6E93BA" w14:textId="10F50B75" w:rsidR="00EC49AF" w:rsidRPr="008B13A5" w:rsidRDefault="00EC49AF">
            <w:pPr>
              <w:spacing w:after="160" w:line="257" w:lineRule="auto"/>
              <w:rPr>
                <w:noProof/>
                <w:szCs w:val="22"/>
              </w:rPr>
            </w:pPr>
            <w:r w:rsidRPr="008B13A5">
              <w:rPr>
                <w:noProof/>
                <w:szCs w:val="22"/>
              </w:rPr>
              <w:t>Energy consumption / GWh/wafer</w:t>
            </w:r>
          </w:p>
        </w:tc>
        <w:tc>
          <w:tcPr>
            <w:tcW w:w="2126" w:type="dxa"/>
          </w:tcPr>
          <w:p w14:paraId="23262B80" w14:textId="625D2ADE" w:rsidR="00EC49AF" w:rsidRPr="008B13A5" w:rsidRDefault="00EC49AF">
            <w:pPr>
              <w:spacing w:after="160" w:line="257" w:lineRule="auto"/>
              <w:rPr>
                <w:b/>
                <w:bCs/>
                <w:noProof/>
                <w:szCs w:val="22"/>
              </w:rPr>
            </w:pPr>
            <w:r w:rsidRPr="008B13A5">
              <w:rPr>
                <w:rFonts w:eastAsia="Aptos"/>
                <w:noProof/>
                <w:szCs w:val="22"/>
              </w:rPr>
              <w:t xml:space="preserve">≈ </w:t>
            </w:r>
            <w:r w:rsidRPr="008B13A5">
              <w:rPr>
                <w:noProof/>
                <w:szCs w:val="22"/>
              </w:rPr>
              <w:t>0.00213</w:t>
            </w:r>
          </w:p>
        </w:tc>
      </w:tr>
      <w:tr w:rsidR="00EC49AF" w:rsidRPr="008B13A5" w14:paraId="1B67D63D" w14:textId="77777777" w:rsidTr="00F57D6B">
        <w:tc>
          <w:tcPr>
            <w:tcW w:w="7054" w:type="dxa"/>
          </w:tcPr>
          <w:p w14:paraId="10C09C02" w14:textId="2F3A4DED" w:rsidR="00EC49AF" w:rsidRPr="008B13A5" w:rsidRDefault="00EC49AF">
            <w:pPr>
              <w:spacing w:after="160" w:line="257" w:lineRule="auto"/>
              <w:rPr>
                <w:noProof/>
                <w:szCs w:val="22"/>
              </w:rPr>
            </w:pPr>
            <w:r w:rsidRPr="00BD008E">
              <w:rPr>
                <w:noProof/>
                <w:szCs w:val="22"/>
              </w:rPr>
              <w:t>Water withdrawal / m</w:t>
            </w:r>
            <w:r w:rsidRPr="00BD008E">
              <w:rPr>
                <w:noProof/>
                <w:szCs w:val="22"/>
                <w:vertAlign w:val="superscript"/>
              </w:rPr>
              <w:t>3</w:t>
            </w:r>
            <w:r w:rsidRPr="00BD008E">
              <w:rPr>
                <w:noProof/>
                <w:szCs w:val="22"/>
              </w:rPr>
              <w:t>/wafer</w:t>
            </w:r>
          </w:p>
        </w:tc>
        <w:tc>
          <w:tcPr>
            <w:tcW w:w="2126" w:type="dxa"/>
          </w:tcPr>
          <w:p w14:paraId="482DAD8D" w14:textId="386FF20E" w:rsidR="00EC49AF" w:rsidRPr="008B13A5" w:rsidRDefault="00EC49AF">
            <w:pPr>
              <w:spacing w:after="160" w:line="257" w:lineRule="auto"/>
              <w:rPr>
                <w:b/>
                <w:bCs/>
                <w:noProof/>
                <w:szCs w:val="22"/>
              </w:rPr>
            </w:pPr>
            <w:r w:rsidRPr="008B13A5">
              <w:rPr>
                <w:rFonts w:eastAsia="Aptos"/>
                <w:noProof/>
                <w:szCs w:val="22"/>
              </w:rPr>
              <w:t xml:space="preserve">≈ </w:t>
            </w:r>
            <w:r w:rsidRPr="008B13A5">
              <w:rPr>
                <w:noProof/>
                <w:szCs w:val="22"/>
              </w:rPr>
              <w:t>9.98</w:t>
            </w:r>
          </w:p>
        </w:tc>
      </w:tr>
      <w:tr w:rsidR="00EC49AF" w:rsidRPr="008B13A5" w14:paraId="65B5F5F1" w14:textId="77777777" w:rsidTr="00F57D6B">
        <w:tc>
          <w:tcPr>
            <w:tcW w:w="7054" w:type="dxa"/>
          </w:tcPr>
          <w:p w14:paraId="799297BB" w14:textId="4F167A23" w:rsidR="00EC49AF" w:rsidRPr="00260DCB" w:rsidRDefault="00EC49AF">
            <w:pPr>
              <w:spacing w:after="160" w:line="257" w:lineRule="auto"/>
              <w:rPr>
                <w:noProof/>
                <w:szCs w:val="22"/>
                <w:lang w:val="de-DE"/>
              </w:rPr>
            </w:pPr>
            <w:r w:rsidRPr="00260DCB">
              <w:rPr>
                <w:noProof/>
                <w:szCs w:val="22"/>
                <w:lang w:val="de-DE"/>
              </w:rPr>
              <w:t xml:space="preserve">Scope 1 emissions from imec.netzero </w:t>
            </w:r>
            <w:r w:rsidR="007A2D87">
              <w:rPr>
                <w:noProof/>
                <w:szCs w:val="22"/>
                <w:lang w:val="de-DE"/>
              </w:rPr>
              <w:t xml:space="preserve">model </w:t>
            </w:r>
            <w:r w:rsidRPr="00260DCB">
              <w:rPr>
                <w:noProof/>
                <w:szCs w:val="22"/>
                <w:lang w:val="de-DE"/>
              </w:rPr>
              <w:t>/ tCO2e/wafer</w:t>
            </w:r>
          </w:p>
        </w:tc>
        <w:tc>
          <w:tcPr>
            <w:tcW w:w="2126" w:type="dxa"/>
          </w:tcPr>
          <w:p w14:paraId="07D3DC45" w14:textId="557D3A07" w:rsidR="00EC49AF" w:rsidRPr="008B13A5" w:rsidRDefault="00EC49AF">
            <w:pPr>
              <w:spacing w:after="160" w:line="257" w:lineRule="auto"/>
              <w:rPr>
                <w:rFonts w:eastAsia="Aptos"/>
                <w:noProof/>
                <w:szCs w:val="22"/>
              </w:rPr>
            </w:pPr>
            <w:r w:rsidRPr="008B13A5">
              <w:rPr>
                <w:rFonts w:eastAsia="Aptos"/>
                <w:noProof/>
                <w:szCs w:val="22"/>
              </w:rPr>
              <w:t>0.15</w:t>
            </w:r>
            <w:r w:rsidR="004325FB">
              <w:rPr>
                <w:rFonts w:eastAsia="Aptos"/>
                <w:noProof/>
                <w:szCs w:val="22"/>
              </w:rPr>
              <w:t xml:space="preserve"> (</w:t>
            </w:r>
            <w:r w:rsidR="008E1689">
              <w:rPr>
                <w:rStyle w:val="FootnoteReference"/>
                <w:rFonts w:eastAsia="Aptos"/>
                <w:noProof/>
                <w:szCs w:val="22"/>
              </w:rPr>
              <w:footnoteReference w:id="374"/>
            </w:r>
            <w:r w:rsidR="004325FB" w:rsidRPr="004325FB">
              <w:rPr>
                <w:rFonts w:eastAsia="Aptos"/>
                <w:noProof/>
                <w:szCs w:val="22"/>
              </w:rPr>
              <w:t>)</w:t>
            </w:r>
          </w:p>
        </w:tc>
      </w:tr>
      <w:tr w:rsidR="00EC49AF" w:rsidRPr="008B13A5" w14:paraId="198622B2" w14:textId="77777777" w:rsidTr="00F57D6B">
        <w:tc>
          <w:tcPr>
            <w:tcW w:w="7054" w:type="dxa"/>
          </w:tcPr>
          <w:p w14:paraId="10A90535" w14:textId="38B86AF4" w:rsidR="00EC49AF" w:rsidRPr="00260DCB" w:rsidRDefault="00EC49AF">
            <w:pPr>
              <w:spacing w:after="160" w:line="257" w:lineRule="auto"/>
              <w:rPr>
                <w:noProof/>
                <w:szCs w:val="22"/>
                <w:lang w:val="de-DE"/>
              </w:rPr>
            </w:pPr>
            <w:r w:rsidRPr="00260DCB">
              <w:rPr>
                <w:noProof/>
                <w:szCs w:val="22"/>
                <w:lang w:val="de-DE"/>
              </w:rPr>
              <w:t>Scope 2 emissions from imec.netzero</w:t>
            </w:r>
            <w:r w:rsidR="007A2D87">
              <w:rPr>
                <w:noProof/>
                <w:szCs w:val="22"/>
                <w:lang w:val="de-DE"/>
              </w:rPr>
              <w:t xml:space="preserve"> model</w:t>
            </w:r>
            <w:r w:rsidRPr="00260DCB">
              <w:rPr>
                <w:noProof/>
                <w:szCs w:val="22"/>
                <w:lang w:val="de-DE"/>
              </w:rPr>
              <w:t xml:space="preserve"> / tCO2e/wafer</w:t>
            </w:r>
          </w:p>
        </w:tc>
        <w:tc>
          <w:tcPr>
            <w:tcW w:w="2126" w:type="dxa"/>
          </w:tcPr>
          <w:p w14:paraId="3F396FE3" w14:textId="2F50B8CD" w:rsidR="00EC49AF" w:rsidRPr="008B13A5" w:rsidRDefault="00EC49AF">
            <w:pPr>
              <w:spacing w:after="160" w:line="257" w:lineRule="auto"/>
              <w:rPr>
                <w:rFonts w:eastAsia="Aptos"/>
                <w:noProof/>
                <w:szCs w:val="22"/>
              </w:rPr>
            </w:pPr>
            <w:r w:rsidRPr="008B13A5">
              <w:rPr>
                <w:rFonts w:eastAsia="Aptos"/>
                <w:noProof/>
                <w:szCs w:val="22"/>
              </w:rPr>
              <w:t>0.92</w:t>
            </w:r>
            <w:r w:rsidR="004325FB">
              <w:rPr>
                <w:rFonts w:eastAsia="Aptos"/>
                <w:noProof/>
                <w:szCs w:val="22"/>
              </w:rPr>
              <w:t xml:space="preserve"> (</w:t>
            </w:r>
            <w:r w:rsidR="008E1689">
              <w:rPr>
                <w:rStyle w:val="FootnoteReference"/>
                <w:rFonts w:eastAsia="Aptos"/>
                <w:noProof/>
                <w:szCs w:val="22"/>
              </w:rPr>
              <w:footnoteReference w:id="375"/>
            </w:r>
            <w:r w:rsidR="004325FB" w:rsidRPr="004325FB">
              <w:rPr>
                <w:rFonts w:eastAsia="Aptos"/>
                <w:noProof/>
                <w:szCs w:val="22"/>
              </w:rPr>
              <w:t>)</w:t>
            </w:r>
          </w:p>
        </w:tc>
      </w:tr>
      <w:tr w:rsidR="00EC49AF" w:rsidRPr="008B13A5" w14:paraId="747A0A95" w14:textId="77777777" w:rsidTr="00F57D6B">
        <w:tc>
          <w:tcPr>
            <w:tcW w:w="7054" w:type="dxa"/>
          </w:tcPr>
          <w:p w14:paraId="49EDC83A" w14:textId="7DFE3D6B" w:rsidR="00EC49AF" w:rsidRPr="00260DCB" w:rsidRDefault="00EC49AF">
            <w:pPr>
              <w:spacing w:after="160" w:line="257" w:lineRule="auto"/>
              <w:rPr>
                <w:noProof/>
                <w:szCs w:val="22"/>
                <w:lang w:val="de-DE"/>
              </w:rPr>
            </w:pPr>
            <w:r w:rsidRPr="00260DCB">
              <w:rPr>
                <w:noProof/>
                <w:szCs w:val="22"/>
                <w:lang w:val="de-DE"/>
              </w:rPr>
              <w:t xml:space="preserve">Scope 3 emissions from imec.netzero </w:t>
            </w:r>
            <w:r w:rsidR="007A2D87">
              <w:rPr>
                <w:noProof/>
                <w:szCs w:val="22"/>
                <w:lang w:val="de-DE"/>
              </w:rPr>
              <w:t xml:space="preserve">model </w:t>
            </w:r>
            <w:r w:rsidRPr="00260DCB">
              <w:rPr>
                <w:noProof/>
                <w:szCs w:val="22"/>
                <w:lang w:val="de-DE"/>
              </w:rPr>
              <w:t>/ tCO2e/wafer</w:t>
            </w:r>
          </w:p>
        </w:tc>
        <w:tc>
          <w:tcPr>
            <w:tcW w:w="2126" w:type="dxa"/>
          </w:tcPr>
          <w:p w14:paraId="42273070" w14:textId="49D3118E" w:rsidR="00EC49AF" w:rsidRPr="008B13A5" w:rsidRDefault="00EC49AF">
            <w:pPr>
              <w:spacing w:after="160" w:line="257" w:lineRule="auto"/>
              <w:rPr>
                <w:rFonts w:eastAsia="Aptos"/>
                <w:noProof/>
                <w:szCs w:val="22"/>
              </w:rPr>
            </w:pPr>
            <w:r w:rsidRPr="008B13A5">
              <w:rPr>
                <w:rFonts w:eastAsia="Aptos"/>
                <w:noProof/>
                <w:szCs w:val="22"/>
              </w:rPr>
              <w:t>0.48</w:t>
            </w:r>
            <w:r w:rsidR="004325FB">
              <w:rPr>
                <w:rFonts w:eastAsia="Aptos"/>
                <w:noProof/>
                <w:szCs w:val="22"/>
              </w:rPr>
              <w:t xml:space="preserve"> (</w:t>
            </w:r>
            <w:r w:rsidR="008E1689">
              <w:rPr>
                <w:rStyle w:val="FootnoteReference"/>
                <w:rFonts w:eastAsia="Aptos"/>
                <w:noProof/>
                <w:szCs w:val="22"/>
              </w:rPr>
              <w:footnoteReference w:id="376"/>
            </w:r>
            <w:r w:rsidR="004325FB" w:rsidRPr="004325FB">
              <w:rPr>
                <w:rFonts w:eastAsia="Aptos"/>
                <w:noProof/>
                <w:szCs w:val="22"/>
              </w:rPr>
              <w:t>)</w:t>
            </w:r>
          </w:p>
        </w:tc>
      </w:tr>
    </w:tbl>
    <w:p w14:paraId="08F4E46D" w14:textId="65232FE0" w:rsidR="00EC49AF" w:rsidRPr="008B13A5" w:rsidRDefault="00EC49AF" w:rsidP="00EC49AF">
      <w:pPr>
        <w:rPr>
          <w:noProof/>
          <w:szCs w:val="22"/>
        </w:rPr>
      </w:pPr>
      <w:r w:rsidRPr="008B13A5">
        <w:rPr>
          <w:noProof/>
          <w:szCs w:val="22"/>
        </w:rPr>
        <w:t xml:space="preserve">As modelled in </w:t>
      </w:r>
      <w:r w:rsidR="00BB3611">
        <w:rPr>
          <w:noProof/>
          <w:szCs w:val="22"/>
        </w:rPr>
        <w:t>Annex 4, section 1.2</w:t>
      </w:r>
      <w:r w:rsidRPr="008B13A5">
        <w:rPr>
          <w:noProof/>
          <w:szCs w:val="22"/>
        </w:rPr>
        <w:t>, the estimated capacity of a leading-edge fab could reach 25 000 wpm so 300 000 wpy in 2035. Taking this into consideration, total scope 1 and 2 emissions could be calculated based on the TSMC data.</w:t>
      </w:r>
      <w:r w:rsidR="0023170C">
        <w:rPr>
          <w:noProof/>
          <w:szCs w:val="22"/>
        </w:rPr>
        <w:t xml:space="preserve"> (</w:t>
      </w:r>
      <w:r w:rsidR="0023170C">
        <w:rPr>
          <w:rStyle w:val="FootnoteReference"/>
          <w:noProof/>
          <w:szCs w:val="22"/>
        </w:rPr>
        <w:footnoteReference w:id="377"/>
      </w:r>
      <w:r w:rsidR="0023170C">
        <w:rPr>
          <w:noProof/>
          <w:szCs w:val="22"/>
        </w:rPr>
        <w:t>)</w:t>
      </w:r>
    </w:p>
    <w:tbl>
      <w:tblPr>
        <w:tblStyle w:val="TableGrid"/>
        <w:tblW w:w="0" w:type="auto"/>
        <w:tblLook w:val="04A0" w:firstRow="1" w:lastRow="0" w:firstColumn="1" w:lastColumn="0" w:noHBand="0" w:noVBand="1"/>
      </w:tblPr>
      <w:tblGrid>
        <w:gridCol w:w="7115"/>
        <w:gridCol w:w="2065"/>
      </w:tblGrid>
      <w:tr w:rsidR="00EC49AF" w:rsidRPr="008B13A5" w14:paraId="533892CC" w14:textId="77777777" w:rsidTr="00F57D6B">
        <w:tc>
          <w:tcPr>
            <w:tcW w:w="7115" w:type="dxa"/>
          </w:tcPr>
          <w:p w14:paraId="35EBEB76" w14:textId="29CE2143" w:rsidR="00EC49AF" w:rsidRPr="008B13A5" w:rsidRDefault="00EC49AF">
            <w:pPr>
              <w:rPr>
                <w:noProof/>
                <w:szCs w:val="22"/>
              </w:rPr>
            </w:pPr>
            <w:r w:rsidRPr="008B13A5">
              <w:rPr>
                <w:noProof/>
                <w:szCs w:val="22"/>
              </w:rPr>
              <w:t>Total estimated capacity in 2035 of advanced manufacturing in scenario 2 / wpy</w:t>
            </w:r>
          </w:p>
        </w:tc>
        <w:tc>
          <w:tcPr>
            <w:tcW w:w="2065" w:type="dxa"/>
          </w:tcPr>
          <w:p w14:paraId="36B4DABF" w14:textId="1504949A" w:rsidR="00EC49AF" w:rsidRPr="008B13A5" w:rsidRDefault="00EC49AF">
            <w:pPr>
              <w:rPr>
                <w:noProof/>
                <w:szCs w:val="22"/>
              </w:rPr>
            </w:pPr>
            <w:r w:rsidRPr="008B13A5">
              <w:rPr>
                <w:noProof/>
                <w:szCs w:val="22"/>
              </w:rPr>
              <w:t>≈ 300 000</w:t>
            </w:r>
          </w:p>
        </w:tc>
      </w:tr>
      <w:tr w:rsidR="00EC49AF" w:rsidRPr="008B13A5" w14:paraId="61ADC1A1" w14:textId="77777777" w:rsidTr="00F57D6B">
        <w:tc>
          <w:tcPr>
            <w:tcW w:w="7115" w:type="dxa"/>
          </w:tcPr>
          <w:p w14:paraId="3C648BE7" w14:textId="2B75FB87" w:rsidR="00EC49AF" w:rsidRPr="008B13A5" w:rsidRDefault="00EC49AF">
            <w:pPr>
              <w:rPr>
                <w:noProof/>
                <w:szCs w:val="22"/>
              </w:rPr>
            </w:pPr>
            <w:r w:rsidRPr="008B13A5">
              <w:rPr>
                <w:noProof/>
                <w:szCs w:val="22"/>
              </w:rPr>
              <w:t xml:space="preserve">Estimated scope 1 emissions of one leading-edge fab in scenario 2/ </w:t>
            </w:r>
            <w:r w:rsidRPr="00BD008E">
              <w:rPr>
                <w:noProof/>
                <w:szCs w:val="22"/>
              </w:rPr>
              <w:t>tCO2e per year</w:t>
            </w:r>
          </w:p>
        </w:tc>
        <w:tc>
          <w:tcPr>
            <w:tcW w:w="2065" w:type="dxa"/>
          </w:tcPr>
          <w:p w14:paraId="7857F70E" w14:textId="1A04D466" w:rsidR="00EC49AF" w:rsidRPr="008B13A5" w:rsidRDefault="00EC49AF">
            <w:pPr>
              <w:rPr>
                <w:noProof/>
                <w:szCs w:val="22"/>
              </w:rPr>
            </w:pPr>
            <w:r w:rsidRPr="008B13A5">
              <w:rPr>
                <w:noProof/>
                <w:szCs w:val="22"/>
              </w:rPr>
              <w:t>≈ 42 465</w:t>
            </w:r>
          </w:p>
        </w:tc>
      </w:tr>
      <w:tr w:rsidR="00EC49AF" w:rsidRPr="008B13A5" w14:paraId="24BD0257" w14:textId="77777777" w:rsidTr="00F57D6B">
        <w:tc>
          <w:tcPr>
            <w:tcW w:w="7115" w:type="dxa"/>
          </w:tcPr>
          <w:p w14:paraId="61EA2CE8" w14:textId="26E39A59" w:rsidR="00EC49AF" w:rsidRPr="008B13A5" w:rsidRDefault="00EC49AF">
            <w:pPr>
              <w:rPr>
                <w:noProof/>
                <w:szCs w:val="22"/>
              </w:rPr>
            </w:pPr>
            <w:r w:rsidRPr="008B13A5">
              <w:rPr>
                <w:noProof/>
                <w:szCs w:val="22"/>
              </w:rPr>
              <w:t xml:space="preserve">Estimated scope 2 (location-based) of one leading-edge fab in scenario 2 / </w:t>
            </w:r>
            <w:r w:rsidRPr="00BD008E">
              <w:rPr>
                <w:noProof/>
                <w:szCs w:val="22"/>
              </w:rPr>
              <w:t>tCO2e per year</w:t>
            </w:r>
          </w:p>
        </w:tc>
        <w:tc>
          <w:tcPr>
            <w:tcW w:w="2065" w:type="dxa"/>
          </w:tcPr>
          <w:p w14:paraId="6FC99DF0" w14:textId="633A0A7A" w:rsidR="00EC49AF" w:rsidRPr="008B13A5" w:rsidRDefault="00EC49AF">
            <w:pPr>
              <w:rPr>
                <w:noProof/>
                <w:szCs w:val="22"/>
              </w:rPr>
            </w:pPr>
            <w:r w:rsidRPr="008B13A5">
              <w:rPr>
                <w:noProof/>
                <w:szCs w:val="22"/>
              </w:rPr>
              <w:t>≈ 294 766</w:t>
            </w:r>
          </w:p>
        </w:tc>
      </w:tr>
      <w:tr w:rsidR="00EC49AF" w:rsidRPr="008B13A5" w14:paraId="7C9EECB7" w14:textId="77777777" w:rsidTr="00F57D6B">
        <w:tc>
          <w:tcPr>
            <w:tcW w:w="7115" w:type="dxa"/>
          </w:tcPr>
          <w:p w14:paraId="020F8AB7" w14:textId="1EA501FE" w:rsidR="00EC49AF" w:rsidRPr="008B13A5" w:rsidRDefault="00EC49AF">
            <w:pPr>
              <w:rPr>
                <w:noProof/>
                <w:szCs w:val="22"/>
              </w:rPr>
            </w:pPr>
            <w:r w:rsidRPr="008B13A5">
              <w:rPr>
                <w:noProof/>
                <w:szCs w:val="22"/>
              </w:rPr>
              <w:t xml:space="preserve">Estimated scope 2 (market-based) of one leading-edge fab in scenario 2 / </w:t>
            </w:r>
            <w:r w:rsidRPr="00BD008E">
              <w:rPr>
                <w:noProof/>
                <w:szCs w:val="22"/>
              </w:rPr>
              <w:t>tCO2e per year</w:t>
            </w:r>
          </w:p>
        </w:tc>
        <w:tc>
          <w:tcPr>
            <w:tcW w:w="2065" w:type="dxa"/>
          </w:tcPr>
          <w:p w14:paraId="2949506B" w14:textId="4A7C7C96" w:rsidR="00EC49AF" w:rsidRPr="008B13A5" w:rsidRDefault="00EC49AF">
            <w:pPr>
              <w:rPr>
                <w:noProof/>
                <w:szCs w:val="22"/>
              </w:rPr>
            </w:pPr>
            <w:r w:rsidRPr="008B13A5">
              <w:rPr>
                <w:noProof/>
                <w:szCs w:val="22"/>
              </w:rPr>
              <w:t>≈ 254 814</w:t>
            </w:r>
          </w:p>
        </w:tc>
      </w:tr>
      <w:tr w:rsidR="00EC49AF" w:rsidRPr="008B13A5" w14:paraId="3D82F550" w14:textId="77777777" w:rsidTr="00F57D6B">
        <w:tc>
          <w:tcPr>
            <w:tcW w:w="7115" w:type="dxa"/>
          </w:tcPr>
          <w:p w14:paraId="77EC2323" w14:textId="0A306D55" w:rsidR="00EC49AF" w:rsidRPr="008B13A5" w:rsidRDefault="00EC49AF">
            <w:pPr>
              <w:rPr>
                <w:noProof/>
                <w:szCs w:val="22"/>
              </w:rPr>
            </w:pPr>
            <w:r w:rsidRPr="008B13A5">
              <w:rPr>
                <w:noProof/>
                <w:szCs w:val="22"/>
              </w:rPr>
              <w:t>Estimated energy consumption of a one leading-edge / GWh per year</w:t>
            </w:r>
          </w:p>
        </w:tc>
        <w:tc>
          <w:tcPr>
            <w:tcW w:w="2065" w:type="dxa"/>
          </w:tcPr>
          <w:p w14:paraId="390CDCE4" w14:textId="4F2BA613" w:rsidR="00EC49AF" w:rsidRPr="008B13A5" w:rsidRDefault="00EC49AF">
            <w:pPr>
              <w:rPr>
                <w:noProof/>
                <w:szCs w:val="22"/>
              </w:rPr>
            </w:pPr>
            <w:r w:rsidRPr="008B13A5">
              <w:rPr>
                <w:noProof/>
                <w:szCs w:val="22"/>
              </w:rPr>
              <w:t>≈ 639</w:t>
            </w:r>
          </w:p>
        </w:tc>
      </w:tr>
      <w:tr w:rsidR="00EC49AF" w:rsidRPr="008B13A5" w14:paraId="032DF384" w14:textId="77777777" w:rsidTr="00F57D6B">
        <w:tc>
          <w:tcPr>
            <w:tcW w:w="7115" w:type="dxa"/>
          </w:tcPr>
          <w:p w14:paraId="6409D9C6" w14:textId="31C08FFC" w:rsidR="00EC49AF" w:rsidRPr="008B13A5" w:rsidRDefault="00EC49AF">
            <w:pPr>
              <w:rPr>
                <w:noProof/>
                <w:szCs w:val="22"/>
              </w:rPr>
            </w:pPr>
            <w:r w:rsidRPr="008B13A5">
              <w:rPr>
                <w:noProof/>
                <w:szCs w:val="22"/>
              </w:rPr>
              <w:t>Estimated water withdrawal of one leading-edge fab in scenario 2 / Mio m</w:t>
            </w:r>
            <w:r w:rsidRPr="008B13A5">
              <w:rPr>
                <w:noProof/>
                <w:szCs w:val="22"/>
                <w:vertAlign w:val="superscript"/>
              </w:rPr>
              <w:t>3</w:t>
            </w:r>
            <w:r w:rsidRPr="008B13A5">
              <w:rPr>
                <w:noProof/>
                <w:szCs w:val="22"/>
              </w:rPr>
              <w:t xml:space="preserve"> per year</w:t>
            </w:r>
          </w:p>
        </w:tc>
        <w:tc>
          <w:tcPr>
            <w:tcW w:w="2065" w:type="dxa"/>
          </w:tcPr>
          <w:p w14:paraId="68F4675B" w14:textId="673D1DEA" w:rsidR="00EC49AF" w:rsidRPr="008B13A5" w:rsidRDefault="00EC49AF">
            <w:pPr>
              <w:rPr>
                <w:noProof/>
                <w:szCs w:val="22"/>
              </w:rPr>
            </w:pPr>
            <w:r w:rsidRPr="008B13A5">
              <w:rPr>
                <w:noProof/>
                <w:szCs w:val="22"/>
              </w:rPr>
              <w:t>≈ 2.994</w:t>
            </w:r>
          </w:p>
        </w:tc>
      </w:tr>
      <w:tr w:rsidR="00EC49AF" w:rsidRPr="008B13A5" w14:paraId="2D051987" w14:textId="77777777" w:rsidTr="00F57D6B">
        <w:tc>
          <w:tcPr>
            <w:tcW w:w="7115" w:type="dxa"/>
          </w:tcPr>
          <w:p w14:paraId="14E3C02F" w14:textId="21A490BF" w:rsidR="00EC49AF" w:rsidRPr="008B13A5" w:rsidRDefault="00EC49AF">
            <w:pPr>
              <w:rPr>
                <w:noProof/>
                <w:szCs w:val="22"/>
              </w:rPr>
            </w:pPr>
            <w:r w:rsidRPr="00BD008E">
              <w:rPr>
                <w:noProof/>
                <w:szCs w:val="22"/>
              </w:rPr>
              <w:t xml:space="preserve">Estimated total scope 1 </w:t>
            </w:r>
            <w:r w:rsidRPr="008B13A5">
              <w:rPr>
                <w:noProof/>
                <w:szCs w:val="22"/>
              </w:rPr>
              <w:t>in 2035 one leading-edge fab in scenario 2 using imec.netzero model</w:t>
            </w:r>
            <w:r w:rsidR="004325FB">
              <w:rPr>
                <w:noProof/>
                <w:szCs w:val="22"/>
              </w:rPr>
              <w:t xml:space="preserve"> (</w:t>
            </w:r>
            <w:r w:rsidR="00930A38">
              <w:rPr>
                <w:rStyle w:val="FootnoteReference"/>
                <w:noProof/>
                <w:szCs w:val="22"/>
              </w:rPr>
              <w:footnoteReference w:id="378"/>
            </w:r>
            <w:r w:rsidR="004325FB" w:rsidRPr="004325FB">
              <w:rPr>
                <w:rFonts w:eastAsia="Aptos"/>
                <w:noProof/>
                <w:szCs w:val="22"/>
              </w:rPr>
              <w:t>)</w:t>
            </w:r>
            <w:r w:rsidR="004325FB">
              <w:rPr>
                <w:rFonts w:eastAsia="Aptos"/>
                <w:noProof/>
                <w:szCs w:val="22"/>
              </w:rPr>
              <w:t xml:space="preserve"> </w:t>
            </w:r>
            <w:r w:rsidRPr="00BD008E">
              <w:rPr>
                <w:noProof/>
                <w:szCs w:val="22"/>
              </w:rPr>
              <w:t>/ tCO2e</w:t>
            </w:r>
          </w:p>
        </w:tc>
        <w:tc>
          <w:tcPr>
            <w:tcW w:w="2065" w:type="dxa"/>
          </w:tcPr>
          <w:p w14:paraId="00508B85" w14:textId="17B43542" w:rsidR="00EC49AF" w:rsidRPr="008B13A5" w:rsidRDefault="00EC49AF">
            <w:pPr>
              <w:rPr>
                <w:noProof/>
                <w:szCs w:val="22"/>
              </w:rPr>
            </w:pPr>
            <w:r w:rsidRPr="008B13A5">
              <w:rPr>
                <w:noProof/>
                <w:szCs w:val="22"/>
              </w:rPr>
              <w:t>45 000</w:t>
            </w:r>
          </w:p>
        </w:tc>
      </w:tr>
      <w:tr w:rsidR="00EC49AF" w:rsidRPr="008B13A5" w14:paraId="0673FB12" w14:textId="77777777" w:rsidTr="00F57D6B">
        <w:tc>
          <w:tcPr>
            <w:tcW w:w="7115" w:type="dxa"/>
          </w:tcPr>
          <w:p w14:paraId="37B109F7" w14:textId="76355D50" w:rsidR="00EC49AF" w:rsidRPr="008B13A5" w:rsidRDefault="00EC49AF">
            <w:pPr>
              <w:rPr>
                <w:noProof/>
                <w:szCs w:val="22"/>
              </w:rPr>
            </w:pPr>
            <w:r w:rsidRPr="008B13A5">
              <w:rPr>
                <w:noProof/>
                <w:szCs w:val="22"/>
              </w:rPr>
              <w:t>Estimated total scope 2 emissions in 2035 of one leading-edge fab in scenario 2 using imec.netzero model</w:t>
            </w:r>
            <w:r w:rsidR="004325FB">
              <w:rPr>
                <w:noProof/>
                <w:szCs w:val="22"/>
              </w:rPr>
              <w:t xml:space="preserve"> (</w:t>
            </w:r>
            <w:r w:rsidR="00930A38">
              <w:rPr>
                <w:rStyle w:val="FootnoteReference"/>
                <w:noProof/>
                <w:szCs w:val="22"/>
              </w:rPr>
              <w:footnoteReference w:id="379"/>
            </w:r>
            <w:r w:rsidR="004325FB" w:rsidRPr="004325FB">
              <w:rPr>
                <w:rFonts w:eastAsia="Aptos"/>
                <w:noProof/>
                <w:szCs w:val="22"/>
              </w:rPr>
              <w:t>)</w:t>
            </w:r>
            <w:r w:rsidRPr="008B13A5">
              <w:rPr>
                <w:noProof/>
                <w:szCs w:val="22"/>
                <w:vertAlign w:val="superscript"/>
              </w:rPr>
              <w:t xml:space="preserve"> </w:t>
            </w:r>
            <w:r w:rsidRPr="008B13A5">
              <w:rPr>
                <w:noProof/>
                <w:szCs w:val="22"/>
              </w:rPr>
              <w:t>/ tCO2e</w:t>
            </w:r>
          </w:p>
        </w:tc>
        <w:tc>
          <w:tcPr>
            <w:tcW w:w="2065" w:type="dxa"/>
          </w:tcPr>
          <w:p w14:paraId="1DD81A41" w14:textId="53DD2AD3" w:rsidR="00EC49AF" w:rsidRPr="008B13A5" w:rsidRDefault="00EC49AF">
            <w:pPr>
              <w:rPr>
                <w:noProof/>
                <w:szCs w:val="22"/>
              </w:rPr>
            </w:pPr>
            <w:r w:rsidRPr="008B13A5">
              <w:rPr>
                <w:noProof/>
                <w:szCs w:val="22"/>
              </w:rPr>
              <w:t>276 000</w:t>
            </w:r>
          </w:p>
        </w:tc>
      </w:tr>
      <w:tr w:rsidR="00EC49AF" w:rsidRPr="008B13A5" w14:paraId="5F33E3EF" w14:textId="77777777" w:rsidTr="00F57D6B">
        <w:tc>
          <w:tcPr>
            <w:tcW w:w="7115" w:type="dxa"/>
          </w:tcPr>
          <w:p w14:paraId="2A7391A5" w14:textId="5AB3FCF1" w:rsidR="00EC49AF" w:rsidRPr="008B13A5" w:rsidRDefault="00EC49AF">
            <w:pPr>
              <w:rPr>
                <w:noProof/>
                <w:szCs w:val="22"/>
              </w:rPr>
            </w:pPr>
            <w:r w:rsidRPr="008B13A5">
              <w:rPr>
                <w:noProof/>
                <w:szCs w:val="22"/>
              </w:rPr>
              <w:t>Estimated total scope 3 emissions in 2035 of one leading-edge fab in scenario 2 using imec.netzero model</w:t>
            </w:r>
            <w:r w:rsidR="004325FB">
              <w:rPr>
                <w:noProof/>
                <w:szCs w:val="22"/>
              </w:rPr>
              <w:t xml:space="preserve"> (</w:t>
            </w:r>
            <w:r w:rsidR="00930A38">
              <w:rPr>
                <w:rStyle w:val="FootnoteReference"/>
                <w:noProof/>
                <w:szCs w:val="22"/>
              </w:rPr>
              <w:footnoteReference w:id="380"/>
            </w:r>
            <w:r w:rsidR="004325FB" w:rsidRPr="004325FB">
              <w:rPr>
                <w:rFonts w:eastAsia="Aptos"/>
                <w:noProof/>
                <w:szCs w:val="22"/>
              </w:rPr>
              <w:t>)</w:t>
            </w:r>
            <w:r w:rsidR="004325FB">
              <w:rPr>
                <w:rFonts w:eastAsia="Aptos"/>
                <w:noProof/>
                <w:szCs w:val="22"/>
              </w:rPr>
              <w:t xml:space="preserve"> </w:t>
            </w:r>
            <w:r w:rsidRPr="008B13A5">
              <w:rPr>
                <w:noProof/>
                <w:szCs w:val="22"/>
              </w:rPr>
              <w:t>/ tCO2e</w:t>
            </w:r>
          </w:p>
        </w:tc>
        <w:tc>
          <w:tcPr>
            <w:tcW w:w="2065" w:type="dxa"/>
          </w:tcPr>
          <w:p w14:paraId="2EA731F2" w14:textId="554852BE" w:rsidR="00EC49AF" w:rsidRPr="008B13A5" w:rsidRDefault="00EC49AF">
            <w:pPr>
              <w:rPr>
                <w:noProof/>
                <w:szCs w:val="22"/>
              </w:rPr>
            </w:pPr>
            <w:r w:rsidRPr="008B13A5">
              <w:rPr>
                <w:noProof/>
                <w:szCs w:val="22"/>
              </w:rPr>
              <w:t>144 000</w:t>
            </w:r>
          </w:p>
        </w:tc>
      </w:tr>
    </w:tbl>
    <w:p w14:paraId="64BC2B8D" w14:textId="77777777" w:rsidR="004325FB" w:rsidRDefault="004325FB" w:rsidP="00EC49AF">
      <w:pPr>
        <w:rPr>
          <w:noProof/>
          <w:szCs w:val="22"/>
        </w:rPr>
      </w:pPr>
    </w:p>
    <w:p w14:paraId="21DFB75C" w14:textId="4E704454" w:rsidR="00EC49AF" w:rsidRPr="008B13A5" w:rsidRDefault="00EC49AF" w:rsidP="00EC49AF">
      <w:pPr>
        <w:rPr>
          <w:noProof/>
          <w:szCs w:val="22"/>
        </w:rPr>
      </w:pPr>
      <w:r w:rsidRPr="008B13A5">
        <w:rPr>
          <w:noProof/>
          <w:szCs w:val="22"/>
        </w:rPr>
        <w:t>It should be noted that in</w:t>
      </w:r>
      <w:r w:rsidRPr="008B13A5">
        <w:rPr>
          <w:noProof/>
        </w:rPr>
        <w:t xml:space="preserve"> </w:t>
      </w:r>
      <w:r w:rsidRPr="008B13A5">
        <w:rPr>
          <w:noProof/>
          <w:szCs w:val="22"/>
        </w:rPr>
        <w:t>Taiwan, the power system remains heavily dependent on fossil fuels—with more than 80 % of generation from gas and coal and an average carbon intensity above ~0.50 tCO₂ per MWh (≈ 500 gCO₂/kWh) in 2024/25 – reflecting limited low-carbon penetration in its grid mix.</w:t>
      </w:r>
      <w:r w:rsidR="00F274DD" w:rsidRPr="008B13A5">
        <w:rPr>
          <w:noProof/>
          <w:szCs w:val="22"/>
        </w:rPr>
        <w:t xml:space="preserve"> </w:t>
      </w:r>
      <w:r w:rsidRPr="008B13A5">
        <w:rPr>
          <w:noProof/>
          <w:szCs w:val="22"/>
        </w:rPr>
        <w:t>(</w:t>
      </w:r>
      <w:r w:rsidRPr="008B13A5">
        <w:rPr>
          <w:rStyle w:val="FootnoteReference"/>
          <w:noProof/>
          <w:szCs w:val="22"/>
        </w:rPr>
        <w:footnoteReference w:id="381"/>
      </w:r>
      <w:r w:rsidRPr="008B13A5">
        <w:rPr>
          <w:noProof/>
          <w:szCs w:val="22"/>
        </w:rPr>
        <w:t>)</w:t>
      </w:r>
      <w:r w:rsidRPr="008B13A5">
        <w:rPr>
          <w:noProof/>
        </w:rPr>
        <w:t xml:space="preserve"> </w:t>
      </w:r>
      <w:r w:rsidRPr="008B13A5">
        <w:rPr>
          <w:noProof/>
          <w:szCs w:val="22"/>
        </w:rPr>
        <w:t>In contrast, the Europe electricity system, particularly at the EU level, benefits from a far higher share of renewables and nuclear generation combined with aggressive decarbonization policies. As a result, the average carbon intensity of electricity generation in the EU in 2024 was around 0.21–0.24 tCO₂/kWh (≈ 210–240 gCO₂/kWh), less than half the global average and substantially below typical Taiwanese levels.</w:t>
      </w:r>
      <w:r w:rsidR="004325FB">
        <w:rPr>
          <w:noProof/>
          <w:szCs w:val="22"/>
        </w:rPr>
        <w:t xml:space="preserve"> </w:t>
      </w:r>
      <w:r w:rsidRPr="008B13A5">
        <w:rPr>
          <w:noProof/>
          <w:szCs w:val="22"/>
        </w:rPr>
        <w:t>(</w:t>
      </w:r>
      <w:r w:rsidRPr="008B13A5">
        <w:rPr>
          <w:rStyle w:val="FootnoteReference"/>
          <w:noProof/>
          <w:szCs w:val="22"/>
        </w:rPr>
        <w:footnoteReference w:id="382"/>
      </w:r>
      <w:r w:rsidRPr="008B13A5">
        <w:rPr>
          <w:noProof/>
          <w:szCs w:val="22"/>
        </w:rPr>
        <w:t xml:space="preserve">) This structural difference means that, for identical electricity use, </w:t>
      </w:r>
      <w:r w:rsidR="00C01A58">
        <w:rPr>
          <w:noProof/>
          <w:szCs w:val="22"/>
        </w:rPr>
        <w:t>s</w:t>
      </w:r>
      <w:r w:rsidRPr="008B13A5">
        <w:rPr>
          <w:noProof/>
          <w:szCs w:val="22"/>
        </w:rPr>
        <w:t xml:space="preserve">cope 2 emissions (location-based) calculated with European grid factors are often </w:t>
      </w:r>
      <w:r w:rsidRPr="008B13A5">
        <w:rPr>
          <w:b/>
          <w:bCs/>
          <w:noProof/>
          <w:szCs w:val="22"/>
        </w:rPr>
        <w:t>~40% or more lower</w:t>
      </w:r>
      <w:r w:rsidRPr="008B13A5">
        <w:rPr>
          <w:noProof/>
          <w:szCs w:val="22"/>
        </w:rPr>
        <w:t xml:space="preserve"> than when Taiwan’s grid mix is applied, a gap driven by Europe’s greater penetration of low-carbon energy sources and ongoing decarbonization of its power sector.</w:t>
      </w:r>
    </w:p>
    <w:p w14:paraId="1E8A16EC" w14:textId="5EAB3768" w:rsidR="00EC49AF" w:rsidRPr="008B13A5" w:rsidRDefault="00EC49AF" w:rsidP="00EC49AF">
      <w:pPr>
        <w:rPr>
          <w:noProof/>
          <w:szCs w:val="22"/>
        </w:rPr>
      </w:pPr>
      <w:r w:rsidRPr="008B13A5">
        <w:rPr>
          <w:noProof/>
          <w:szCs w:val="22"/>
        </w:rPr>
        <w:t xml:space="preserve">Additionally, it is estimated that </w:t>
      </w:r>
      <w:r w:rsidRPr="008B13A5">
        <w:rPr>
          <w:b/>
          <w:bCs/>
          <w:noProof/>
          <w:szCs w:val="22"/>
        </w:rPr>
        <w:t>emissions per wafer are expected to increase due to more complex manufacturing processes</w:t>
      </w:r>
      <w:r w:rsidRPr="008B13A5">
        <w:rPr>
          <w:noProof/>
          <w:szCs w:val="22"/>
        </w:rPr>
        <w:t>. The analysis results indicate an average annual increase of 5.79% in emissions per wafer since 2013.</w:t>
      </w:r>
      <w:r w:rsidR="00F274DD" w:rsidRPr="008B13A5">
        <w:rPr>
          <w:noProof/>
          <w:szCs w:val="22"/>
        </w:rPr>
        <w:t xml:space="preserve"> </w:t>
      </w:r>
      <w:r w:rsidRPr="008B13A5">
        <w:rPr>
          <w:noProof/>
          <w:szCs w:val="22"/>
        </w:rPr>
        <w:t>(</w:t>
      </w:r>
      <w:r w:rsidRPr="008B13A5">
        <w:rPr>
          <w:rStyle w:val="FootnoteReference"/>
          <w:noProof/>
          <w:szCs w:val="22"/>
        </w:rPr>
        <w:footnoteReference w:id="383"/>
      </w:r>
      <w:r w:rsidRPr="008B13A5">
        <w:rPr>
          <w:noProof/>
          <w:szCs w:val="22"/>
        </w:rPr>
        <w:t xml:space="preserve">) Assuming that the above analysis was </w:t>
      </w:r>
      <w:r w:rsidR="0043166B">
        <w:rPr>
          <w:noProof/>
          <w:szCs w:val="22"/>
        </w:rPr>
        <w:t xml:space="preserve">conducted </w:t>
      </w:r>
      <w:r w:rsidRPr="008B13A5">
        <w:rPr>
          <w:noProof/>
          <w:szCs w:val="22"/>
        </w:rPr>
        <w:t xml:space="preserve">for the year 2025, and </w:t>
      </w:r>
      <w:r w:rsidR="00C9522E">
        <w:rPr>
          <w:noProof/>
          <w:szCs w:val="22"/>
        </w:rPr>
        <w:t>accounting for an</w:t>
      </w:r>
      <w:r w:rsidRPr="008B13A5">
        <w:rPr>
          <w:noProof/>
          <w:szCs w:val="22"/>
        </w:rPr>
        <w:t xml:space="preserve"> average annual increase of 5.79% in emissions per </w:t>
      </w:r>
      <w:r w:rsidR="00C9522E">
        <w:rPr>
          <w:noProof/>
          <w:szCs w:val="22"/>
        </w:rPr>
        <w:t>wafer</w:t>
      </w:r>
      <w:r w:rsidRPr="008B13A5">
        <w:rPr>
          <w:noProof/>
          <w:szCs w:val="22"/>
        </w:rPr>
        <w:t xml:space="preserve">, </w:t>
      </w:r>
      <w:r w:rsidR="00C01A58">
        <w:rPr>
          <w:noProof/>
          <w:szCs w:val="22"/>
        </w:rPr>
        <w:t>the</w:t>
      </w:r>
      <w:r w:rsidR="00C9522E">
        <w:rPr>
          <w:noProof/>
          <w:szCs w:val="22"/>
        </w:rPr>
        <w:t xml:space="preserve"> revised</w:t>
      </w:r>
      <w:r w:rsidR="00C01A58">
        <w:rPr>
          <w:noProof/>
          <w:szCs w:val="22"/>
        </w:rPr>
        <w:t xml:space="preserve"> </w:t>
      </w:r>
      <w:r w:rsidRPr="008B13A5">
        <w:rPr>
          <w:noProof/>
          <w:szCs w:val="22"/>
        </w:rPr>
        <w:t>calculation</w:t>
      </w:r>
      <w:r w:rsidR="00C01A58">
        <w:rPr>
          <w:noProof/>
          <w:szCs w:val="22"/>
        </w:rPr>
        <w:t xml:space="preserve">s are presented </w:t>
      </w:r>
      <w:r w:rsidRPr="008B13A5">
        <w:rPr>
          <w:noProof/>
          <w:szCs w:val="22"/>
        </w:rPr>
        <w:t>below:</w:t>
      </w:r>
    </w:p>
    <w:tbl>
      <w:tblPr>
        <w:tblStyle w:val="TableGrid"/>
        <w:tblW w:w="0" w:type="auto"/>
        <w:tblLook w:val="04A0" w:firstRow="1" w:lastRow="0" w:firstColumn="1" w:lastColumn="0" w:noHBand="0" w:noVBand="1"/>
      </w:tblPr>
      <w:tblGrid>
        <w:gridCol w:w="7391"/>
        <w:gridCol w:w="1895"/>
      </w:tblGrid>
      <w:tr w:rsidR="00EC49AF" w:rsidRPr="008B13A5" w14:paraId="2886770A" w14:textId="77777777">
        <w:tc>
          <w:tcPr>
            <w:tcW w:w="7650" w:type="dxa"/>
          </w:tcPr>
          <w:p w14:paraId="329E0EB0" w14:textId="23F04FCA" w:rsidR="00EC49AF" w:rsidRPr="008B13A5" w:rsidRDefault="00EC49AF">
            <w:pPr>
              <w:rPr>
                <w:noProof/>
                <w:szCs w:val="22"/>
              </w:rPr>
            </w:pPr>
            <w:r w:rsidRPr="008B13A5">
              <w:rPr>
                <w:noProof/>
                <w:szCs w:val="22"/>
              </w:rPr>
              <w:t xml:space="preserve">Estimated scope 1 emissions in 2035 for a leading-edge fab in scenario 2 assuming 5.79% annual increase / </w:t>
            </w:r>
            <w:r w:rsidRPr="00BD008E">
              <w:rPr>
                <w:noProof/>
                <w:szCs w:val="22"/>
              </w:rPr>
              <w:t>tCO2e</w:t>
            </w:r>
          </w:p>
        </w:tc>
        <w:tc>
          <w:tcPr>
            <w:tcW w:w="1952" w:type="dxa"/>
          </w:tcPr>
          <w:p w14:paraId="74A63D31" w14:textId="4DD285CD" w:rsidR="00EC49AF" w:rsidRPr="008B13A5" w:rsidRDefault="00EC49AF">
            <w:pPr>
              <w:rPr>
                <w:noProof/>
                <w:szCs w:val="22"/>
              </w:rPr>
            </w:pPr>
            <w:r w:rsidRPr="008B13A5">
              <w:rPr>
                <w:noProof/>
                <w:szCs w:val="22"/>
              </w:rPr>
              <w:t>≈  74 555</w:t>
            </w:r>
          </w:p>
        </w:tc>
      </w:tr>
      <w:tr w:rsidR="00EC49AF" w:rsidRPr="008B13A5" w14:paraId="3B50B16F" w14:textId="77777777">
        <w:tc>
          <w:tcPr>
            <w:tcW w:w="7650" w:type="dxa"/>
          </w:tcPr>
          <w:p w14:paraId="49918663" w14:textId="4CEC7CDB" w:rsidR="00EC49AF" w:rsidRPr="008B13A5" w:rsidRDefault="00EC49AF">
            <w:pPr>
              <w:rPr>
                <w:noProof/>
                <w:szCs w:val="22"/>
              </w:rPr>
            </w:pPr>
            <w:r w:rsidRPr="008B13A5">
              <w:rPr>
                <w:noProof/>
                <w:szCs w:val="22"/>
              </w:rPr>
              <w:t xml:space="preserve">Estimated scope 2 (location-based) of a leading-edge fab in scenario 2 assuming 5.79% annual increase / </w:t>
            </w:r>
            <w:r w:rsidRPr="00BD008E">
              <w:rPr>
                <w:noProof/>
                <w:szCs w:val="22"/>
              </w:rPr>
              <w:t>tCO2e</w:t>
            </w:r>
          </w:p>
        </w:tc>
        <w:tc>
          <w:tcPr>
            <w:tcW w:w="1952" w:type="dxa"/>
          </w:tcPr>
          <w:p w14:paraId="6EDD4FF1" w14:textId="6C19C39D" w:rsidR="00EC49AF" w:rsidRPr="008B13A5" w:rsidRDefault="00EC49AF">
            <w:pPr>
              <w:rPr>
                <w:noProof/>
                <w:szCs w:val="22"/>
              </w:rPr>
            </w:pPr>
            <w:r w:rsidRPr="008B13A5">
              <w:rPr>
                <w:noProof/>
                <w:szCs w:val="22"/>
              </w:rPr>
              <w:t>≈  517 515</w:t>
            </w:r>
          </w:p>
        </w:tc>
      </w:tr>
      <w:tr w:rsidR="00EC49AF" w:rsidRPr="008B13A5" w14:paraId="48968C81" w14:textId="77777777">
        <w:tc>
          <w:tcPr>
            <w:tcW w:w="7650" w:type="dxa"/>
          </w:tcPr>
          <w:p w14:paraId="21B3C3EC" w14:textId="41B88408" w:rsidR="00EC49AF" w:rsidRPr="008B13A5" w:rsidRDefault="00EC49AF">
            <w:pPr>
              <w:rPr>
                <w:noProof/>
              </w:rPr>
            </w:pPr>
            <w:r w:rsidRPr="008B13A5">
              <w:rPr>
                <w:noProof/>
              </w:rPr>
              <w:t xml:space="preserve">Estimated scope 2 (location-based) of a leading-edge fab in scenario 2 assuming 5.79% annual increase </w:t>
            </w:r>
            <w:r w:rsidRPr="008B13A5">
              <w:rPr>
                <w:b/>
                <w:noProof/>
              </w:rPr>
              <w:t>adjusted for European electricity mix</w:t>
            </w:r>
            <w:r w:rsidRPr="008B13A5">
              <w:rPr>
                <w:noProof/>
              </w:rPr>
              <w:t xml:space="preserve"> / </w:t>
            </w:r>
            <w:r w:rsidRPr="00BD008E">
              <w:rPr>
                <w:noProof/>
              </w:rPr>
              <w:t>tCO2e</w:t>
            </w:r>
          </w:p>
        </w:tc>
        <w:tc>
          <w:tcPr>
            <w:tcW w:w="1952" w:type="dxa"/>
          </w:tcPr>
          <w:p w14:paraId="086FEAFC" w14:textId="37B9187E" w:rsidR="00EC49AF" w:rsidRPr="008B13A5" w:rsidRDefault="00EC49AF">
            <w:pPr>
              <w:rPr>
                <w:noProof/>
                <w:szCs w:val="22"/>
              </w:rPr>
            </w:pPr>
            <w:r w:rsidRPr="008B13A5">
              <w:rPr>
                <w:noProof/>
                <w:szCs w:val="22"/>
              </w:rPr>
              <w:t>≈ 310 509</w:t>
            </w:r>
          </w:p>
        </w:tc>
      </w:tr>
      <w:tr w:rsidR="00EC49AF" w:rsidRPr="008B13A5" w14:paraId="311DBD70" w14:textId="77777777">
        <w:tc>
          <w:tcPr>
            <w:tcW w:w="7650" w:type="dxa"/>
          </w:tcPr>
          <w:p w14:paraId="52990B3A" w14:textId="4734105E" w:rsidR="00EC49AF" w:rsidRPr="008B13A5" w:rsidRDefault="00EC49AF">
            <w:pPr>
              <w:rPr>
                <w:noProof/>
                <w:szCs w:val="22"/>
              </w:rPr>
            </w:pPr>
            <w:r w:rsidRPr="008B13A5">
              <w:rPr>
                <w:noProof/>
                <w:szCs w:val="22"/>
              </w:rPr>
              <w:t xml:space="preserve">Estimated scope 2 (market-based) of a leading-edge fab in scenario 2 assuming 5.79% annual increase / </w:t>
            </w:r>
            <w:r w:rsidRPr="00BD008E">
              <w:rPr>
                <w:noProof/>
                <w:szCs w:val="22"/>
              </w:rPr>
              <w:t>tCO2e</w:t>
            </w:r>
          </w:p>
        </w:tc>
        <w:tc>
          <w:tcPr>
            <w:tcW w:w="1952" w:type="dxa"/>
          </w:tcPr>
          <w:p w14:paraId="54508C28" w14:textId="20D14A08" w:rsidR="00EC49AF" w:rsidRPr="008B13A5" w:rsidRDefault="00EC49AF">
            <w:pPr>
              <w:rPr>
                <w:noProof/>
                <w:szCs w:val="22"/>
              </w:rPr>
            </w:pPr>
            <w:r w:rsidRPr="008B13A5">
              <w:rPr>
                <w:noProof/>
                <w:szCs w:val="22"/>
              </w:rPr>
              <w:t>≈  447 372</w:t>
            </w:r>
          </w:p>
        </w:tc>
      </w:tr>
      <w:tr w:rsidR="00EC49AF" w:rsidRPr="008B13A5" w14:paraId="2E0AE1FE" w14:textId="77777777">
        <w:tc>
          <w:tcPr>
            <w:tcW w:w="7650" w:type="dxa"/>
          </w:tcPr>
          <w:p w14:paraId="5CF94289" w14:textId="0509F177" w:rsidR="00EC49AF" w:rsidRPr="008B13A5" w:rsidRDefault="00EC49AF">
            <w:pPr>
              <w:rPr>
                <w:noProof/>
                <w:szCs w:val="22"/>
              </w:rPr>
            </w:pPr>
            <w:r w:rsidRPr="00BD008E">
              <w:rPr>
                <w:noProof/>
                <w:szCs w:val="22"/>
              </w:rPr>
              <w:t xml:space="preserve">Estimated total scope 1 </w:t>
            </w:r>
            <w:r w:rsidR="00682F13">
              <w:rPr>
                <w:noProof/>
                <w:szCs w:val="22"/>
              </w:rPr>
              <w:t xml:space="preserve">emissions </w:t>
            </w:r>
            <w:r w:rsidRPr="008B13A5">
              <w:rPr>
                <w:noProof/>
                <w:szCs w:val="22"/>
              </w:rPr>
              <w:t xml:space="preserve">in 2035 </w:t>
            </w:r>
            <w:r w:rsidR="00682F13">
              <w:rPr>
                <w:noProof/>
                <w:szCs w:val="22"/>
              </w:rPr>
              <w:t xml:space="preserve">of </w:t>
            </w:r>
            <w:r w:rsidRPr="008B13A5">
              <w:rPr>
                <w:noProof/>
                <w:szCs w:val="22"/>
              </w:rPr>
              <w:t>one leading-edge fab in scenario 2 using imec.netzero model</w:t>
            </w:r>
            <w:r w:rsidR="004325FB">
              <w:rPr>
                <w:noProof/>
                <w:szCs w:val="22"/>
              </w:rPr>
              <w:t xml:space="preserve"> (</w:t>
            </w:r>
            <w:r w:rsidR="00591817">
              <w:rPr>
                <w:rStyle w:val="FootnoteReference"/>
                <w:noProof/>
                <w:szCs w:val="22"/>
              </w:rPr>
              <w:footnoteReference w:id="384"/>
            </w:r>
            <w:r w:rsidR="004325FB" w:rsidRPr="004325FB">
              <w:rPr>
                <w:rFonts w:eastAsia="Aptos"/>
                <w:noProof/>
                <w:szCs w:val="22"/>
              </w:rPr>
              <w:t>)</w:t>
            </w:r>
            <w:r w:rsidRPr="008B13A5">
              <w:rPr>
                <w:noProof/>
                <w:szCs w:val="22"/>
                <w:vertAlign w:val="superscript"/>
              </w:rPr>
              <w:t xml:space="preserve"> </w:t>
            </w:r>
            <w:r w:rsidRPr="008B13A5">
              <w:rPr>
                <w:noProof/>
                <w:szCs w:val="22"/>
              </w:rPr>
              <w:t>assuming 5.79% annual</w:t>
            </w:r>
            <w:r w:rsidR="00682F13">
              <w:rPr>
                <w:noProof/>
                <w:szCs w:val="22"/>
              </w:rPr>
              <w:t xml:space="preserve"> </w:t>
            </w:r>
            <w:r w:rsidR="00682F13" w:rsidRPr="008B13A5">
              <w:rPr>
                <w:noProof/>
                <w:szCs w:val="22"/>
              </w:rPr>
              <w:t>increase</w:t>
            </w:r>
            <w:r w:rsidRPr="008B13A5">
              <w:rPr>
                <w:noProof/>
                <w:szCs w:val="22"/>
              </w:rPr>
              <w:t xml:space="preserve"> </w:t>
            </w:r>
            <w:r w:rsidRPr="00BD008E">
              <w:rPr>
                <w:noProof/>
                <w:szCs w:val="22"/>
              </w:rPr>
              <w:t>/ tCO2e</w:t>
            </w:r>
          </w:p>
        </w:tc>
        <w:tc>
          <w:tcPr>
            <w:tcW w:w="1952" w:type="dxa"/>
          </w:tcPr>
          <w:p w14:paraId="617A5B3B" w14:textId="77205549" w:rsidR="00EC49AF" w:rsidRPr="008B13A5" w:rsidRDefault="00EC49AF">
            <w:pPr>
              <w:rPr>
                <w:noProof/>
                <w:szCs w:val="22"/>
              </w:rPr>
            </w:pPr>
            <w:r w:rsidRPr="008B13A5">
              <w:rPr>
                <w:noProof/>
                <w:szCs w:val="22"/>
              </w:rPr>
              <w:t>79 005</w:t>
            </w:r>
          </w:p>
        </w:tc>
      </w:tr>
      <w:tr w:rsidR="00EC49AF" w:rsidRPr="008B13A5" w14:paraId="3070A84A" w14:textId="77777777">
        <w:tc>
          <w:tcPr>
            <w:tcW w:w="7650" w:type="dxa"/>
          </w:tcPr>
          <w:p w14:paraId="728C94E7" w14:textId="3310FE7B" w:rsidR="00EC49AF" w:rsidRPr="008B13A5" w:rsidRDefault="00EC49AF">
            <w:pPr>
              <w:rPr>
                <w:noProof/>
                <w:szCs w:val="22"/>
              </w:rPr>
            </w:pPr>
            <w:r w:rsidRPr="008B13A5">
              <w:rPr>
                <w:noProof/>
                <w:szCs w:val="22"/>
              </w:rPr>
              <w:t>Estimated total scope 2 emissions in 2035 of one leading-edge fab in scenario 2 using imec.netzero model</w:t>
            </w:r>
            <w:r w:rsidR="004325FB">
              <w:rPr>
                <w:noProof/>
                <w:szCs w:val="22"/>
              </w:rPr>
              <w:t xml:space="preserve"> (</w:t>
            </w:r>
            <w:r w:rsidR="00591817">
              <w:rPr>
                <w:rStyle w:val="FootnoteReference"/>
                <w:noProof/>
                <w:szCs w:val="22"/>
              </w:rPr>
              <w:footnoteReference w:id="385"/>
            </w:r>
            <w:r w:rsidR="004325FB" w:rsidRPr="004325FB">
              <w:rPr>
                <w:rFonts w:eastAsia="Aptos"/>
                <w:noProof/>
                <w:szCs w:val="22"/>
              </w:rPr>
              <w:t>)</w:t>
            </w:r>
            <w:r w:rsidRPr="008B13A5">
              <w:rPr>
                <w:noProof/>
                <w:szCs w:val="22"/>
                <w:vertAlign w:val="superscript"/>
              </w:rPr>
              <w:t xml:space="preserve"> </w:t>
            </w:r>
            <w:r w:rsidRPr="008B13A5">
              <w:rPr>
                <w:noProof/>
                <w:szCs w:val="22"/>
              </w:rPr>
              <w:t xml:space="preserve">assuming 5.79% annual </w:t>
            </w:r>
            <w:r w:rsidR="00682F13" w:rsidRPr="008B13A5">
              <w:rPr>
                <w:noProof/>
                <w:szCs w:val="22"/>
              </w:rPr>
              <w:t xml:space="preserve">increase </w:t>
            </w:r>
            <w:r w:rsidRPr="008B13A5">
              <w:rPr>
                <w:noProof/>
                <w:szCs w:val="22"/>
              </w:rPr>
              <w:t>/ tCO2e</w:t>
            </w:r>
          </w:p>
        </w:tc>
        <w:tc>
          <w:tcPr>
            <w:tcW w:w="1952" w:type="dxa"/>
          </w:tcPr>
          <w:p w14:paraId="163954A3" w14:textId="7A3759DC" w:rsidR="00EC49AF" w:rsidRPr="008B13A5" w:rsidRDefault="00EC49AF">
            <w:pPr>
              <w:rPr>
                <w:noProof/>
                <w:szCs w:val="22"/>
              </w:rPr>
            </w:pPr>
            <w:r w:rsidRPr="008B13A5">
              <w:rPr>
                <w:noProof/>
                <w:szCs w:val="22"/>
              </w:rPr>
              <w:t>484 568</w:t>
            </w:r>
          </w:p>
        </w:tc>
      </w:tr>
      <w:tr w:rsidR="00EC49AF" w:rsidRPr="008B13A5" w14:paraId="713CC4DD" w14:textId="77777777">
        <w:tc>
          <w:tcPr>
            <w:tcW w:w="7650" w:type="dxa"/>
          </w:tcPr>
          <w:p w14:paraId="6CF4E5C3" w14:textId="4F9EAA34" w:rsidR="00EC49AF" w:rsidRPr="008B13A5" w:rsidRDefault="00EC49AF">
            <w:pPr>
              <w:rPr>
                <w:noProof/>
                <w:szCs w:val="22"/>
              </w:rPr>
            </w:pPr>
            <w:r w:rsidRPr="008B13A5">
              <w:rPr>
                <w:noProof/>
              </w:rPr>
              <w:t xml:space="preserve">Estimated scope 2 of a leading-edge fab in scenario 2 assuming 5.79% annual increase </w:t>
            </w:r>
            <w:r w:rsidRPr="008B13A5">
              <w:rPr>
                <w:b/>
                <w:bCs/>
                <w:noProof/>
              </w:rPr>
              <w:t xml:space="preserve">adjusted for European electricity mix </w:t>
            </w:r>
            <w:r w:rsidRPr="008B13A5">
              <w:rPr>
                <w:noProof/>
                <w:szCs w:val="22"/>
              </w:rPr>
              <w:t>using imec.netzero model</w:t>
            </w:r>
            <w:r w:rsidR="004325FB">
              <w:rPr>
                <w:noProof/>
                <w:szCs w:val="22"/>
              </w:rPr>
              <w:t xml:space="preserve"> (</w:t>
            </w:r>
            <w:r w:rsidR="00591817">
              <w:rPr>
                <w:rStyle w:val="FootnoteReference"/>
                <w:noProof/>
                <w:szCs w:val="22"/>
              </w:rPr>
              <w:footnoteReference w:id="386"/>
            </w:r>
            <w:r w:rsidR="004325FB" w:rsidRPr="004325FB">
              <w:rPr>
                <w:rFonts w:eastAsia="Aptos"/>
                <w:noProof/>
                <w:szCs w:val="22"/>
              </w:rPr>
              <w:t>)</w:t>
            </w:r>
            <w:r w:rsidRPr="008B13A5">
              <w:rPr>
                <w:noProof/>
                <w:szCs w:val="22"/>
                <w:vertAlign w:val="superscript"/>
              </w:rPr>
              <w:t xml:space="preserve"> </w:t>
            </w:r>
            <w:r w:rsidRPr="008B13A5">
              <w:rPr>
                <w:noProof/>
                <w:szCs w:val="22"/>
              </w:rPr>
              <w:t>/ tCO2e</w:t>
            </w:r>
          </w:p>
        </w:tc>
        <w:tc>
          <w:tcPr>
            <w:tcW w:w="1952" w:type="dxa"/>
          </w:tcPr>
          <w:p w14:paraId="0A1F639A" w14:textId="427DF157" w:rsidR="00EC49AF" w:rsidRPr="008B13A5" w:rsidRDefault="00EC49AF">
            <w:pPr>
              <w:rPr>
                <w:noProof/>
                <w:szCs w:val="22"/>
              </w:rPr>
            </w:pPr>
            <w:r w:rsidRPr="008B13A5">
              <w:rPr>
                <w:noProof/>
                <w:szCs w:val="22"/>
              </w:rPr>
              <w:t>290 740</w:t>
            </w:r>
          </w:p>
        </w:tc>
      </w:tr>
      <w:tr w:rsidR="00EC49AF" w:rsidRPr="008B13A5" w14:paraId="1FC84526" w14:textId="77777777">
        <w:tc>
          <w:tcPr>
            <w:tcW w:w="7650" w:type="dxa"/>
          </w:tcPr>
          <w:p w14:paraId="43593BC9" w14:textId="55F30B29" w:rsidR="00EC49AF" w:rsidRPr="008B13A5" w:rsidRDefault="00EC49AF">
            <w:pPr>
              <w:rPr>
                <w:noProof/>
                <w:szCs w:val="22"/>
              </w:rPr>
            </w:pPr>
            <w:r w:rsidRPr="008B13A5">
              <w:rPr>
                <w:noProof/>
                <w:szCs w:val="22"/>
              </w:rPr>
              <w:t>Estimated total scope 3 emissions in 2035 of one leading-edge fab in scenario 2 using imec.netzero model</w:t>
            </w:r>
            <w:r w:rsidR="004325FB">
              <w:rPr>
                <w:noProof/>
                <w:szCs w:val="22"/>
              </w:rPr>
              <w:t xml:space="preserve"> (</w:t>
            </w:r>
            <w:r w:rsidR="00591817">
              <w:rPr>
                <w:rStyle w:val="FootnoteReference"/>
                <w:noProof/>
                <w:szCs w:val="22"/>
              </w:rPr>
              <w:footnoteReference w:id="387"/>
            </w:r>
            <w:r w:rsidR="004325FB" w:rsidRPr="004325FB">
              <w:rPr>
                <w:rFonts w:eastAsia="Aptos"/>
                <w:noProof/>
                <w:szCs w:val="22"/>
              </w:rPr>
              <w:t>)</w:t>
            </w:r>
            <w:r w:rsidRPr="008B13A5">
              <w:rPr>
                <w:noProof/>
                <w:szCs w:val="22"/>
                <w:vertAlign w:val="superscript"/>
              </w:rPr>
              <w:t xml:space="preserve"> </w:t>
            </w:r>
            <w:r w:rsidRPr="008B13A5">
              <w:rPr>
                <w:noProof/>
                <w:szCs w:val="22"/>
              </w:rPr>
              <w:t xml:space="preserve">assuming 5.79% annual </w:t>
            </w:r>
            <w:r w:rsidR="00682F13" w:rsidRPr="008B13A5">
              <w:rPr>
                <w:noProof/>
                <w:szCs w:val="22"/>
              </w:rPr>
              <w:t xml:space="preserve">increase </w:t>
            </w:r>
            <w:r w:rsidRPr="008B13A5">
              <w:rPr>
                <w:noProof/>
                <w:szCs w:val="22"/>
              </w:rPr>
              <w:t>/ tCO2e</w:t>
            </w:r>
          </w:p>
        </w:tc>
        <w:tc>
          <w:tcPr>
            <w:tcW w:w="1952" w:type="dxa"/>
          </w:tcPr>
          <w:p w14:paraId="51575E44" w14:textId="25E15645" w:rsidR="00EC49AF" w:rsidRPr="008B13A5" w:rsidRDefault="00EC49AF">
            <w:pPr>
              <w:rPr>
                <w:noProof/>
                <w:szCs w:val="22"/>
              </w:rPr>
            </w:pPr>
            <w:r w:rsidRPr="008B13A5">
              <w:rPr>
                <w:noProof/>
                <w:szCs w:val="22"/>
              </w:rPr>
              <w:t>252 818</w:t>
            </w:r>
          </w:p>
        </w:tc>
      </w:tr>
    </w:tbl>
    <w:p w14:paraId="298AE460" w14:textId="77777777" w:rsidR="00682F13" w:rsidRPr="008B13A5" w:rsidRDefault="00682F13" w:rsidP="00EC49AF">
      <w:pPr>
        <w:spacing w:after="160" w:line="257" w:lineRule="auto"/>
        <w:rPr>
          <w:noProof/>
          <w:szCs w:val="22"/>
        </w:rPr>
      </w:pPr>
    </w:p>
    <w:tbl>
      <w:tblPr>
        <w:tblStyle w:val="TableGrid"/>
        <w:tblW w:w="918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6A0" w:firstRow="1" w:lastRow="0" w:firstColumn="1" w:lastColumn="0" w:noHBand="1" w:noVBand="1"/>
      </w:tblPr>
      <w:tblGrid>
        <w:gridCol w:w="1545"/>
        <w:gridCol w:w="2268"/>
        <w:gridCol w:w="2976"/>
        <w:gridCol w:w="2391"/>
      </w:tblGrid>
      <w:tr w:rsidR="00EC49AF" w:rsidRPr="008B13A5" w14:paraId="0F9B6A0F" w14:textId="77777777" w:rsidTr="00F57D6B">
        <w:trPr>
          <w:trHeight w:val="300"/>
        </w:trPr>
        <w:tc>
          <w:tcPr>
            <w:tcW w:w="1545" w:type="dxa"/>
          </w:tcPr>
          <w:p w14:paraId="7A3208F1" w14:textId="77777777" w:rsidR="00EC49AF" w:rsidRPr="008B13A5" w:rsidRDefault="00EC49AF">
            <w:pPr>
              <w:rPr>
                <w:b/>
                <w:bCs/>
                <w:noProof/>
                <w:szCs w:val="22"/>
              </w:rPr>
            </w:pPr>
          </w:p>
        </w:tc>
        <w:tc>
          <w:tcPr>
            <w:tcW w:w="2268" w:type="dxa"/>
          </w:tcPr>
          <w:p w14:paraId="6C8DEE13" w14:textId="56A0AC78" w:rsidR="00EC49AF" w:rsidRPr="00BD008E" w:rsidRDefault="00EC49AF">
            <w:pPr>
              <w:rPr>
                <w:b/>
                <w:noProof/>
                <w:szCs w:val="22"/>
              </w:rPr>
            </w:pPr>
            <w:r w:rsidRPr="00BD008E">
              <w:rPr>
                <w:b/>
                <w:noProof/>
                <w:szCs w:val="22"/>
              </w:rPr>
              <w:t>Total scope 1 emissions in 2035 under Scenario 2 / tCO2e</w:t>
            </w:r>
          </w:p>
        </w:tc>
        <w:tc>
          <w:tcPr>
            <w:tcW w:w="2976" w:type="dxa"/>
          </w:tcPr>
          <w:p w14:paraId="1BF337BB" w14:textId="43FFAF68" w:rsidR="00EC49AF" w:rsidRPr="008B13A5" w:rsidRDefault="00EC49AF">
            <w:pPr>
              <w:rPr>
                <w:b/>
                <w:bCs/>
                <w:noProof/>
                <w:szCs w:val="22"/>
              </w:rPr>
            </w:pPr>
            <w:r w:rsidRPr="008B13A5">
              <w:rPr>
                <w:b/>
                <w:bCs/>
                <w:noProof/>
                <w:szCs w:val="22"/>
              </w:rPr>
              <w:t>Total scope 2 emissions (location-based) in 2035 under Scenario 2 / tCO2e</w:t>
            </w:r>
          </w:p>
        </w:tc>
        <w:tc>
          <w:tcPr>
            <w:tcW w:w="2391" w:type="dxa"/>
          </w:tcPr>
          <w:p w14:paraId="5CADB8E7" w14:textId="4EF9F805" w:rsidR="00EC49AF" w:rsidRPr="008B13A5" w:rsidRDefault="00EC49AF">
            <w:pPr>
              <w:rPr>
                <w:b/>
                <w:bCs/>
                <w:noProof/>
                <w:szCs w:val="22"/>
              </w:rPr>
            </w:pPr>
            <w:r w:rsidRPr="008B13A5">
              <w:rPr>
                <w:b/>
                <w:bCs/>
                <w:noProof/>
                <w:szCs w:val="22"/>
              </w:rPr>
              <w:t>Total scope 3 emissions in 2035 under Scenario 2 / tCO2e</w:t>
            </w:r>
          </w:p>
        </w:tc>
      </w:tr>
      <w:tr w:rsidR="00EC49AF" w:rsidRPr="008B13A5" w14:paraId="1AC8FFC5" w14:textId="77777777" w:rsidTr="00F57D6B">
        <w:trPr>
          <w:trHeight w:val="300"/>
        </w:trPr>
        <w:tc>
          <w:tcPr>
            <w:tcW w:w="1545" w:type="dxa"/>
          </w:tcPr>
          <w:p w14:paraId="584089C1" w14:textId="0AF74265" w:rsidR="00EC49AF" w:rsidRPr="008B13A5" w:rsidRDefault="00EC49AF">
            <w:pPr>
              <w:rPr>
                <w:b/>
                <w:bCs/>
                <w:noProof/>
                <w:szCs w:val="22"/>
              </w:rPr>
            </w:pPr>
            <w:r w:rsidRPr="008B13A5">
              <w:rPr>
                <w:b/>
                <w:bCs/>
                <w:noProof/>
                <w:szCs w:val="22"/>
              </w:rPr>
              <w:t>Mainstream nodes</w:t>
            </w:r>
          </w:p>
        </w:tc>
        <w:tc>
          <w:tcPr>
            <w:tcW w:w="2268" w:type="dxa"/>
          </w:tcPr>
          <w:p w14:paraId="3EF195D1" w14:textId="705457E2" w:rsidR="00EC49AF" w:rsidRPr="008B13A5" w:rsidRDefault="00EC49AF">
            <w:pPr>
              <w:rPr>
                <w:noProof/>
                <w:szCs w:val="22"/>
              </w:rPr>
            </w:pPr>
            <w:r w:rsidRPr="008B13A5">
              <w:rPr>
                <w:noProof/>
                <w:szCs w:val="22"/>
              </w:rPr>
              <w:t>1 303 394 - 1 628 412</w:t>
            </w:r>
          </w:p>
        </w:tc>
        <w:tc>
          <w:tcPr>
            <w:tcW w:w="2976" w:type="dxa"/>
          </w:tcPr>
          <w:p w14:paraId="550D518F" w14:textId="20F28610" w:rsidR="00EC49AF" w:rsidRPr="008B13A5" w:rsidRDefault="00EC49AF">
            <w:pPr>
              <w:rPr>
                <w:noProof/>
                <w:szCs w:val="22"/>
              </w:rPr>
            </w:pPr>
            <w:r w:rsidRPr="008B13A5">
              <w:rPr>
                <w:noProof/>
                <w:szCs w:val="22"/>
              </w:rPr>
              <w:t>6 606 576 - 8 549 164</w:t>
            </w:r>
          </w:p>
        </w:tc>
        <w:tc>
          <w:tcPr>
            <w:tcW w:w="2391" w:type="dxa"/>
          </w:tcPr>
          <w:p w14:paraId="7AFEC498" w14:textId="4193A0AC" w:rsidR="00EC49AF" w:rsidRPr="008B13A5" w:rsidRDefault="00EC49AF">
            <w:pPr>
              <w:rPr>
                <w:noProof/>
                <w:szCs w:val="22"/>
              </w:rPr>
            </w:pPr>
            <w:r w:rsidRPr="008B13A5">
              <w:rPr>
                <w:noProof/>
                <w:szCs w:val="22"/>
              </w:rPr>
              <w:t>5 495 891</w:t>
            </w:r>
          </w:p>
        </w:tc>
      </w:tr>
      <w:tr w:rsidR="00EC49AF" w:rsidRPr="008B13A5" w14:paraId="7F46E7CC" w14:textId="77777777" w:rsidTr="00F57D6B">
        <w:trPr>
          <w:trHeight w:val="300"/>
        </w:trPr>
        <w:tc>
          <w:tcPr>
            <w:tcW w:w="1545" w:type="dxa"/>
          </w:tcPr>
          <w:p w14:paraId="2C08E87B" w14:textId="0E8AFA96" w:rsidR="00EC49AF" w:rsidRPr="008B13A5" w:rsidRDefault="00EC49AF">
            <w:pPr>
              <w:rPr>
                <w:b/>
                <w:bCs/>
                <w:noProof/>
                <w:szCs w:val="22"/>
              </w:rPr>
            </w:pPr>
            <w:r w:rsidRPr="008B13A5">
              <w:rPr>
                <w:b/>
                <w:bCs/>
                <w:noProof/>
                <w:szCs w:val="22"/>
              </w:rPr>
              <w:t>Advanced nodes</w:t>
            </w:r>
          </w:p>
        </w:tc>
        <w:tc>
          <w:tcPr>
            <w:tcW w:w="2268" w:type="dxa"/>
          </w:tcPr>
          <w:p w14:paraId="6CCB8E33" w14:textId="0A6AE7E4" w:rsidR="00EC49AF" w:rsidRPr="008B13A5" w:rsidRDefault="00EC49AF">
            <w:pPr>
              <w:rPr>
                <w:noProof/>
                <w:szCs w:val="22"/>
              </w:rPr>
            </w:pPr>
            <w:r w:rsidRPr="008B13A5">
              <w:rPr>
                <w:noProof/>
                <w:szCs w:val="22"/>
              </w:rPr>
              <w:t xml:space="preserve"> 74 555 – 79 005</w:t>
            </w:r>
          </w:p>
        </w:tc>
        <w:tc>
          <w:tcPr>
            <w:tcW w:w="2976" w:type="dxa"/>
          </w:tcPr>
          <w:p w14:paraId="581B1A5C" w14:textId="2BEC2278" w:rsidR="00EC49AF" w:rsidRPr="008B13A5" w:rsidRDefault="00EC49AF">
            <w:pPr>
              <w:rPr>
                <w:noProof/>
                <w:szCs w:val="22"/>
              </w:rPr>
            </w:pPr>
            <w:r w:rsidRPr="008B13A5">
              <w:rPr>
                <w:noProof/>
                <w:szCs w:val="22"/>
              </w:rPr>
              <w:t>290 740 – 310 509</w:t>
            </w:r>
          </w:p>
        </w:tc>
        <w:tc>
          <w:tcPr>
            <w:tcW w:w="2391" w:type="dxa"/>
          </w:tcPr>
          <w:p w14:paraId="22CF218D" w14:textId="3408B9B1" w:rsidR="00EC49AF" w:rsidRPr="008B13A5" w:rsidRDefault="00EC49AF">
            <w:pPr>
              <w:rPr>
                <w:noProof/>
                <w:szCs w:val="22"/>
              </w:rPr>
            </w:pPr>
            <w:r w:rsidRPr="008B13A5">
              <w:rPr>
                <w:noProof/>
                <w:szCs w:val="22"/>
              </w:rPr>
              <w:t>252 818</w:t>
            </w:r>
          </w:p>
        </w:tc>
      </w:tr>
      <w:tr w:rsidR="00EC49AF" w:rsidRPr="008B13A5" w14:paraId="1FB8F553" w14:textId="77777777" w:rsidTr="00F57D6B">
        <w:trPr>
          <w:trHeight w:val="300"/>
        </w:trPr>
        <w:tc>
          <w:tcPr>
            <w:tcW w:w="1545" w:type="dxa"/>
          </w:tcPr>
          <w:p w14:paraId="5E378B8C" w14:textId="77777777" w:rsidR="00EC49AF" w:rsidRPr="008B13A5" w:rsidRDefault="00EC49AF">
            <w:pPr>
              <w:rPr>
                <w:b/>
                <w:bCs/>
                <w:noProof/>
                <w:szCs w:val="22"/>
              </w:rPr>
            </w:pPr>
            <w:r w:rsidRPr="008B13A5">
              <w:rPr>
                <w:b/>
                <w:bCs/>
                <w:noProof/>
                <w:szCs w:val="22"/>
              </w:rPr>
              <w:t>Total</w:t>
            </w:r>
          </w:p>
        </w:tc>
        <w:tc>
          <w:tcPr>
            <w:tcW w:w="2268" w:type="dxa"/>
          </w:tcPr>
          <w:p w14:paraId="13F15F3E" w14:textId="62B5060A" w:rsidR="00EC49AF" w:rsidRPr="008B13A5" w:rsidRDefault="00EC49AF">
            <w:pPr>
              <w:tabs>
                <w:tab w:val="right" w:pos="1791"/>
              </w:tabs>
              <w:rPr>
                <w:noProof/>
                <w:szCs w:val="22"/>
              </w:rPr>
            </w:pPr>
            <w:r w:rsidRPr="008B13A5" w:rsidDel="00402F91">
              <w:rPr>
                <w:noProof/>
                <w:szCs w:val="22"/>
              </w:rPr>
              <w:t xml:space="preserve">1 </w:t>
            </w:r>
            <w:r w:rsidRPr="008B13A5">
              <w:rPr>
                <w:noProof/>
                <w:szCs w:val="22"/>
              </w:rPr>
              <w:t>377 949 – 1 707 417</w:t>
            </w:r>
          </w:p>
        </w:tc>
        <w:tc>
          <w:tcPr>
            <w:tcW w:w="2976" w:type="dxa"/>
          </w:tcPr>
          <w:p w14:paraId="2DDF77C9" w14:textId="350724CD" w:rsidR="00EC49AF" w:rsidRPr="008B13A5" w:rsidRDefault="00EC49AF">
            <w:pPr>
              <w:rPr>
                <w:noProof/>
                <w:szCs w:val="22"/>
              </w:rPr>
            </w:pPr>
            <w:r w:rsidRPr="008B13A5">
              <w:rPr>
                <w:noProof/>
                <w:szCs w:val="22"/>
              </w:rPr>
              <w:t>6 918 085 – 8 839 904</w:t>
            </w:r>
          </w:p>
        </w:tc>
        <w:tc>
          <w:tcPr>
            <w:tcW w:w="2391" w:type="dxa"/>
          </w:tcPr>
          <w:p w14:paraId="71031E94" w14:textId="380AF0D7" w:rsidR="00EC49AF" w:rsidRPr="008B13A5" w:rsidRDefault="00EC49AF">
            <w:pPr>
              <w:rPr>
                <w:noProof/>
                <w:szCs w:val="22"/>
              </w:rPr>
            </w:pPr>
            <w:r w:rsidRPr="008B13A5">
              <w:rPr>
                <w:noProof/>
                <w:szCs w:val="22"/>
              </w:rPr>
              <w:t>5 748 709</w:t>
            </w:r>
          </w:p>
        </w:tc>
      </w:tr>
    </w:tbl>
    <w:p w14:paraId="15A837D0" w14:textId="77777777" w:rsidR="00EC49AF" w:rsidRPr="008B13A5" w:rsidRDefault="00EC49AF" w:rsidP="00EC49AF">
      <w:pPr>
        <w:rPr>
          <w:noProof/>
          <w:szCs w:val="22"/>
        </w:rPr>
      </w:pPr>
    </w:p>
    <w:p w14:paraId="7171E50D" w14:textId="18C67E1A" w:rsidR="00EC49AF" w:rsidRPr="008B13A5" w:rsidRDefault="00EC49AF" w:rsidP="00EC49AF">
      <w:pPr>
        <w:rPr>
          <w:noProof/>
          <w:szCs w:val="22"/>
        </w:rPr>
      </w:pPr>
      <w:r w:rsidRPr="008B13A5">
        <w:rPr>
          <w:noProof/>
          <w:szCs w:val="22"/>
        </w:rPr>
        <w:t>The estimated water consumption in scenario 2 under PO2 is around 222.3 Mio m</w:t>
      </w:r>
      <w:r w:rsidRPr="008B13A5">
        <w:rPr>
          <w:noProof/>
          <w:szCs w:val="22"/>
          <w:vertAlign w:val="superscript"/>
        </w:rPr>
        <w:t>3</w:t>
      </w:r>
      <w:r w:rsidRPr="008B13A5">
        <w:rPr>
          <w:noProof/>
          <w:szCs w:val="22"/>
        </w:rPr>
        <w:t xml:space="preserve"> per year. This estimation is on the lower end as it based on water consumption of a TSMC fab in Taiwan, where there is a high water scarcity and therefore a stronger emphasis on water reuse and recycling (80% in Taiwan), while fabs in Europe typically have lower recycling rates (10%–14%)</w:t>
      </w:r>
      <w:r w:rsidR="00C01A58">
        <w:rPr>
          <w:noProof/>
          <w:szCs w:val="22"/>
        </w:rPr>
        <w:t>.</w:t>
      </w:r>
      <w:r w:rsidR="00F274DD" w:rsidRPr="008B13A5">
        <w:rPr>
          <w:noProof/>
          <w:szCs w:val="22"/>
        </w:rPr>
        <w:t xml:space="preserve"> </w:t>
      </w:r>
      <w:r w:rsidRPr="008B13A5">
        <w:rPr>
          <w:noProof/>
          <w:szCs w:val="22"/>
        </w:rPr>
        <w:t>(</w:t>
      </w:r>
      <w:r w:rsidRPr="008B13A5">
        <w:rPr>
          <w:noProof/>
          <w:szCs w:val="22"/>
          <w:vertAlign w:val="superscript"/>
        </w:rPr>
        <w:footnoteReference w:id="388"/>
      </w:r>
      <w:r w:rsidRPr="008B13A5">
        <w:rPr>
          <w:noProof/>
          <w:szCs w:val="22"/>
        </w:rPr>
        <w:t>)</w:t>
      </w:r>
      <w:r w:rsidR="00C01A58">
        <w:rPr>
          <w:noProof/>
          <w:szCs w:val="22"/>
        </w:rPr>
        <w:t xml:space="preserve"> </w:t>
      </w:r>
      <w:r w:rsidRPr="008B13A5">
        <w:rPr>
          <w:noProof/>
          <w:szCs w:val="22"/>
        </w:rPr>
        <w:t>This suggests that water consumption in Europe will be higher however the adoption of advanced water management technologies, including recycling and advanced treatment, can improve competitiveness, circularity and water efficiency in semiconductor production.</w:t>
      </w:r>
    </w:p>
    <w:p w14:paraId="396D104B" w14:textId="4F8FE540" w:rsidR="00EC49AF" w:rsidRPr="008B13A5" w:rsidRDefault="00EC49AF" w:rsidP="00EC49AF">
      <w:pPr>
        <w:rPr>
          <w:noProof/>
          <w:szCs w:val="22"/>
        </w:rPr>
      </w:pPr>
      <w:r w:rsidRPr="008B13A5">
        <w:rPr>
          <w:noProof/>
          <w:szCs w:val="22"/>
        </w:rPr>
        <w:t>Furthermore, if scenario 2 of Policy Option 2 would take place, the increase in the use of materials would also happen. Leading-edge chips – especially those less than 10 nm – and advanced packaging (AP) require increasingly complex manufacturing methods, which increases the demand for the materials that enable these processes and create the finished products. As semiconductor technology progresses to use smaller nodes, the number of mask layers – used as part of the process that defines and fills conductive channels in the chip – for producing a single wafer increases disproportionally. For example, while a 65 nm process node wafer may require about 40 mask layers to complete, a leading-edge 5- or 3-nm process node requires up to 110 mask layers.</w:t>
      </w:r>
      <w:r w:rsidR="00F274DD" w:rsidRPr="008B13A5">
        <w:rPr>
          <w:noProof/>
          <w:szCs w:val="22"/>
        </w:rPr>
        <w:t xml:space="preserve"> </w:t>
      </w:r>
      <w:r w:rsidRPr="008B13A5">
        <w:rPr>
          <w:noProof/>
          <w:szCs w:val="22"/>
        </w:rPr>
        <w:t>(</w:t>
      </w:r>
      <w:r w:rsidRPr="008B13A5">
        <w:rPr>
          <w:noProof/>
          <w:szCs w:val="22"/>
          <w:vertAlign w:val="superscript"/>
        </w:rPr>
        <w:footnoteReference w:id="389"/>
      </w:r>
      <w:r w:rsidRPr="008B13A5">
        <w:rPr>
          <w:noProof/>
          <w:szCs w:val="22"/>
        </w:rPr>
        <w:t xml:space="preserve">) </w:t>
      </w:r>
    </w:p>
    <w:p w14:paraId="2816EEBB" w14:textId="5791FBAC" w:rsidR="00EC49AF" w:rsidRPr="008B13A5" w:rsidRDefault="00EC49AF" w:rsidP="00EC49AF">
      <w:pPr>
        <w:rPr>
          <w:noProof/>
          <w:szCs w:val="22"/>
        </w:rPr>
      </w:pPr>
      <w:r w:rsidRPr="008B13A5">
        <w:rPr>
          <w:noProof/>
          <w:szCs w:val="22"/>
        </w:rPr>
        <w:t>Beyond node size, AP is also increasing material consumption. Many AP technologies use interposers or base dies to connect multiple chips, require carrier wafers as part of the manufacturing process, or include an increasing number of interconnects (through-silicon via, for example). All these incremental process steps require more materials than mature technologies do.</w:t>
      </w:r>
    </w:p>
    <w:p w14:paraId="12D13B7A" w14:textId="18354C73" w:rsidR="00EC49AF" w:rsidRPr="008B13A5" w:rsidRDefault="00EC49AF" w:rsidP="00EC49AF">
      <w:pPr>
        <w:rPr>
          <w:noProof/>
          <w:szCs w:val="22"/>
          <w:vertAlign w:val="superscript"/>
        </w:rPr>
      </w:pPr>
      <w:r w:rsidRPr="008B13A5">
        <w:rPr>
          <w:noProof/>
          <w:szCs w:val="22"/>
        </w:rPr>
        <w:t>The shift to using more mask layers and consuming additional materials as part of AP processes could increase Europe’s total material consumption by as much as 65% and many of these materials may need to come from international markets.</w:t>
      </w:r>
      <w:r w:rsidR="00F274DD" w:rsidRPr="008B13A5">
        <w:rPr>
          <w:noProof/>
          <w:szCs w:val="22"/>
        </w:rPr>
        <w:t xml:space="preserve"> </w:t>
      </w:r>
      <w:r w:rsidRPr="008B13A5">
        <w:rPr>
          <w:noProof/>
          <w:szCs w:val="22"/>
        </w:rPr>
        <w:t>(</w:t>
      </w:r>
      <w:r w:rsidRPr="008B13A5">
        <w:rPr>
          <w:noProof/>
          <w:szCs w:val="22"/>
          <w:vertAlign w:val="superscript"/>
        </w:rPr>
        <w:footnoteReference w:id="390"/>
      </w:r>
      <w:r w:rsidRPr="008B13A5">
        <w:rPr>
          <w:noProof/>
          <w:szCs w:val="22"/>
        </w:rPr>
        <w:t>)</w:t>
      </w:r>
      <w:r w:rsidRPr="008B13A5">
        <w:rPr>
          <w:noProof/>
          <w:szCs w:val="22"/>
          <w:vertAlign w:val="superscript"/>
        </w:rPr>
        <w:t xml:space="preserve"> </w:t>
      </w:r>
    </w:p>
    <w:p w14:paraId="7FE36BFE" w14:textId="7550D388" w:rsidR="00EC49AF" w:rsidRPr="008B13A5" w:rsidRDefault="00EC49AF" w:rsidP="00EC49AF">
      <w:pPr>
        <w:pStyle w:val="Caption"/>
        <w:jc w:val="left"/>
        <w:rPr>
          <w:i w:val="0"/>
          <w:iCs/>
          <w:noProof/>
          <w:szCs w:val="22"/>
        </w:rPr>
      </w:pPr>
      <w:r w:rsidRPr="008B13A5">
        <w:rPr>
          <w:i w:val="0"/>
          <w:iCs/>
          <w:noProof/>
          <w:szCs w:val="22"/>
        </w:rPr>
        <w:t xml:space="preserve">Figure 21. Projected emissions under difference scenarios. </w:t>
      </w:r>
      <w:r w:rsidRPr="008B13A5">
        <w:rPr>
          <w:b w:val="0"/>
          <w:bCs/>
          <w:noProof/>
          <w:szCs w:val="22"/>
        </w:rPr>
        <w:t>Source: prepared by the authors.</w:t>
      </w:r>
    </w:p>
    <w:p w14:paraId="52B2E3B6" w14:textId="4E9B082B" w:rsidR="00EC49AF" w:rsidRPr="008B13A5" w:rsidDel="00B20EB0" w:rsidRDefault="00EC49AF" w:rsidP="00EC49AF">
      <w:pPr>
        <w:rPr>
          <w:b/>
          <w:bCs/>
          <w:noProof/>
          <w:szCs w:val="22"/>
        </w:rPr>
      </w:pPr>
      <w:r w:rsidRPr="008B13A5">
        <w:rPr>
          <w:noProof/>
          <w:szCs w:val="22"/>
          <w:lang w:eastAsia="en-GB"/>
        </w:rPr>
        <w:drawing>
          <wp:inline distT="0" distB="0" distL="0" distR="0" wp14:anchorId="2319263C" wp14:editId="2624F7D3">
            <wp:extent cx="6071870" cy="2986405"/>
            <wp:effectExtent l="0" t="0" r="0" b="0"/>
            <wp:docPr id="1683184316" name="Chart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33D6A172" w14:textId="7AE11E45" w:rsidR="00EC49AF" w:rsidRPr="008B13A5" w:rsidDel="00B20EB0" w:rsidRDefault="00EC49AF" w:rsidP="00F47256">
      <w:pPr>
        <w:pStyle w:val="Heading3"/>
        <w:rPr>
          <w:b/>
          <w:noProof/>
          <w:szCs w:val="22"/>
        </w:rPr>
      </w:pPr>
      <w:bookmarkStart w:id="356" w:name="_Toc223620656"/>
      <w:bookmarkStart w:id="357" w:name="_Toc230010478"/>
      <w:r w:rsidRPr="008B13A5">
        <w:rPr>
          <w:noProof/>
        </w:rPr>
        <w:t>Costs of environmental impacts</w:t>
      </w:r>
      <w:bookmarkEnd w:id="356"/>
      <w:bookmarkEnd w:id="357"/>
    </w:p>
    <w:p w14:paraId="4BFC7492" w14:textId="7964603E" w:rsidR="00EC49AF" w:rsidRPr="00BD008E" w:rsidRDefault="00EC49AF" w:rsidP="00EC49AF">
      <w:pPr>
        <w:rPr>
          <w:noProof/>
          <w:szCs w:val="22"/>
        </w:rPr>
      </w:pPr>
      <w:r w:rsidRPr="008B13A5">
        <w:rPr>
          <w:bCs/>
          <w:noProof/>
          <w:szCs w:val="22"/>
        </w:rPr>
        <w:t>From 2015 to 2025 the EU ETS carbon prices have been fluctuating a lot, ranging from very low prices, mostly below €10 / tCO₂ between 2015-2017, to €60–90 between 2022 -2023, before easing somewhat in 2024 – 2025 (€60 – €90 / tCO₂). Looking ahead, most outlooks point to a structurally tighter market with increasing scarcity of allowances, declining free allocation, and stricter caps, implying a renewed upward trend over the 2030s, with many analyst scenarios placing average EU ETS prices by 2035 well above today’s levels - often in the range of roughly €190 – 300 per tonne of CO₂, depending on policy ambition, economic conditions, and technological progress.</w:t>
      </w:r>
      <w:r w:rsidR="00F274DD" w:rsidRPr="008B13A5">
        <w:rPr>
          <w:bCs/>
          <w:noProof/>
          <w:szCs w:val="22"/>
        </w:rPr>
        <w:t xml:space="preserve"> </w:t>
      </w:r>
      <w:r w:rsidRPr="008B13A5">
        <w:rPr>
          <w:bCs/>
          <w:noProof/>
          <w:szCs w:val="22"/>
        </w:rPr>
        <w:t>(</w:t>
      </w:r>
      <w:r w:rsidRPr="008B13A5">
        <w:rPr>
          <w:rStyle w:val="FootnoteReference"/>
          <w:bCs/>
          <w:noProof/>
          <w:szCs w:val="22"/>
        </w:rPr>
        <w:footnoteReference w:id="391"/>
      </w:r>
      <w:r w:rsidRPr="008B13A5">
        <w:rPr>
          <w:bCs/>
          <w:noProof/>
          <w:szCs w:val="22"/>
        </w:rPr>
        <w:t>) </w:t>
      </w:r>
      <w:r w:rsidRPr="00BD008E">
        <w:rPr>
          <w:noProof/>
          <w:szCs w:val="22"/>
        </w:rPr>
        <w:t> </w:t>
      </w:r>
      <w:r w:rsidR="00F274DD" w:rsidRPr="00BD008E">
        <w:rPr>
          <w:noProof/>
          <w:szCs w:val="22"/>
        </w:rPr>
        <w:t xml:space="preserve"> </w:t>
      </w:r>
    </w:p>
    <w:p w14:paraId="2F10DCEE" w14:textId="2ACCD162" w:rsidR="00EC49AF" w:rsidRPr="00BD008E" w:rsidRDefault="00EC49AF" w:rsidP="00EC49AF">
      <w:pPr>
        <w:rPr>
          <w:noProof/>
          <w:szCs w:val="22"/>
        </w:rPr>
      </w:pPr>
      <w:r w:rsidRPr="008B13A5">
        <w:rPr>
          <w:bCs/>
          <w:noProof/>
          <w:szCs w:val="22"/>
        </w:rPr>
        <w:t>Therefore, taking into consideration aggregated scope 1 and 2 emissions (location-based), environmental costs for each policy option in 2035 could be predicated in the ranges as follows: </w:t>
      </w:r>
      <w:r w:rsidRPr="00BD008E">
        <w:rPr>
          <w:noProof/>
          <w:szCs w:val="22"/>
        </w:rPr>
        <w:t> </w:t>
      </w:r>
      <w:r w:rsidR="00F274DD" w:rsidRPr="00BD008E">
        <w:rPr>
          <w:noProof/>
          <w:szCs w:val="22"/>
        </w:rPr>
        <w:t xml:space="preserve"> </w:t>
      </w:r>
    </w:p>
    <w:p w14:paraId="34F872C6" w14:textId="0458889A" w:rsidR="00EC49AF" w:rsidRPr="00BD008E" w:rsidRDefault="00EC49AF" w:rsidP="00F47256">
      <w:pPr>
        <w:numPr>
          <w:ilvl w:val="0"/>
          <w:numId w:val="70"/>
        </w:numPr>
        <w:spacing w:after="120" w:line="264" w:lineRule="auto"/>
        <w:rPr>
          <w:noProof/>
          <w:szCs w:val="22"/>
        </w:rPr>
      </w:pPr>
      <w:r w:rsidRPr="00BD008E">
        <w:rPr>
          <w:noProof/>
          <w:szCs w:val="22"/>
        </w:rPr>
        <w:t>Baseline scenario BAU = €1.459 – €2.256 bln</w:t>
      </w:r>
    </w:p>
    <w:p w14:paraId="3A57E761" w14:textId="1C0284BF" w:rsidR="00EC49AF" w:rsidRPr="00BD008E" w:rsidRDefault="00EC49AF" w:rsidP="00F47256">
      <w:pPr>
        <w:numPr>
          <w:ilvl w:val="0"/>
          <w:numId w:val="71"/>
        </w:numPr>
        <w:spacing w:after="120" w:line="264" w:lineRule="auto"/>
        <w:rPr>
          <w:noProof/>
          <w:szCs w:val="22"/>
        </w:rPr>
      </w:pPr>
      <w:r w:rsidRPr="00BD008E">
        <w:rPr>
          <w:noProof/>
          <w:szCs w:val="22"/>
        </w:rPr>
        <w:t>Policy Option 1 = €1.531 – €2.368 bln</w:t>
      </w:r>
      <w:r w:rsidR="00F274DD" w:rsidRPr="00BD008E">
        <w:rPr>
          <w:noProof/>
          <w:szCs w:val="22"/>
        </w:rPr>
        <w:t xml:space="preserve"> </w:t>
      </w:r>
    </w:p>
    <w:p w14:paraId="595438B9" w14:textId="289F656E" w:rsidR="00EC49AF" w:rsidRPr="00BD008E" w:rsidRDefault="00EC49AF" w:rsidP="00F47256">
      <w:pPr>
        <w:numPr>
          <w:ilvl w:val="0"/>
          <w:numId w:val="72"/>
        </w:numPr>
        <w:spacing w:after="120" w:line="264" w:lineRule="auto"/>
        <w:rPr>
          <w:noProof/>
          <w:szCs w:val="22"/>
        </w:rPr>
      </w:pPr>
      <w:r w:rsidRPr="00BD008E">
        <w:rPr>
          <w:noProof/>
          <w:szCs w:val="22"/>
        </w:rPr>
        <w:t>Policy Option 2, scenario 1 = €1.659 – €2.566 bln  </w:t>
      </w:r>
      <w:r w:rsidR="00F274DD" w:rsidRPr="00BD008E">
        <w:rPr>
          <w:noProof/>
          <w:szCs w:val="22"/>
        </w:rPr>
        <w:t xml:space="preserve"> </w:t>
      </w:r>
    </w:p>
    <w:p w14:paraId="0F10EBCC" w14:textId="510E10F7" w:rsidR="00EC49AF" w:rsidRPr="00BD008E" w:rsidRDefault="00EC49AF" w:rsidP="00F47256">
      <w:pPr>
        <w:numPr>
          <w:ilvl w:val="0"/>
          <w:numId w:val="73"/>
        </w:numPr>
        <w:spacing w:after="120" w:line="264" w:lineRule="auto"/>
        <w:rPr>
          <w:noProof/>
          <w:szCs w:val="22"/>
        </w:rPr>
      </w:pPr>
      <w:r w:rsidRPr="008B13A5">
        <w:rPr>
          <w:bCs/>
          <w:noProof/>
          <w:szCs w:val="22"/>
        </w:rPr>
        <w:t>Policy Option 2, scenario 2 = €1.621 – €2.507 </w:t>
      </w:r>
      <w:r w:rsidRPr="00BD008E">
        <w:rPr>
          <w:noProof/>
          <w:szCs w:val="22"/>
        </w:rPr>
        <w:t>bln</w:t>
      </w:r>
    </w:p>
    <w:p w14:paraId="1732BBBE" w14:textId="53001A05" w:rsidR="00EC49AF" w:rsidRPr="008B13A5" w:rsidRDefault="00EC49AF" w:rsidP="00EC49AF">
      <w:pPr>
        <w:rPr>
          <w:bCs/>
          <w:noProof/>
          <w:szCs w:val="22"/>
        </w:rPr>
      </w:pPr>
      <w:r w:rsidRPr="00BD008E">
        <w:rPr>
          <w:noProof/>
          <w:szCs w:val="22"/>
        </w:rPr>
        <w:t xml:space="preserve">The other possibility is to use the True Price method. This method </w:t>
      </w:r>
      <w:r w:rsidRPr="008B13A5">
        <w:rPr>
          <w:bCs/>
          <w:noProof/>
          <w:szCs w:val="22"/>
        </w:rPr>
        <w:t>developed the principles and methodology to monetise a wide set of social and environmental costs.</w:t>
      </w:r>
      <w:r w:rsidR="00F274DD" w:rsidRPr="008B13A5">
        <w:rPr>
          <w:bCs/>
          <w:noProof/>
          <w:szCs w:val="22"/>
        </w:rPr>
        <w:t xml:space="preserve"> </w:t>
      </w:r>
      <w:r w:rsidRPr="008B13A5">
        <w:rPr>
          <w:bCs/>
          <w:noProof/>
          <w:szCs w:val="22"/>
        </w:rPr>
        <w:t>(</w:t>
      </w:r>
      <w:r w:rsidRPr="008B13A5">
        <w:rPr>
          <w:rStyle w:val="FootnoteReference"/>
          <w:bCs/>
          <w:noProof/>
          <w:szCs w:val="22"/>
        </w:rPr>
        <w:footnoteReference w:id="392"/>
      </w:r>
      <w:r w:rsidRPr="008B13A5">
        <w:rPr>
          <w:bCs/>
          <w:noProof/>
          <w:szCs w:val="22"/>
        </w:rPr>
        <w:t>) For environmental impacts, monetisation factor of €0.163 /kgCO2e was used describing restoration cost which expresses the abatement cost for achieving the policy targets of reducing GHG emissions to meet the 2-degree target as set in the Paris Agreement.</w:t>
      </w:r>
      <w:r w:rsidR="007C5ADA">
        <w:rPr>
          <w:bCs/>
          <w:noProof/>
          <w:szCs w:val="22"/>
        </w:rPr>
        <w:t xml:space="preserve"> (</w:t>
      </w:r>
      <w:r w:rsidRPr="008B13A5">
        <w:rPr>
          <w:bCs/>
          <w:noProof/>
          <w:szCs w:val="22"/>
          <w:vertAlign w:val="superscript"/>
        </w:rPr>
        <w:t>348</w:t>
      </w:r>
      <w:r w:rsidR="007C5ADA" w:rsidRPr="007C5ADA">
        <w:rPr>
          <w:bCs/>
          <w:noProof/>
          <w:szCs w:val="22"/>
        </w:rPr>
        <w:t xml:space="preserve">) </w:t>
      </w:r>
      <w:r w:rsidRPr="008B13A5">
        <w:rPr>
          <w:bCs/>
          <w:noProof/>
          <w:szCs w:val="22"/>
        </w:rPr>
        <w:t xml:space="preserve">Using this factor, restoration cost for different policy options in 2035 can be estimated: </w:t>
      </w:r>
    </w:p>
    <w:p w14:paraId="10591835" w14:textId="27829892" w:rsidR="00EC49AF" w:rsidRPr="00BD008E" w:rsidRDefault="00EC49AF" w:rsidP="00F47256">
      <w:pPr>
        <w:numPr>
          <w:ilvl w:val="0"/>
          <w:numId w:val="70"/>
        </w:numPr>
        <w:spacing w:after="120" w:line="264" w:lineRule="auto"/>
        <w:rPr>
          <w:noProof/>
          <w:szCs w:val="22"/>
        </w:rPr>
      </w:pPr>
      <w:r w:rsidRPr="00BD008E">
        <w:rPr>
          <w:noProof/>
          <w:szCs w:val="22"/>
        </w:rPr>
        <w:t>Baseline scenario BAU = €1.226 bln</w:t>
      </w:r>
    </w:p>
    <w:p w14:paraId="450254DD" w14:textId="3D6330E8" w:rsidR="00EC49AF" w:rsidRPr="00BD008E" w:rsidRDefault="00EC49AF" w:rsidP="00F47256">
      <w:pPr>
        <w:numPr>
          <w:ilvl w:val="0"/>
          <w:numId w:val="71"/>
        </w:numPr>
        <w:spacing w:after="120" w:line="264" w:lineRule="auto"/>
        <w:rPr>
          <w:noProof/>
          <w:szCs w:val="22"/>
        </w:rPr>
      </w:pPr>
      <w:r w:rsidRPr="00BD008E">
        <w:rPr>
          <w:noProof/>
          <w:szCs w:val="22"/>
        </w:rPr>
        <w:t>Policy Option 1 = €1.286 bln</w:t>
      </w:r>
    </w:p>
    <w:p w14:paraId="057E7130" w14:textId="05112E04" w:rsidR="00EC49AF" w:rsidRPr="00BD008E" w:rsidRDefault="00EC49AF" w:rsidP="00F47256">
      <w:pPr>
        <w:numPr>
          <w:ilvl w:val="0"/>
          <w:numId w:val="72"/>
        </w:numPr>
        <w:spacing w:after="120" w:line="264" w:lineRule="auto"/>
        <w:rPr>
          <w:noProof/>
          <w:szCs w:val="22"/>
        </w:rPr>
      </w:pPr>
      <w:r w:rsidRPr="00BD008E">
        <w:rPr>
          <w:noProof/>
          <w:szCs w:val="22"/>
        </w:rPr>
        <w:t>Policy Option 2, scenario 1 =  </w:t>
      </w:r>
      <w:r w:rsidR="00F274DD" w:rsidRPr="00BD008E">
        <w:rPr>
          <w:noProof/>
          <w:szCs w:val="22"/>
        </w:rPr>
        <w:t xml:space="preserve"> </w:t>
      </w:r>
      <w:r w:rsidRPr="00BD008E">
        <w:rPr>
          <w:noProof/>
          <w:szCs w:val="22"/>
        </w:rPr>
        <w:t>€1.394 bln</w:t>
      </w:r>
    </w:p>
    <w:p w14:paraId="5EC8FC2D" w14:textId="4E963457" w:rsidR="00EC49AF" w:rsidRPr="00BD008E" w:rsidRDefault="00EC49AF" w:rsidP="00F47256">
      <w:pPr>
        <w:numPr>
          <w:ilvl w:val="0"/>
          <w:numId w:val="73"/>
        </w:numPr>
        <w:spacing w:after="120" w:line="264" w:lineRule="auto"/>
        <w:rPr>
          <w:noProof/>
          <w:szCs w:val="22"/>
        </w:rPr>
      </w:pPr>
      <w:r w:rsidRPr="008B13A5">
        <w:rPr>
          <w:bCs/>
          <w:noProof/>
          <w:szCs w:val="22"/>
        </w:rPr>
        <w:t xml:space="preserve">Policy Option 2, scenario 2 = </w:t>
      </w:r>
      <w:r w:rsidRPr="00BD008E">
        <w:rPr>
          <w:noProof/>
          <w:szCs w:val="22"/>
        </w:rPr>
        <w:t>€1.385 bln</w:t>
      </w:r>
    </w:p>
    <w:p w14:paraId="5F7F3DF6" w14:textId="77777777" w:rsidR="00EC49AF" w:rsidRPr="00BD008E" w:rsidRDefault="00EC49AF" w:rsidP="00EC49AF">
      <w:pPr>
        <w:rPr>
          <w:noProof/>
          <w:szCs w:val="22"/>
        </w:rPr>
      </w:pPr>
      <w:r w:rsidRPr="008B13A5">
        <w:rPr>
          <w:noProof/>
          <w:szCs w:val="22"/>
        </w:rPr>
        <w:br w:type="page"/>
      </w:r>
    </w:p>
    <w:p w14:paraId="2F78EA9F" w14:textId="3E5C96F9" w:rsidR="00EC49AF" w:rsidRPr="008B13A5" w:rsidRDefault="00EC49AF" w:rsidP="00F47256">
      <w:pPr>
        <w:pStyle w:val="Heading1"/>
        <w:rPr>
          <w:noProof/>
        </w:rPr>
      </w:pPr>
      <w:bookmarkStart w:id="358" w:name="_Toc217394784"/>
      <w:bookmarkStart w:id="359" w:name="_Toc217395643"/>
      <w:bookmarkStart w:id="360" w:name="_Toc217396492"/>
      <w:bookmarkStart w:id="361" w:name="_Toc1460279731"/>
      <w:bookmarkStart w:id="362" w:name="_Toc223620657"/>
      <w:bookmarkStart w:id="363" w:name="_Toc230010479"/>
      <w:r w:rsidRPr="008B13A5">
        <w:rPr>
          <w:noProof/>
        </w:rPr>
        <w:t>Comparative analysis of investment, capacity and employment outcomes related to Strategic Projects</w:t>
      </w:r>
      <w:bookmarkEnd w:id="358"/>
      <w:bookmarkEnd w:id="359"/>
      <w:bookmarkEnd w:id="360"/>
      <w:bookmarkEnd w:id="361"/>
      <w:bookmarkEnd w:id="362"/>
      <w:bookmarkEnd w:id="363"/>
    </w:p>
    <w:p w14:paraId="4CCDB0F3" w14:textId="0BFB4E40" w:rsidR="00EC49AF" w:rsidRPr="008B13A5" w:rsidRDefault="00EC49AF" w:rsidP="00EC49AF">
      <w:pPr>
        <w:rPr>
          <w:b/>
          <w:noProof/>
          <w:szCs w:val="22"/>
        </w:rPr>
      </w:pPr>
      <w:r w:rsidRPr="008B13A5">
        <w:rPr>
          <w:b/>
          <w:bCs/>
          <w:noProof/>
          <w:szCs w:val="22"/>
        </w:rPr>
        <w:t>Modelling approach and baseline assumptions</w:t>
      </w:r>
    </w:p>
    <w:p w14:paraId="0A0A364B" w14:textId="222E694F" w:rsidR="00EC49AF" w:rsidRPr="008B13A5" w:rsidRDefault="00EC49AF" w:rsidP="00EC49AF">
      <w:pPr>
        <w:rPr>
          <w:noProof/>
          <w:szCs w:val="22"/>
        </w:rPr>
      </w:pPr>
      <w:r w:rsidRPr="008B13A5">
        <w:rPr>
          <w:noProof/>
          <w:szCs w:val="22"/>
        </w:rPr>
        <w:t>The modelling relies on an empirical bottom-up calibration using first-of-a-kind (FOAK) semiconductor manufacturing projects supported to date in the EU. These projects constitute the only observable set of investments for which reasonably consistent information is available on:</w:t>
      </w:r>
    </w:p>
    <w:p w14:paraId="44D190D2" w14:textId="518E8D73" w:rsidR="00EC49AF" w:rsidRPr="008B13A5" w:rsidRDefault="00EC49AF" w:rsidP="00F47256">
      <w:pPr>
        <w:pStyle w:val="ListParagraph"/>
        <w:numPr>
          <w:ilvl w:val="0"/>
          <w:numId w:val="26"/>
        </w:numPr>
        <w:tabs>
          <w:tab w:val="left" w:pos="709"/>
        </w:tabs>
        <w:spacing w:after="120"/>
        <w:ind w:left="709" w:hanging="283"/>
        <w:rPr>
          <w:rFonts w:eastAsia="Times New Roman"/>
          <w:noProof/>
          <w:sz w:val="22"/>
          <w:szCs w:val="22"/>
        </w:rPr>
      </w:pPr>
      <w:r w:rsidRPr="008B13A5">
        <w:rPr>
          <w:rFonts w:eastAsia="Times New Roman"/>
          <w:noProof/>
          <w:sz w:val="22"/>
          <w:szCs w:val="22"/>
        </w:rPr>
        <w:t>total investment volumes (public and private),</w:t>
      </w:r>
    </w:p>
    <w:p w14:paraId="36AD9D42" w14:textId="2499A634" w:rsidR="00EC49AF" w:rsidRPr="008B13A5" w:rsidRDefault="00EC49AF" w:rsidP="00F47256">
      <w:pPr>
        <w:pStyle w:val="ListParagraph"/>
        <w:numPr>
          <w:ilvl w:val="0"/>
          <w:numId w:val="26"/>
        </w:numPr>
        <w:tabs>
          <w:tab w:val="left" w:pos="709"/>
        </w:tabs>
        <w:spacing w:after="120"/>
        <w:ind w:left="709" w:hanging="283"/>
        <w:rPr>
          <w:rFonts w:eastAsia="Times New Roman"/>
          <w:noProof/>
          <w:sz w:val="22"/>
          <w:szCs w:val="22"/>
        </w:rPr>
      </w:pPr>
      <w:r w:rsidRPr="008B13A5">
        <w:rPr>
          <w:rFonts w:eastAsia="Times New Roman"/>
          <w:noProof/>
          <w:sz w:val="22"/>
          <w:szCs w:val="22"/>
        </w:rPr>
        <w:t>planned wafer fabrication capacity, and</w:t>
      </w:r>
    </w:p>
    <w:p w14:paraId="3D76C611" w14:textId="19372A9C" w:rsidR="00EC49AF" w:rsidRPr="008B13A5" w:rsidRDefault="00EC49AF" w:rsidP="00F47256">
      <w:pPr>
        <w:pStyle w:val="ListParagraph"/>
        <w:numPr>
          <w:ilvl w:val="0"/>
          <w:numId w:val="26"/>
        </w:numPr>
        <w:tabs>
          <w:tab w:val="left" w:pos="709"/>
        </w:tabs>
        <w:spacing w:after="120"/>
        <w:ind w:left="709" w:hanging="283"/>
        <w:rPr>
          <w:rFonts w:eastAsia="Times New Roman"/>
          <w:noProof/>
          <w:sz w:val="22"/>
          <w:szCs w:val="22"/>
        </w:rPr>
      </w:pPr>
      <w:r w:rsidRPr="008B13A5">
        <w:rPr>
          <w:rFonts w:eastAsia="Times New Roman"/>
          <w:noProof/>
          <w:sz w:val="22"/>
          <w:szCs w:val="22"/>
        </w:rPr>
        <w:t>announced direct employment at steady state.</w:t>
      </w:r>
    </w:p>
    <w:p w14:paraId="109952E5" w14:textId="65921C30" w:rsidR="00EC49AF" w:rsidRPr="008B13A5" w:rsidRDefault="00EC49AF" w:rsidP="00EC49AF">
      <w:pPr>
        <w:rPr>
          <w:noProof/>
          <w:szCs w:val="22"/>
        </w:rPr>
      </w:pPr>
      <w:r w:rsidRPr="008B13A5">
        <w:rPr>
          <w:noProof/>
          <w:szCs w:val="22"/>
        </w:rPr>
        <w:t>The reference sample therefore reflects revealed investment behaviour under EU and Member State support schemes, rather than hypothetical or benchmarked fab configurations. This approach is consistent with the Better Regulation principle of grounding quantitative analysis in observed evidence where available, while acknowledging that the sample remains limited in size and heterogeneous in technological scope.</w:t>
      </w:r>
    </w:p>
    <w:p w14:paraId="650DD110" w14:textId="41A2AE7C" w:rsidR="00EC49AF" w:rsidRPr="008B13A5" w:rsidRDefault="00EC49AF" w:rsidP="00EC49AF">
      <w:pPr>
        <w:rPr>
          <w:noProof/>
          <w:szCs w:val="22"/>
        </w:rPr>
      </w:pPr>
      <w:r w:rsidRPr="008B13A5">
        <w:rPr>
          <w:noProof/>
          <w:szCs w:val="22"/>
        </w:rPr>
        <w:t>To ensure comparability across projects of different scale and technology profiles, the available FOAK data were normalised into intensity ratios, expressed as:</w:t>
      </w:r>
    </w:p>
    <w:p w14:paraId="5E1A43A7" w14:textId="63D57800" w:rsidR="00EC49AF" w:rsidRPr="008B13A5" w:rsidRDefault="00EC49AF" w:rsidP="00F47256">
      <w:pPr>
        <w:pStyle w:val="ListParagraph"/>
        <w:numPr>
          <w:ilvl w:val="0"/>
          <w:numId w:val="26"/>
        </w:numPr>
        <w:tabs>
          <w:tab w:val="left" w:pos="709"/>
        </w:tabs>
        <w:spacing w:after="120"/>
        <w:ind w:left="709" w:hanging="283"/>
        <w:rPr>
          <w:rFonts w:eastAsia="Times New Roman"/>
          <w:noProof/>
          <w:sz w:val="22"/>
          <w:szCs w:val="22"/>
        </w:rPr>
      </w:pPr>
      <w:r w:rsidRPr="008B13A5">
        <w:rPr>
          <w:rFonts w:eastAsia="Times New Roman"/>
          <w:noProof/>
          <w:sz w:val="22"/>
          <w:szCs w:val="22"/>
        </w:rPr>
        <w:t>wafer capacity per EUR billion of total investment; and</w:t>
      </w:r>
    </w:p>
    <w:p w14:paraId="30A24CA3" w14:textId="44F9E789" w:rsidR="00EC49AF" w:rsidRPr="008B13A5" w:rsidRDefault="00EC49AF" w:rsidP="00F47256">
      <w:pPr>
        <w:pStyle w:val="ListParagraph"/>
        <w:numPr>
          <w:ilvl w:val="0"/>
          <w:numId w:val="26"/>
        </w:numPr>
        <w:tabs>
          <w:tab w:val="left" w:pos="709"/>
        </w:tabs>
        <w:spacing w:after="120"/>
        <w:ind w:left="709" w:hanging="283"/>
        <w:rPr>
          <w:rFonts w:eastAsia="Times New Roman"/>
          <w:noProof/>
          <w:sz w:val="22"/>
          <w:szCs w:val="22"/>
        </w:rPr>
      </w:pPr>
      <w:r w:rsidRPr="008B13A5">
        <w:rPr>
          <w:rFonts w:eastAsia="Times New Roman"/>
          <w:noProof/>
          <w:sz w:val="22"/>
          <w:szCs w:val="22"/>
        </w:rPr>
        <w:t>direct employment per EUR billion of total investment.</w:t>
      </w:r>
    </w:p>
    <w:p w14:paraId="5D62E36D" w14:textId="2B1BA84F" w:rsidR="00EC49AF" w:rsidRPr="008B13A5" w:rsidRDefault="00EC49AF" w:rsidP="00EC49AF">
      <w:pPr>
        <w:rPr>
          <w:noProof/>
          <w:szCs w:val="22"/>
        </w:rPr>
      </w:pPr>
      <w:r w:rsidRPr="008B13A5">
        <w:rPr>
          <w:noProof/>
          <w:szCs w:val="22"/>
        </w:rPr>
        <w:t>Using the consolidated FOAK figures provided:</w:t>
      </w:r>
    </w:p>
    <w:p w14:paraId="35BBC11D" w14:textId="2E01129E" w:rsidR="00EC49AF" w:rsidRPr="008B13A5" w:rsidRDefault="00EC49AF" w:rsidP="00F47256">
      <w:pPr>
        <w:pStyle w:val="ListParagraph"/>
        <w:numPr>
          <w:ilvl w:val="0"/>
          <w:numId w:val="26"/>
        </w:numPr>
        <w:tabs>
          <w:tab w:val="left" w:pos="709"/>
        </w:tabs>
        <w:spacing w:after="120"/>
        <w:ind w:left="709" w:hanging="283"/>
        <w:rPr>
          <w:rFonts w:eastAsia="Times New Roman"/>
          <w:noProof/>
          <w:sz w:val="22"/>
          <w:szCs w:val="22"/>
        </w:rPr>
      </w:pPr>
      <w:r w:rsidRPr="008B13A5">
        <w:rPr>
          <w:rFonts w:eastAsia="Times New Roman"/>
          <w:noProof/>
          <w:sz w:val="22"/>
          <w:szCs w:val="22"/>
        </w:rPr>
        <w:t>total investment: EUR 31.23 billion;</w:t>
      </w:r>
    </w:p>
    <w:p w14:paraId="7EEC3A51" w14:textId="61608722" w:rsidR="00EC49AF" w:rsidRPr="008B13A5" w:rsidRDefault="00EC49AF" w:rsidP="00F47256">
      <w:pPr>
        <w:pStyle w:val="ListParagraph"/>
        <w:numPr>
          <w:ilvl w:val="0"/>
          <w:numId w:val="26"/>
        </w:numPr>
        <w:tabs>
          <w:tab w:val="left" w:pos="709"/>
        </w:tabs>
        <w:spacing w:after="120"/>
        <w:ind w:left="709" w:hanging="283"/>
        <w:rPr>
          <w:rFonts w:eastAsia="Times New Roman"/>
          <w:noProof/>
          <w:sz w:val="22"/>
          <w:szCs w:val="22"/>
        </w:rPr>
      </w:pPr>
      <w:r w:rsidRPr="008B13A5">
        <w:rPr>
          <w:rFonts w:eastAsia="Times New Roman"/>
          <w:noProof/>
          <w:sz w:val="22"/>
          <w:szCs w:val="22"/>
        </w:rPr>
        <w:t>total planned new jobs: approximately 5,700; and</w:t>
      </w:r>
    </w:p>
    <w:p w14:paraId="47862BE3" w14:textId="66F7CB55" w:rsidR="00EC49AF" w:rsidRPr="008B13A5" w:rsidRDefault="00EC49AF" w:rsidP="00F47256">
      <w:pPr>
        <w:pStyle w:val="ListParagraph"/>
        <w:numPr>
          <w:ilvl w:val="0"/>
          <w:numId w:val="26"/>
        </w:numPr>
        <w:tabs>
          <w:tab w:val="left" w:pos="709"/>
        </w:tabs>
        <w:spacing w:after="120"/>
        <w:ind w:left="709" w:hanging="283"/>
        <w:rPr>
          <w:rFonts w:eastAsia="Times New Roman"/>
          <w:noProof/>
          <w:sz w:val="22"/>
          <w:szCs w:val="22"/>
        </w:rPr>
      </w:pPr>
      <w:r w:rsidRPr="008B13A5">
        <w:rPr>
          <w:rFonts w:eastAsia="Times New Roman"/>
          <w:noProof/>
          <w:sz w:val="22"/>
          <w:szCs w:val="22"/>
        </w:rPr>
        <w:t>total planned new wafer capacity: approximately 2.08 million wafers per year (around 173,000 wafers per month).</w:t>
      </w:r>
    </w:p>
    <w:p w14:paraId="014E840D" w14:textId="6F9D2AD0" w:rsidR="00EC49AF" w:rsidRPr="008B13A5" w:rsidRDefault="00EC49AF" w:rsidP="00EC49AF">
      <w:pPr>
        <w:rPr>
          <w:noProof/>
          <w:szCs w:val="22"/>
        </w:rPr>
      </w:pPr>
      <w:r w:rsidRPr="008B13A5">
        <w:rPr>
          <w:noProof/>
          <w:szCs w:val="22"/>
        </w:rPr>
        <w:t>From these figures, the model derives average investment intensities that serve as proportional scaling parameters. These parameters implicitly capture the current European technology mix, capital intensity, and labour productivity embedded in recent supported projects.</w:t>
      </w:r>
    </w:p>
    <w:p w14:paraId="3C2C9F5E" w14:textId="41C9EE63" w:rsidR="00EC49AF" w:rsidRPr="008B13A5" w:rsidRDefault="00EC49AF" w:rsidP="00EC49AF">
      <w:pPr>
        <w:rPr>
          <w:noProof/>
          <w:szCs w:val="22"/>
        </w:rPr>
      </w:pPr>
      <w:r w:rsidRPr="008B13A5">
        <w:rPr>
          <w:noProof/>
          <w:szCs w:val="22"/>
        </w:rPr>
        <w:t>The derived intensity ratios are then applied proportionally to the assumed EUR 40 billion investment envelope associated with strategic semiconductor projects, comprising public support and crowd-in private investment. The model assumes that:</w:t>
      </w:r>
    </w:p>
    <w:p w14:paraId="16EABF48" w14:textId="3069A493" w:rsidR="00EC49AF" w:rsidRPr="008B13A5" w:rsidRDefault="00EC49AF" w:rsidP="00F47256">
      <w:pPr>
        <w:pStyle w:val="ListParagraph"/>
        <w:numPr>
          <w:ilvl w:val="0"/>
          <w:numId w:val="26"/>
        </w:numPr>
        <w:tabs>
          <w:tab w:val="left" w:pos="709"/>
        </w:tabs>
        <w:spacing w:after="120"/>
        <w:ind w:left="709" w:hanging="283"/>
        <w:rPr>
          <w:rFonts w:eastAsia="Times New Roman"/>
          <w:noProof/>
        </w:rPr>
      </w:pPr>
      <w:r w:rsidRPr="008B13A5">
        <w:rPr>
          <w:rFonts w:eastAsia="Times New Roman"/>
          <w:noProof/>
        </w:rPr>
        <w:t>the full envelope translates into realised manufacturing investment;</w:t>
      </w:r>
    </w:p>
    <w:p w14:paraId="46B8DBD6" w14:textId="14400673" w:rsidR="00EC49AF" w:rsidRPr="008B13A5" w:rsidRDefault="00EC49AF" w:rsidP="00F47256">
      <w:pPr>
        <w:pStyle w:val="ListParagraph"/>
        <w:numPr>
          <w:ilvl w:val="0"/>
          <w:numId w:val="26"/>
        </w:numPr>
        <w:tabs>
          <w:tab w:val="left" w:pos="709"/>
        </w:tabs>
        <w:spacing w:after="120"/>
        <w:ind w:left="709" w:hanging="283"/>
        <w:rPr>
          <w:rFonts w:eastAsia="Times New Roman"/>
          <w:noProof/>
        </w:rPr>
      </w:pPr>
      <w:r w:rsidRPr="008B13A5">
        <w:rPr>
          <w:rFonts w:eastAsia="Times New Roman"/>
          <w:noProof/>
        </w:rPr>
        <w:t>investment efficiency, in terms of capacity and employment per euro invested, remains constant relative to the FOAK reference sample; and</w:t>
      </w:r>
    </w:p>
    <w:p w14:paraId="3CD680CD" w14:textId="19BA86CA" w:rsidR="00EC49AF" w:rsidRPr="008B13A5" w:rsidRDefault="00EC49AF" w:rsidP="00F47256">
      <w:pPr>
        <w:pStyle w:val="ListParagraph"/>
        <w:numPr>
          <w:ilvl w:val="0"/>
          <w:numId w:val="26"/>
        </w:numPr>
        <w:tabs>
          <w:tab w:val="left" w:pos="709"/>
        </w:tabs>
        <w:spacing w:after="120"/>
        <w:ind w:left="709" w:hanging="283"/>
        <w:rPr>
          <w:rFonts w:eastAsia="Times New Roman"/>
          <w:noProof/>
        </w:rPr>
      </w:pPr>
      <w:r w:rsidRPr="008B13A5">
        <w:rPr>
          <w:rFonts w:eastAsia="Times New Roman"/>
          <w:noProof/>
        </w:rPr>
        <w:t>no major structural break occurs in technology choice, production scale, or automation intensity relative to recent projects.</w:t>
      </w:r>
    </w:p>
    <w:p w14:paraId="0C180D12" w14:textId="14D7F84D" w:rsidR="00EC49AF" w:rsidRPr="008B13A5" w:rsidRDefault="00EC49AF" w:rsidP="00EC49AF">
      <w:pPr>
        <w:rPr>
          <w:noProof/>
          <w:szCs w:val="22"/>
        </w:rPr>
      </w:pPr>
      <w:r w:rsidRPr="008B13A5">
        <w:rPr>
          <w:noProof/>
          <w:szCs w:val="22"/>
        </w:rPr>
        <w:t>Under these assumptions, additional wafer capacity and employment are estimated by scaling up the FOAK-based ratios to the larger investment envelope. This proportional approach ensures internal consistency between observed projects and forward-looking estimates, while deliberately avoiding optimistic assumptions about learning effects or step-changes in productivity.</w:t>
      </w:r>
    </w:p>
    <w:p w14:paraId="11BA21CA" w14:textId="4CEE238F" w:rsidR="00EC49AF" w:rsidRPr="008B13A5" w:rsidRDefault="00EC49AF" w:rsidP="00EC49AF">
      <w:pPr>
        <w:rPr>
          <w:noProof/>
          <w:szCs w:val="22"/>
        </w:rPr>
      </w:pPr>
      <w:r w:rsidRPr="008B13A5">
        <w:rPr>
          <w:noProof/>
          <w:szCs w:val="22"/>
        </w:rPr>
        <w:t>The modelling approach is intentionally conservative and subject to several limitations:</w:t>
      </w:r>
    </w:p>
    <w:p w14:paraId="2CAF0957" w14:textId="0D70696B" w:rsidR="00EC49AF" w:rsidRPr="008B13A5" w:rsidRDefault="00EC49AF" w:rsidP="00F47256">
      <w:pPr>
        <w:pStyle w:val="ListParagraph"/>
        <w:numPr>
          <w:ilvl w:val="0"/>
          <w:numId w:val="26"/>
        </w:numPr>
        <w:tabs>
          <w:tab w:val="left" w:pos="709"/>
        </w:tabs>
        <w:spacing w:after="120"/>
        <w:ind w:left="709" w:hanging="283"/>
        <w:rPr>
          <w:rFonts w:eastAsia="Times New Roman"/>
          <w:noProof/>
        </w:rPr>
      </w:pPr>
      <w:r w:rsidRPr="008B13A5">
        <w:rPr>
          <w:rFonts w:eastAsia="Times New Roman"/>
          <w:noProof/>
        </w:rPr>
        <w:t>FOAK projects may not yet reflect steady-state performance, as ramp-up periods and learning effects are ongoing.</w:t>
      </w:r>
    </w:p>
    <w:p w14:paraId="520628F8" w14:textId="18E7CDB6" w:rsidR="00EC49AF" w:rsidRPr="008B13A5" w:rsidRDefault="00EC49AF" w:rsidP="00F47256">
      <w:pPr>
        <w:pStyle w:val="ListParagraph"/>
        <w:numPr>
          <w:ilvl w:val="0"/>
          <w:numId w:val="26"/>
        </w:numPr>
        <w:tabs>
          <w:tab w:val="left" w:pos="709"/>
        </w:tabs>
        <w:spacing w:after="120"/>
        <w:ind w:left="709" w:hanging="283"/>
        <w:rPr>
          <w:rFonts w:eastAsia="Times New Roman"/>
          <w:noProof/>
        </w:rPr>
      </w:pPr>
      <w:r w:rsidRPr="008B13A5">
        <w:rPr>
          <w:rFonts w:eastAsia="Times New Roman"/>
          <w:noProof/>
        </w:rPr>
        <w:t>Publicly announced employment and capacity figures may change as projects progress.</w:t>
      </w:r>
    </w:p>
    <w:p w14:paraId="515E8E2E" w14:textId="3236A866" w:rsidR="00EC49AF" w:rsidRPr="008B13A5" w:rsidRDefault="00EC49AF" w:rsidP="00F47256">
      <w:pPr>
        <w:pStyle w:val="ListParagraph"/>
        <w:numPr>
          <w:ilvl w:val="0"/>
          <w:numId w:val="26"/>
        </w:numPr>
        <w:tabs>
          <w:tab w:val="left" w:pos="709"/>
        </w:tabs>
        <w:spacing w:after="120"/>
        <w:ind w:left="709" w:hanging="283"/>
        <w:rPr>
          <w:rFonts w:eastAsia="Times New Roman"/>
          <w:noProof/>
        </w:rPr>
      </w:pPr>
      <w:r w:rsidRPr="008B13A5">
        <w:rPr>
          <w:rFonts w:eastAsia="Times New Roman"/>
          <w:noProof/>
        </w:rPr>
        <w:t>The sample does not include a fully operational leading-edge logic fab in Europe, limiting direct observability for advanced-node scenarios.</w:t>
      </w:r>
    </w:p>
    <w:p w14:paraId="33815D9E" w14:textId="0856C377" w:rsidR="00EC49AF" w:rsidRPr="008B13A5" w:rsidRDefault="00EC49AF" w:rsidP="00EC49AF">
      <w:pPr>
        <w:pStyle w:val="NormalWeb"/>
        <w:spacing w:before="0" w:beforeAutospacing="0" w:after="120" w:afterAutospacing="0"/>
        <w:jc w:val="both"/>
        <w:rPr>
          <w:noProof/>
        </w:rPr>
      </w:pPr>
      <w:r w:rsidRPr="008B13A5">
        <w:rPr>
          <w:noProof/>
        </w:rPr>
        <w:t xml:space="preserve">The modelling of Strategic Projects impacts relies on a total investment envelope of </w:t>
      </w:r>
      <w:r w:rsidRPr="008B13A5">
        <w:rPr>
          <w:rStyle w:val="Strong"/>
          <w:noProof/>
        </w:rPr>
        <w:t>EUR 40 billion</w:t>
      </w:r>
      <w:r w:rsidRPr="008B13A5">
        <w:rPr>
          <w:noProof/>
        </w:rPr>
        <w:t xml:space="preserve">, comprising </w:t>
      </w:r>
      <w:r w:rsidRPr="008B13A5">
        <w:rPr>
          <w:rStyle w:val="Strong"/>
          <w:noProof/>
        </w:rPr>
        <w:t>EUR 15 billion in public support</w:t>
      </w:r>
      <w:r w:rsidRPr="008B13A5">
        <w:rPr>
          <w:noProof/>
        </w:rPr>
        <w:t xml:space="preserve"> (Competitiveness Fund, State aid, including Member State contributions) and </w:t>
      </w:r>
      <w:r w:rsidRPr="008B13A5">
        <w:rPr>
          <w:rStyle w:val="Strong"/>
          <w:noProof/>
        </w:rPr>
        <w:t>EUR 25 billion in private investment</w:t>
      </w:r>
      <w:r w:rsidRPr="008B13A5">
        <w:rPr>
          <w:noProof/>
        </w:rPr>
        <w:t>. This envelope is assumed to be fully allocated to new manufacturing capacity and associated on-site activities.</w:t>
      </w:r>
    </w:p>
    <w:p w14:paraId="04F14740" w14:textId="53CC18F1" w:rsidR="00EC49AF" w:rsidRPr="008B13A5" w:rsidRDefault="00EC49AF" w:rsidP="00EC49AF">
      <w:pPr>
        <w:pStyle w:val="NormalWeb"/>
        <w:spacing w:before="0" w:beforeAutospacing="0" w:after="120" w:afterAutospacing="0"/>
        <w:jc w:val="both"/>
        <w:rPr>
          <w:noProof/>
        </w:rPr>
      </w:pPr>
      <w:r w:rsidRPr="008B13A5">
        <w:rPr>
          <w:noProof/>
        </w:rPr>
        <w:t>Two scenarios are assessed:</w:t>
      </w:r>
    </w:p>
    <w:p w14:paraId="3747155A" w14:textId="611F91AC" w:rsidR="00EC49AF" w:rsidRPr="008B13A5" w:rsidRDefault="00EC49AF" w:rsidP="00F47256">
      <w:pPr>
        <w:pStyle w:val="NormalWeb"/>
        <w:numPr>
          <w:ilvl w:val="0"/>
          <w:numId w:val="44"/>
        </w:numPr>
        <w:spacing w:before="0" w:beforeAutospacing="0" w:after="120" w:afterAutospacing="0"/>
        <w:jc w:val="both"/>
        <w:rPr>
          <w:noProof/>
        </w:rPr>
      </w:pPr>
      <w:r w:rsidRPr="008B13A5">
        <w:rPr>
          <w:rStyle w:val="Strong"/>
          <w:noProof/>
        </w:rPr>
        <w:t>scenario 1</w:t>
      </w:r>
      <w:r w:rsidRPr="008B13A5">
        <w:rPr>
          <w:noProof/>
        </w:rPr>
        <w:t>, in which new investments broadly replicate the current European wafer mix and technology profile (i.e. mostly on mainstream chips); and</w:t>
      </w:r>
    </w:p>
    <w:p w14:paraId="3D0AF2E4" w14:textId="72355B08" w:rsidR="00EC49AF" w:rsidRPr="008B13A5" w:rsidRDefault="00EC49AF" w:rsidP="00F47256">
      <w:pPr>
        <w:pStyle w:val="NormalWeb"/>
        <w:numPr>
          <w:ilvl w:val="0"/>
          <w:numId w:val="44"/>
        </w:numPr>
        <w:spacing w:before="0" w:beforeAutospacing="0" w:after="120" w:afterAutospacing="0"/>
        <w:jc w:val="both"/>
        <w:rPr>
          <w:noProof/>
        </w:rPr>
      </w:pPr>
      <w:r w:rsidRPr="008B13A5">
        <w:rPr>
          <w:rStyle w:val="Strong"/>
          <w:noProof/>
        </w:rPr>
        <w:t>scenario 2</w:t>
      </w:r>
      <w:r w:rsidRPr="008B13A5">
        <w:rPr>
          <w:noProof/>
        </w:rPr>
        <w:t>, in which part of the investment is redirected towards a cutting-edge logic fab, with the remainder following the current European mix.</w:t>
      </w:r>
    </w:p>
    <w:p w14:paraId="6814DC75" w14:textId="662398BA" w:rsidR="00EC49AF" w:rsidRPr="008B13A5" w:rsidRDefault="00EC49AF" w:rsidP="00EC49AF">
      <w:pPr>
        <w:rPr>
          <w:noProof/>
          <w:szCs w:val="22"/>
        </w:rPr>
      </w:pPr>
      <w:r w:rsidRPr="008B13A5">
        <w:rPr>
          <w:b/>
          <w:noProof/>
          <w:szCs w:val="22"/>
        </w:rPr>
        <w:t>Pessimistic scenario: continuation of the current European wafer mix</w:t>
      </w:r>
    </w:p>
    <w:p w14:paraId="035A6739" w14:textId="18E1E482" w:rsidR="00EC49AF" w:rsidRPr="008B13A5" w:rsidRDefault="00EC49AF" w:rsidP="00EC49AF">
      <w:pPr>
        <w:pStyle w:val="NormalWeb"/>
        <w:spacing w:before="0" w:beforeAutospacing="0" w:after="120" w:afterAutospacing="0"/>
        <w:jc w:val="both"/>
        <w:rPr>
          <w:noProof/>
        </w:rPr>
      </w:pPr>
      <w:r w:rsidRPr="008B13A5">
        <w:rPr>
          <w:noProof/>
        </w:rPr>
        <w:t xml:space="preserve">The pessimistic scenario assumes that new investments follow the </w:t>
      </w:r>
      <w:r w:rsidRPr="008B13A5">
        <w:rPr>
          <w:rStyle w:val="Strong"/>
          <w:noProof/>
        </w:rPr>
        <w:t>existing structure of semiconductor manufacturing in Europe</w:t>
      </w:r>
      <w:r w:rsidRPr="008B13A5">
        <w:rPr>
          <w:noProof/>
        </w:rPr>
        <w:t xml:space="preserve">, characterised by a dominance of mature nodes and specialty technologies. The allocation of funding across technology segments is derived from </w:t>
      </w:r>
      <w:r w:rsidRPr="008B13A5">
        <w:rPr>
          <w:rStyle w:val="Strong"/>
          <w:noProof/>
        </w:rPr>
        <w:t>first-of-a-kind (FOAK) investments observed to date</w:t>
      </w:r>
      <w:r w:rsidRPr="008B13A5">
        <w:rPr>
          <w:noProof/>
        </w:rPr>
        <w:t>, and the same proportional distribution is applied to the new EUR 40 billion envelope.</w:t>
      </w:r>
    </w:p>
    <w:p w14:paraId="3E36ACB4" w14:textId="27DDA4C7" w:rsidR="00EC49AF" w:rsidRPr="008B13A5" w:rsidRDefault="00EC49AF" w:rsidP="00EC49AF">
      <w:pPr>
        <w:pStyle w:val="NormalWeb"/>
        <w:spacing w:before="0" w:beforeAutospacing="0" w:after="120" w:afterAutospacing="0"/>
        <w:jc w:val="both"/>
        <w:rPr>
          <w:noProof/>
        </w:rPr>
      </w:pPr>
      <w:r w:rsidRPr="008B13A5">
        <w:rPr>
          <w:noProof/>
        </w:rPr>
        <w:t>This scenario therefore reflects a continuation of current strengths, rather than a structural shift towards advanced logic manufacturing.</w:t>
      </w:r>
    </w:p>
    <w:p w14:paraId="528C5BAB" w14:textId="33984964" w:rsidR="00EC49AF" w:rsidRPr="008B13A5" w:rsidRDefault="00EC49AF" w:rsidP="00EC49AF">
      <w:pPr>
        <w:rPr>
          <w:i/>
          <w:noProof/>
          <w:szCs w:val="22"/>
        </w:rPr>
      </w:pPr>
      <w:r w:rsidRPr="008B13A5">
        <w:rPr>
          <w:i/>
          <w:noProof/>
          <w:szCs w:val="22"/>
        </w:rPr>
        <w:t>Employment and capacity impacts</w:t>
      </w:r>
    </w:p>
    <w:p w14:paraId="6DA586A3" w14:textId="7359DC0C" w:rsidR="00EC49AF" w:rsidRPr="008B13A5" w:rsidRDefault="00EC49AF" w:rsidP="00EC49AF">
      <w:pPr>
        <w:pStyle w:val="NormalWeb"/>
        <w:spacing w:before="0" w:beforeAutospacing="0" w:after="120" w:afterAutospacing="0"/>
        <w:jc w:val="both"/>
        <w:rPr>
          <w:noProof/>
        </w:rPr>
      </w:pPr>
      <w:r w:rsidRPr="008B13A5">
        <w:rPr>
          <w:noProof/>
        </w:rPr>
        <w:t>Under this scenario, the model estimates:</w:t>
      </w:r>
    </w:p>
    <w:p w14:paraId="022AFB0D" w14:textId="552ECA10" w:rsidR="00EC49AF" w:rsidRPr="008B13A5" w:rsidRDefault="00EC49AF" w:rsidP="00F47256">
      <w:pPr>
        <w:pStyle w:val="NormalWeb"/>
        <w:numPr>
          <w:ilvl w:val="0"/>
          <w:numId w:val="45"/>
        </w:numPr>
        <w:spacing w:before="0" w:beforeAutospacing="0" w:after="120" w:afterAutospacing="0"/>
        <w:jc w:val="both"/>
        <w:rPr>
          <w:noProof/>
        </w:rPr>
      </w:pPr>
      <w:r w:rsidRPr="008B13A5">
        <w:rPr>
          <w:rStyle w:val="Strong"/>
          <w:noProof/>
        </w:rPr>
        <w:t>Total new jobs</w:t>
      </w:r>
      <w:r w:rsidRPr="008B13A5">
        <w:rPr>
          <w:noProof/>
        </w:rPr>
        <w:t xml:space="preserve">: </w:t>
      </w:r>
      <w:r w:rsidRPr="008B13A5">
        <w:rPr>
          <w:rStyle w:val="Strong"/>
          <w:noProof/>
        </w:rPr>
        <w:t>7,301</w:t>
      </w:r>
    </w:p>
    <w:p w14:paraId="45EDE17D" w14:textId="6E995737" w:rsidR="00EC49AF" w:rsidRPr="008B13A5" w:rsidRDefault="00EC49AF" w:rsidP="00F47256">
      <w:pPr>
        <w:pStyle w:val="NormalWeb"/>
        <w:numPr>
          <w:ilvl w:val="0"/>
          <w:numId w:val="45"/>
        </w:numPr>
        <w:spacing w:before="0" w:beforeAutospacing="0" w:after="120" w:afterAutospacing="0"/>
        <w:jc w:val="both"/>
        <w:rPr>
          <w:noProof/>
        </w:rPr>
      </w:pPr>
      <w:r w:rsidRPr="008B13A5">
        <w:rPr>
          <w:rStyle w:val="Strong"/>
          <w:noProof/>
        </w:rPr>
        <w:t>Total new wafer capacity</w:t>
      </w:r>
      <w:r w:rsidRPr="008B13A5">
        <w:rPr>
          <w:noProof/>
        </w:rPr>
        <w:t xml:space="preserve">: </w:t>
      </w:r>
      <w:r w:rsidRPr="008B13A5">
        <w:rPr>
          <w:rStyle w:val="Strong"/>
          <w:noProof/>
        </w:rPr>
        <w:t>2,660,263 wafers per year</w:t>
      </w:r>
      <w:r w:rsidRPr="008B13A5">
        <w:rPr>
          <w:noProof/>
        </w:rPr>
        <w:t>, equivalent to</w:t>
      </w:r>
    </w:p>
    <w:p w14:paraId="51F041FE" w14:textId="405CA6E0" w:rsidR="00EC49AF" w:rsidRPr="008B13A5" w:rsidRDefault="00EC49AF" w:rsidP="00F47256">
      <w:pPr>
        <w:pStyle w:val="NormalWeb"/>
        <w:numPr>
          <w:ilvl w:val="0"/>
          <w:numId w:val="45"/>
        </w:numPr>
        <w:spacing w:before="0" w:beforeAutospacing="0" w:after="120" w:afterAutospacing="0"/>
        <w:jc w:val="both"/>
        <w:rPr>
          <w:noProof/>
        </w:rPr>
      </w:pPr>
      <w:r w:rsidRPr="008B13A5">
        <w:rPr>
          <w:rStyle w:val="Strong"/>
          <w:noProof/>
        </w:rPr>
        <w:t>221,689 wafers per month</w:t>
      </w:r>
    </w:p>
    <w:p w14:paraId="092085FE" w14:textId="25600457" w:rsidR="00EC49AF" w:rsidRPr="008B13A5" w:rsidRDefault="00EC49AF" w:rsidP="00EC49AF">
      <w:pPr>
        <w:rPr>
          <w:i/>
          <w:noProof/>
          <w:szCs w:val="22"/>
        </w:rPr>
      </w:pPr>
      <w:r w:rsidRPr="008B13A5">
        <w:rPr>
          <w:i/>
          <w:noProof/>
          <w:szCs w:val="22"/>
        </w:rPr>
        <w:t>Indirect employment</w:t>
      </w:r>
    </w:p>
    <w:p w14:paraId="3FC11726" w14:textId="003D58D6" w:rsidR="00EC49AF" w:rsidRPr="008B13A5" w:rsidRDefault="00EC49AF" w:rsidP="00EC49AF">
      <w:pPr>
        <w:rPr>
          <w:noProof/>
          <w:szCs w:val="22"/>
        </w:rPr>
      </w:pPr>
      <w:r w:rsidRPr="008B13A5">
        <w:rPr>
          <w:noProof/>
          <w:szCs w:val="22"/>
        </w:rPr>
        <w:t xml:space="preserve">The evidence from the Intel Magdeburg case and the wider literature suggests that </w:t>
      </w:r>
      <w:r w:rsidRPr="008B13A5">
        <w:rPr>
          <w:rStyle w:val="Strong"/>
          <w:noProof/>
          <w:szCs w:val="22"/>
        </w:rPr>
        <w:t>no single indirect employment multiplier is universally appropriate</w:t>
      </w:r>
      <w:r w:rsidRPr="008B13A5">
        <w:rPr>
          <w:noProof/>
          <w:szCs w:val="22"/>
        </w:rPr>
        <w:t xml:space="preserve"> for semiconductor investments. Instead, the choice depends on the </w:t>
      </w:r>
      <w:r w:rsidRPr="008B13A5">
        <w:rPr>
          <w:rStyle w:val="Strong"/>
          <w:noProof/>
          <w:szCs w:val="22"/>
        </w:rPr>
        <w:t>purpose of the modelling</w:t>
      </w:r>
      <w:r w:rsidRPr="008B13A5">
        <w:rPr>
          <w:noProof/>
          <w:szCs w:val="22"/>
        </w:rPr>
        <w:t xml:space="preserve"> and the </w:t>
      </w:r>
      <w:r w:rsidRPr="008B13A5">
        <w:rPr>
          <w:rStyle w:val="Strong"/>
          <w:noProof/>
          <w:szCs w:val="22"/>
        </w:rPr>
        <w:t>degree of conservatism required</w:t>
      </w:r>
      <w:r w:rsidRPr="008B13A5">
        <w:rPr>
          <w:noProof/>
          <w:szCs w:val="22"/>
        </w:rPr>
        <w:t xml:space="preserve">. </w:t>
      </w:r>
      <w:r w:rsidRPr="008B13A5">
        <w:rPr>
          <w:b/>
          <w:noProof/>
          <w:szCs w:val="22"/>
        </w:rPr>
        <w:t xml:space="preserve">High-end estimates, such as the </w:t>
      </w:r>
      <w:r w:rsidRPr="008B13A5">
        <w:rPr>
          <w:rStyle w:val="Strong"/>
          <w:noProof/>
          <w:szCs w:val="22"/>
        </w:rPr>
        <w:t>SIA multiplier of 6.7</w:t>
      </w:r>
      <w:r w:rsidRPr="008B13A5">
        <w:rPr>
          <w:noProof/>
          <w:szCs w:val="22"/>
        </w:rPr>
        <w:t>,</w:t>
      </w:r>
      <w:r w:rsidR="00F274DD" w:rsidRPr="008B13A5">
        <w:rPr>
          <w:noProof/>
          <w:szCs w:val="22"/>
        </w:rPr>
        <w:t xml:space="preserve"> </w:t>
      </w:r>
      <w:r w:rsidRPr="008B13A5">
        <w:rPr>
          <w:noProof/>
          <w:szCs w:val="22"/>
        </w:rPr>
        <w:t>(</w:t>
      </w:r>
      <w:r w:rsidRPr="008B13A5">
        <w:rPr>
          <w:rStyle w:val="FootnoteReference"/>
          <w:noProof/>
          <w:szCs w:val="22"/>
        </w:rPr>
        <w:footnoteReference w:id="393"/>
      </w:r>
      <w:r w:rsidRPr="008B13A5">
        <w:rPr>
          <w:noProof/>
          <w:szCs w:val="22"/>
        </w:rPr>
        <w:t xml:space="preserve">) reflect the full ecosystem effects observed in the US, where the multiplier captures a mature and highly localised semiconductor ecosystem, including upstream suppliers, specialised services, and downstream activities. There, semiconductor supply chains are deeper, labour mobility is higher, and a large share of upstream and downstream activities is domestic. Applying such a multiplier mechanically in an EU context risk </w:t>
      </w:r>
      <w:r w:rsidRPr="008B13A5">
        <w:rPr>
          <w:rStyle w:val="Strong"/>
          <w:noProof/>
          <w:szCs w:val="22"/>
        </w:rPr>
        <w:t>overestimating indirect and induced employment</w:t>
      </w:r>
      <w:r w:rsidRPr="008B13A5">
        <w:rPr>
          <w:noProof/>
          <w:szCs w:val="22"/>
        </w:rPr>
        <w:t xml:space="preserve">, particularly in regions with tight labour markets and internationally fragmented value chains. As such, the SIA figure is best used as an </w:t>
      </w:r>
      <w:r w:rsidRPr="008B13A5">
        <w:rPr>
          <w:rStyle w:val="Strong"/>
          <w:noProof/>
          <w:szCs w:val="22"/>
        </w:rPr>
        <w:t>upper-bound reference or sensitivity case</w:t>
      </w:r>
      <w:r w:rsidRPr="008B13A5">
        <w:rPr>
          <w:noProof/>
          <w:szCs w:val="22"/>
        </w:rPr>
        <w:t>, rather than a central assumption.</w:t>
      </w:r>
    </w:p>
    <w:p w14:paraId="6DA1D748" w14:textId="465E2052" w:rsidR="00EC49AF" w:rsidRPr="008B13A5" w:rsidRDefault="00EC49AF" w:rsidP="00EC49AF">
      <w:pPr>
        <w:rPr>
          <w:noProof/>
          <w:szCs w:val="22"/>
        </w:rPr>
      </w:pPr>
      <w:r w:rsidRPr="008B13A5">
        <w:rPr>
          <w:noProof/>
          <w:szCs w:val="22"/>
        </w:rPr>
        <w:t xml:space="preserve">For a </w:t>
      </w:r>
      <w:r w:rsidRPr="008B13A5">
        <w:rPr>
          <w:rStyle w:val="Strong"/>
          <w:noProof/>
          <w:szCs w:val="22"/>
        </w:rPr>
        <w:t>core or central modelling assumption</w:t>
      </w:r>
      <w:r w:rsidRPr="008B13A5">
        <w:rPr>
          <w:noProof/>
          <w:szCs w:val="22"/>
        </w:rPr>
        <w:t xml:space="preserve"> under the EU Chips Act, a </w:t>
      </w:r>
      <w:r w:rsidRPr="008B13A5">
        <w:rPr>
          <w:rStyle w:val="Strong"/>
          <w:noProof/>
          <w:szCs w:val="22"/>
        </w:rPr>
        <w:t>more conservative multiplier</w:t>
      </w:r>
      <w:r w:rsidRPr="008B13A5">
        <w:rPr>
          <w:noProof/>
          <w:szCs w:val="22"/>
        </w:rPr>
        <w:t xml:space="preserve"> is warranted. </w:t>
      </w:r>
      <w:r w:rsidRPr="008B13A5">
        <w:rPr>
          <w:b/>
          <w:noProof/>
          <w:szCs w:val="22"/>
        </w:rPr>
        <w:t xml:space="preserve">Benchmarks such as the </w:t>
      </w:r>
      <w:r w:rsidRPr="008B13A5">
        <w:rPr>
          <w:rStyle w:val="Strong"/>
          <w:noProof/>
          <w:szCs w:val="22"/>
        </w:rPr>
        <w:t>UNIDO</w:t>
      </w:r>
      <w:r w:rsidR="00F274DD" w:rsidRPr="008B13A5">
        <w:rPr>
          <w:rStyle w:val="Strong"/>
          <w:noProof/>
          <w:szCs w:val="22"/>
        </w:rPr>
        <w:t xml:space="preserve"> </w:t>
      </w:r>
      <w:r w:rsidRPr="008B13A5">
        <w:rPr>
          <w:rStyle w:val="Strong"/>
          <w:noProof/>
          <w:szCs w:val="22"/>
        </w:rPr>
        <w:t>(</w:t>
      </w:r>
      <w:r w:rsidRPr="008B13A5">
        <w:rPr>
          <w:rStyle w:val="FootnoteReference"/>
          <w:b/>
          <w:noProof/>
          <w:szCs w:val="22"/>
        </w:rPr>
        <w:footnoteReference w:id="394"/>
      </w:r>
      <w:r w:rsidRPr="008B13A5">
        <w:rPr>
          <w:rStyle w:val="Strong"/>
          <w:noProof/>
          <w:szCs w:val="22"/>
        </w:rPr>
        <w:t>) manufacturing multiplier (around 2.2 additional jobs per direct job)</w:t>
      </w:r>
      <w:r w:rsidRPr="008B13A5">
        <w:rPr>
          <w:noProof/>
          <w:szCs w:val="22"/>
        </w:rPr>
        <w:t xml:space="preserve"> provide a lower bound that is consistent with open economies and globalised supply chains, where a significant share of indirect effects is captured outside the host region through imports and international value chains, although not specific for the semiconductor industry. A pragmatic approach is therefore to use UNIDO multiplier as a proxy for a lower bound of potential indirect and induced jobs per direct job, reflecting partial but not full localisation of spillovers. </w:t>
      </w:r>
    </w:p>
    <w:p w14:paraId="74CCD41F" w14:textId="7711D612" w:rsidR="00EC49AF" w:rsidRPr="008B13A5" w:rsidRDefault="00EC49AF" w:rsidP="004E71B5">
      <w:pPr>
        <w:spacing w:after="0"/>
        <w:rPr>
          <w:noProof/>
          <w:szCs w:val="22"/>
        </w:rPr>
      </w:pPr>
      <w:r w:rsidRPr="008B13A5">
        <w:rPr>
          <w:noProof/>
          <w:szCs w:val="22"/>
        </w:rPr>
        <w:t>Therefore, under the pessimistic scenario, the level of indirect jobs created is assumed to be:</w:t>
      </w:r>
    </w:p>
    <w:p w14:paraId="70F2A9E9" w14:textId="779730EF" w:rsidR="00EC49AF" w:rsidRPr="008B13A5" w:rsidRDefault="00EC49AF" w:rsidP="00F47256">
      <w:pPr>
        <w:pStyle w:val="ListParagraph"/>
        <w:numPr>
          <w:ilvl w:val="1"/>
          <w:numId w:val="20"/>
        </w:numPr>
        <w:spacing w:after="120"/>
        <w:rPr>
          <w:noProof/>
        </w:rPr>
      </w:pPr>
      <w:r w:rsidRPr="008B13A5">
        <w:rPr>
          <w:noProof/>
        </w:rPr>
        <w:t>Lower end (UNIDO multiplier): 7,301*2.2 = 16,061</w:t>
      </w:r>
    </w:p>
    <w:p w14:paraId="286D4B34" w14:textId="7BFFEA08" w:rsidR="00EC49AF" w:rsidRPr="008B13A5" w:rsidRDefault="00EC49AF" w:rsidP="00F47256">
      <w:pPr>
        <w:pStyle w:val="ListParagraph"/>
        <w:numPr>
          <w:ilvl w:val="1"/>
          <w:numId w:val="20"/>
        </w:numPr>
        <w:spacing w:after="120"/>
        <w:rPr>
          <w:noProof/>
        </w:rPr>
      </w:pPr>
      <w:r w:rsidRPr="008B13A5">
        <w:rPr>
          <w:noProof/>
        </w:rPr>
        <w:t>Upper end (downwards adjusted SIA multiplier): 7,301*5 = 36,503</w:t>
      </w:r>
    </w:p>
    <w:p w14:paraId="03EAD19A" w14:textId="4FEB4091" w:rsidR="00EC49AF" w:rsidRPr="008B13A5" w:rsidRDefault="00EC49AF" w:rsidP="00EC49AF">
      <w:pPr>
        <w:rPr>
          <w:noProof/>
          <w:szCs w:val="22"/>
        </w:rPr>
      </w:pPr>
      <w:r w:rsidRPr="008B13A5">
        <w:rPr>
          <w:noProof/>
          <w:szCs w:val="22"/>
        </w:rPr>
        <w:t>These two benchmarks delimit a plausible range for indirect employment effects in the EU context.</w:t>
      </w:r>
    </w:p>
    <w:p w14:paraId="6277ADE7" w14:textId="48F66298" w:rsidR="00EC49AF" w:rsidRPr="008B13A5" w:rsidRDefault="00EC49AF" w:rsidP="00EC49AF">
      <w:pPr>
        <w:rPr>
          <w:i/>
          <w:noProof/>
          <w:szCs w:val="22"/>
        </w:rPr>
      </w:pPr>
      <w:r w:rsidRPr="008B13A5">
        <w:rPr>
          <w:i/>
          <w:noProof/>
          <w:szCs w:val="22"/>
        </w:rPr>
        <w:t>Revenue impacts</w:t>
      </w:r>
    </w:p>
    <w:p w14:paraId="24575029" w14:textId="4B834916" w:rsidR="00EC49AF" w:rsidRPr="008B13A5" w:rsidRDefault="00EC49AF" w:rsidP="00EC49AF">
      <w:pPr>
        <w:pStyle w:val="NormalWeb"/>
        <w:spacing w:before="0" w:beforeAutospacing="0" w:after="120" w:afterAutospacing="0"/>
        <w:jc w:val="both"/>
        <w:rPr>
          <w:noProof/>
        </w:rPr>
      </w:pPr>
      <w:r w:rsidRPr="008B13A5">
        <w:rPr>
          <w:noProof/>
        </w:rPr>
        <w:t xml:space="preserve">To estimate revenues, the model applies a proportional approach based on the current relationship between </w:t>
      </w:r>
      <w:r w:rsidRPr="008B13A5">
        <w:rPr>
          <w:rStyle w:val="Strong"/>
          <w:noProof/>
        </w:rPr>
        <w:t>EU wafer capacity</w:t>
      </w:r>
      <w:r w:rsidRPr="008B13A5">
        <w:rPr>
          <w:noProof/>
        </w:rPr>
        <w:t xml:space="preserve"> and </w:t>
      </w:r>
      <w:r w:rsidRPr="008B13A5">
        <w:rPr>
          <w:rStyle w:val="Strong"/>
          <w:noProof/>
        </w:rPr>
        <w:t>device-level revenue</w:t>
      </w:r>
      <w:r w:rsidRPr="008B13A5">
        <w:rPr>
          <w:noProof/>
        </w:rPr>
        <w:t xml:space="preserve">. Using an estimated total EU capacity of </w:t>
      </w:r>
      <w:r w:rsidRPr="008B13A5">
        <w:rPr>
          <w:rStyle w:val="Strong"/>
          <w:noProof/>
        </w:rPr>
        <w:t>1.07 million wafers per month</w:t>
      </w:r>
      <w:r w:rsidRPr="008B13A5">
        <w:rPr>
          <w:noProof/>
        </w:rPr>
        <w:t xml:space="preserve"> and reported EU semiconductor device revenue of </w:t>
      </w:r>
      <w:r w:rsidRPr="008B13A5">
        <w:rPr>
          <w:rStyle w:val="Strong"/>
          <w:noProof/>
        </w:rPr>
        <w:t>EUR 50.5 billion</w:t>
      </w:r>
      <w:r w:rsidRPr="008B13A5">
        <w:rPr>
          <w:noProof/>
        </w:rPr>
        <w:t>, an average revenue per wafer is derived and applied to the incremental capacity.</w:t>
      </w:r>
    </w:p>
    <w:p w14:paraId="44AAF52F" w14:textId="38952169" w:rsidR="00EC49AF" w:rsidRPr="008B13A5" w:rsidRDefault="00EC49AF" w:rsidP="00EC49AF">
      <w:pPr>
        <w:pStyle w:val="NormalWeb"/>
        <w:spacing w:before="0" w:beforeAutospacing="0" w:after="120" w:afterAutospacing="0"/>
        <w:jc w:val="both"/>
        <w:rPr>
          <w:noProof/>
        </w:rPr>
      </w:pPr>
      <w:r w:rsidRPr="008B13A5">
        <w:rPr>
          <w:noProof/>
        </w:rPr>
        <w:t>On this basis, the pessimistic scenario yields estimated additional annual revenue of approximately:</w:t>
      </w:r>
    </w:p>
    <w:p w14:paraId="6D8CE011" w14:textId="0EFD2562" w:rsidR="00EC49AF" w:rsidRPr="008B13A5" w:rsidRDefault="00EC49AF" w:rsidP="00F47256">
      <w:pPr>
        <w:pStyle w:val="NormalWeb"/>
        <w:numPr>
          <w:ilvl w:val="0"/>
          <w:numId w:val="46"/>
        </w:numPr>
        <w:spacing w:before="0" w:beforeAutospacing="0" w:after="120" w:afterAutospacing="0"/>
        <w:jc w:val="both"/>
        <w:rPr>
          <w:noProof/>
        </w:rPr>
      </w:pPr>
      <w:r w:rsidRPr="008B13A5">
        <w:rPr>
          <w:rStyle w:val="Strong"/>
          <w:noProof/>
        </w:rPr>
        <w:t>EUR 6.6 billion</w:t>
      </w:r>
    </w:p>
    <w:p w14:paraId="507CDDC4" w14:textId="3E4530E9" w:rsidR="00EC49AF" w:rsidRPr="008B13A5" w:rsidRDefault="00EC49AF" w:rsidP="00EC49AF">
      <w:pPr>
        <w:pStyle w:val="NormalWeb"/>
        <w:spacing w:before="0" w:beforeAutospacing="0" w:after="120" w:afterAutospacing="0"/>
        <w:jc w:val="both"/>
        <w:rPr>
          <w:noProof/>
        </w:rPr>
      </w:pPr>
      <w:r w:rsidRPr="008B13A5">
        <w:rPr>
          <w:noProof/>
        </w:rPr>
        <w:t>This outcome reflects the relatively low average selling prices associated with mature-node production, even at substantial volumes.</w:t>
      </w:r>
    </w:p>
    <w:p w14:paraId="61549021" w14:textId="18F04324" w:rsidR="00EC49AF" w:rsidRPr="008B13A5" w:rsidRDefault="00EC49AF" w:rsidP="00EC49AF">
      <w:pPr>
        <w:pStyle w:val="Caption"/>
        <w:jc w:val="left"/>
        <w:rPr>
          <w:i w:val="0"/>
          <w:iCs/>
          <w:noProof/>
          <w:sz w:val="24"/>
          <w:szCs w:val="24"/>
        </w:rPr>
      </w:pPr>
      <w:r w:rsidRPr="008B13A5">
        <w:rPr>
          <w:i w:val="0"/>
          <w:iCs/>
          <w:noProof/>
          <w:sz w:val="24"/>
          <w:szCs w:val="24"/>
        </w:rPr>
        <w:t xml:space="preserve">Figure 22. Projected revenues due to strategic projects. </w:t>
      </w:r>
      <w:r w:rsidRPr="008B13A5">
        <w:rPr>
          <w:b w:val="0"/>
          <w:bCs/>
          <w:noProof/>
          <w:sz w:val="24"/>
          <w:szCs w:val="24"/>
        </w:rPr>
        <w:t>Source: prepared by the authors.</w:t>
      </w:r>
    </w:p>
    <w:p w14:paraId="042A195C" w14:textId="1E60BCF9" w:rsidR="00EC49AF" w:rsidRPr="008B13A5" w:rsidRDefault="00EC49AF" w:rsidP="00EC49AF">
      <w:pPr>
        <w:rPr>
          <w:noProof/>
          <w:szCs w:val="22"/>
        </w:rPr>
      </w:pPr>
      <w:r w:rsidRPr="008B13A5">
        <w:rPr>
          <w:noProof/>
          <w:szCs w:val="22"/>
          <w:lang w:eastAsia="en-GB"/>
        </w:rPr>
        <w:drawing>
          <wp:inline distT="0" distB="0" distL="0" distR="0" wp14:anchorId="16DC8EC9" wp14:editId="4DE67D46">
            <wp:extent cx="5818505" cy="3399155"/>
            <wp:effectExtent l="0" t="0" r="0" b="0"/>
            <wp:docPr id="229196673"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5E1B89F4" w14:textId="32CDB4A9" w:rsidR="00EC49AF" w:rsidRPr="008B13A5" w:rsidRDefault="00EC49AF" w:rsidP="00EC49AF">
      <w:pPr>
        <w:rPr>
          <w:b/>
          <w:noProof/>
          <w:szCs w:val="22"/>
        </w:rPr>
      </w:pPr>
      <w:r w:rsidRPr="008B13A5">
        <w:rPr>
          <w:b/>
          <w:noProof/>
          <w:szCs w:val="22"/>
        </w:rPr>
        <w:t>Optimistic scenario: assuming emergence of leading-edge manufacturing</w:t>
      </w:r>
    </w:p>
    <w:p w14:paraId="618843EF" w14:textId="31EE6EE6" w:rsidR="00EC49AF" w:rsidRPr="008B13A5" w:rsidRDefault="00EC49AF" w:rsidP="00EC49AF">
      <w:pPr>
        <w:pStyle w:val="NormalWeb"/>
        <w:spacing w:before="0" w:beforeAutospacing="0" w:after="120" w:afterAutospacing="0"/>
        <w:jc w:val="both"/>
        <w:rPr>
          <w:noProof/>
        </w:rPr>
      </w:pPr>
      <w:r w:rsidRPr="008B13A5">
        <w:rPr>
          <w:noProof/>
        </w:rPr>
        <w:t xml:space="preserve">The second scenario assumes a </w:t>
      </w:r>
      <w:r w:rsidRPr="008B13A5">
        <w:rPr>
          <w:rStyle w:val="Strong"/>
          <w:noProof/>
        </w:rPr>
        <w:t>more strategic allocation of investment</w:t>
      </w:r>
      <w:r w:rsidRPr="008B13A5">
        <w:rPr>
          <w:noProof/>
        </w:rPr>
        <w:t>, in which:</w:t>
      </w:r>
    </w:p>
    <w:p w14:paraId="43A3100D" w14:textId="54351D96" w:rsidR="00EC49AF" w:rsidRPr="008B13A5" w:rsidRDefault="00EC49AF" w:rsidP="00F47256">
      <w:pPr>
        <w:pStyle w:val="NormalWeb"/>
        <w:numPr>
          <w:ilvl w:val="0"/>
          <w:numId w:val="47"/>
        </w:numPr>
        <w:spacing w:before="0" w:beforeAutospacing="0" w:after="120" w:afterAutospacing="0"/>
        <w:jc w:val="both"/>
        <w:rPr>
          <w:noProof/>
        </w:rPr>
      </w:pPr>
      <w:r w:rsidRPr="008B13A5">
        <w:rPr>
          <w:rStyle w:val="Strong"/>
          <w:noProof/>
        </w:rPr>
        <w:t>EUR 25 billion</w:t>
      </w:r>
      <w:r w:rsidRPr="008B13A5">
        <w:rPr>
          <w:noProof/>
        </w:rPr>
        <w:t xml:space="preserve"> (indicative cost of a leading-edge fab) is dedicated to the construction of a </w:t>
      </w:r>
      <w:r w:rsidRPr="008B13A5">
        <w:rPr>
          <w:rStyle w:val="Strong"/>
          <w:noProof/>
        </w:rPr>
        <w:t>cutting-edge logic facility</w:t>
      </w:r>
      <w:r w:rsidRPr="008B13A5">
        <w:rPr>
          <w:noProof/>
        </w:rPr>
        <w:t>, and</w:t>
      </w:r>
    </w:p>
    <w:p w14:paraId="61AB8F99" w14:textId="154B3E79" w:rsidR="00EC49AF" w:rsidRPr="008B13A5" w:rsidRDefault="00EC49AF" w:rsidP="00F47256">
      <w:pPr>
        <w:pStyle w:val="NormalWeb"/>
        <w:numPr>
          <w:ilvl w:val="0"/>
          <w:numId w:val="47"/>
        </w:numPr>
        <w:spacing w:before="0" w:beforeAutospacing="0" w:after="120" w:afterAutospacing="0"/>
        <w:jc w:val="both"/>
        <w:rPr>
          <w:noProof/>
        </w:rPr>
      </w:pPr>
      <w:r w:rsidRPr="008B13A5">
        <w:rPr>
          <w:noProof/>
        </w:rPr>
        <w:t xml:space="preserve">the remaining </w:t>
      </w:r>
      <w:r w:rsidRPr="008B13A5">
        <w:rPr>
          <w:rStyle w:val="Strong"/>
          <w:noProof/>
        </w:rPr>
        <w:t>EUR 15 billion</w:t>
      </w:r>
      <w:r w:rsidRPr="008B13A5">
        <w:rPr>
          <w:noProof/>
        </w:rPr>
        <w:t xml:space="preserve"> is invested in line with the current European wafer mix, using the same assumptions as in the pessimistic scenario.</w:t>
      </w:r>
    </w:p>
    <w:p w14:paraId="0DB0C85C" w14:textId="566410C3" w:rsidR="00EC49AF" w:rsidRPr="008B13A5" w:rsidRDefault="00EC49AF" w:rsidP="00EC49AF">
      <w:pPr>
        <w:pStyle w:val="NormalWeb"/>
        <w:spacing w:before="0" w:beforeAutospacing="0" w:after="120" w:afterAutospacing="0"/>
        <w:jc w:val="both"/>
        <w:rPr>
          <w:noProof/>
        </w:rPr>
      </w:pPr>
      <w:r w:rsidRPr="008B13A5">
        <w:rPr>
          <w:noProof/>
        </w:rPr>
        <w:t>According to the Joint Research Centre, drawing on BCG analysis</w:t>
      </w:r>
      <w:r w:rsidR="00F274DD" w:rsidRPr="008B13A5">
        <w:rPr>
          <w:noProof/>
        </w:rPr>
        <w:t xml:space="preserve"> </w:t>
      </w:r>
      <w:r w:rsidRPr="008B13A5">
        <w:rPr>
          <w:noProof/>
        </w:rPr>
        <w:t>(</w:t>
      </w:r>
      <w:r w:rsidRPr="008B13A5">
        <w:rPr>
          <w:rStyle w:val="FootnoteReference"/>
          <w:noProof/>
        </w:rPr>
        <w:footnoteReference w:id="395"/>
      </w:r>
      <w:r w:rsidRPr="008B13A5">
        <w:rPr>
          <w:noProof/>
        </w:rPr>
        <w:t>), a state-of-the-art semiconductor fab of standard capacity requires roughly USD 20 billion for advanced logic or memory production, including land, buildings and equipment. Another relevant reference is the Rapidus project in Japan, which targets 2-nanometre production and is reported to involve total investment of around USD 36 billion (approximately EUR 30 billion)</w:t>
      </w:r>
      <w:r w:rsidR="00F274DD" w:rsidRPr="008B13A5">
        <w:rPr>
          <w:noProof/>
        </w:rPr>
        <w:t xml:space="preserve"> </w:t>
      </w:r>
      <w:r w:rsidRPr="008B13A5">
        <w:rPr>
          <w:noProof/>
        </w:rPr>
        <w:t>(</w:t>
      </w:r>
      <w:r w:rsidRPr="008B13A5">
        <w:rPr>
          <w:rStyle w:val="FootnoteReference"/>
          <w:noProof/>
        </w:rPr>
        <w:footnoteReference w:id="396"/>
      </w:r>
      <w:r w:rsidRPr="008B13A5">
        <w:rPr>
          <w:noProof/>
        </w:rPr>
        <w:t>), covering construction, equipment, and extensive process development. That figure reflects significant upfront R&amp;D expenditure, notably through Rapidus’ strategic collaboration via NanoIC pilot line hosted by imec</w:t>
      </w:r>
      <w:r w:rsidR="00F274DD" w:rsidRPr="008B13A5">
        <w:rPr>
          <w:noProof/>
        </w:rPr>
        <w:t xml:space="preserve"> </w:t>
      </w:r>
      <w:r w:rsidRPr="008B13A5">
        <w:rPr>
          <w:noProof/>
        </w:rPr>
        <w:t>(</w:t>
      </w:r>
      <w:r w:rsidRPr="008B13A5">
        <w:rPr>
          <w:rStyle w:val="FootnoteReference"/>
          <w:noProof/>
        </w:rPr>
        <w:footnoteReference w:id="397"/>
      </w:r>
      <w:r w:rsidRPr="008B13A5">
        <w:rPr>
          <w:noProof/>
        </w:rPr>
        <w:t>). Given Europe’s existing access to advanced research and pilot-line infrastructure through imec and related ecosystems, a lower all-in cost of EUR 25 billion for a comparable European fab is considered a reasonable assumption.</w:t>
      </w:r>
    </w:p>
    <w:p w14:paraId="52033ADA" w14:textId="773A550A" w:rsidR="00EC49AF" w:rsidRPr="008B13A5" w:rsidRDefault="00EC49AF" w:rsidP="00EC49AF">
      <w:pPr>
        <w:pStyle w:val="NormalWeb"/>
        <w:spacing w:before="0" w:beforeAutospacing="0" w:after="120" w:afterAutospacing="0"/>
        <w:jc w:val="both"/>
        <w:rPr>
          <w:noProof/>
        </w:rPr>
      </w:pPr>
      <w:r w:rsidRPr="008B13A5">
        <w:rPr>
          <w:noProof/>
        </w:rPr>
        <w:t xml:space="preserve">This scenario reflects a deliberate policy choice to use public support to </w:t>
      </w:r>
      <w:r w:rsidRPr="008B13A5">
        <w:rPr>
          <w:rStyle w:val="Strong"/>
          <w:noProof/>
        </w:rPr>
        <w:t>alter the technological composition</w:t>
      </w:r>
      <w:r w:rsidRPr="008B13A5">
        <w:rPr>
          <w:noProof/>
        </w:rPr>
        <w:t xml:space="preserve"> of EU semiconductor manufacturing, rather than only expanding existing segments.</w:t>
      </w:r>
    </w:p>
    <w:p w14:paraId="60F59755" w14:textId="6141DD8C" w:rsidR="00EC49AF" w:rsidRPr="008B13A5" w:rsidRDefault="00EC49AF" w:rsidP="00EC49AF">
      <w:pPr>
        <w:rPr>
          <w:i/>
          <w:noProof/>
          <w:szCs w:val="22"/>
        </w:rPr>
      </w:pPr>
      <w:r w:rsidRPr="008B13A5">
        <w:rPr>
          <w:i/>
          <w:noProof/>
          <w:szCs w:val="22"/>
        </w:rPr>
        <w:t>Leading-edge fab assumptions:</w:t>
      </w:r>
    </w:p>
    <w:p w14:paraId="48BB856D" w14:textId="48F33919" w:rsidR="00EC49AF" w:rsidRPr="008B13A5" w:rsidRDefault="00EC49AF" w:rsidP="00EC49AF">
      <w:pPr>
        <w:pStyle w:val="NormalWeb"/>
        <w:spacing w:before="0" w:beforeAutospacing="0" w:after="120" w:afterAutospacing="0"/>
        <w:jc w:val="both"/>
        <w:rPr>
          <w:noProof/>
        </w:rPr>
      </w:pPr>
      <w:r w:rsidRPr="008B13A5">
        <w:rPr>
          <w:noProof/>
        </w:rPr>
        <w:t>The leading-edge component is modelled using conservative assumptions drawn from recent greenfield announcements:</w:t>
      </w:r>
    </w:p>
    <w:p w14:paraId="5CFA6F80" w14:textId="6F0F54FD" w:rsidR="00EC49AF" w:rsidRPr="008B13A5" w:rsidRDefault="00EC49AF" w:rsidP="00F47256">
      <w:pPr>
        <w:pStyle w:val="NormalWeb"/>
        <w:numPr>
          <w:ilvl w:val="0"/>
          <w:numId w:val="48"/>
        </w:numPr>
        <w:spacing w:before="0" w:beforeAutospacing="0" w:after="120" w:afterAutospacing="0"/>
        <w:jc w:val="both"/>
        <w:rPr>
          <w:noProof/>
        </w:rPr>
      </w:pPr>
      <w:r w:rsidRPr="008B13A5">
        <w:rPr>
          <w:rStyle w:val="Strong"/>
          <w:noProof/>
        </w:rPr>
        <w:t>Direct employment</w:t>
      </w:r>
      <w:r w:rsidRPr="008B13A5">
        <w:rPr>
          <w:noProof/>
        </w:rPr>
        <w:t xml:space="preserve">: </w:t>
      </w:r>
      <w:r w:rsidRPr="008B13A5">
        <w:rPr>
          <w:rStyle w:val="Strong"/>
          <w:noProof/>
        </w:rPr>
        <w:t>2,000 jobs</w:t>
      </w:r>
      <w:r w:rsidRPr="008B13A5">
        <w:rPr>
          <w:noProof/>
        </w:rPr>
        <w:t>, based on announced figures for comparable projects in the EU (e.g. ESMC).</w:t>
      </w:r>
    </w:p>
    <w:p w14:paraId="0E947797" w14:textId="402BBEBE" w:rsidR="00EC49AF" w:rsidRPr="008B13A5" w:rsidRDefault="00EC49AF" w:rsidP="00F47256">
      <w:pPr>
        <w:pStyle w:val="NormalWeb"/>
        <w:numPr>
          <w:ilvl w:val="0"/>
          <w:numId w:val="48"/>
        </w:numPr>
        <w:spacing w:before="0" w:beforeAutospacing="0" w:after="120" w:afterAutospacing="0"/>
        <w:jc w:val="both"/>
        <w:rPr>
          <w:noProof/>
        </w:rPr>
      </w:pPr>
      <w:r w:rsidRPr="008B13A5">
        <w:rPr>
          <w:rStyle w:val="Strong"/>
          <w:noProof/>
        </w:rPr>
        <w:t>Capacity</w:t>
      </w:r>
      <w:r w:rsidRPr="008B13A5">
        <w:rPr>
          <w:noProof/>
        </w:rPr>
        <w:t xml:space="preserve">: </w:t>
      </w:r>
      <w:r w:rsidRPr="008B13A5">
        <w:rPr>
          <w:rStyle w:val="Strong"/>
          <w:noProof/>
        </w:rPr>
        <w:t>25,000 wafers per month</w:t>
      </w:r>
      <w:r w:rsidRPr="008B13A5">
        <w:rPr>
          <w:noProof/>
        </w:rPr>
        <w:t>, consistent with public announcements for new advanced fabs (e.g. Rapidus</w:t>
      </w:r>
      <w:r w:rsidRPr="008B13A5">
        <w:rPr>
          <w:rStyle w:val="FootnoteReference"/>
          <w:noProof/>
        </w:rPr>
        <w:footnoteReference w:id="398"/>
      </w:r>
      <w:r w:rsidRPr="008B13A5">
        <w:rPr>
          <w:noProof/>
        </w:rPr>
        <w:t>).</w:t>
      </w:r>
    </w:p>
    <w:p w14:paraId="70BC9985" w14:textId="0C8EED92" w:rsidR="00EC49AF" w:rsidRPr="008B13A5" w:rsidRDefault="00EC49AF" w:rsidP="00F47256">
      <w:pPr>
        <w:pStyle w:val="NormalWeb"/>
        <w:numPr>
          <w:ilvl w:val="0"/>
          <w:numId w:val="48"/>
        </w:numPr>
        <w:spacing w:before="0" w:beforeAutospacing="0" w:after="120" w:afterAutospacing="0"/>
        <w:jc w:val="both"/>
        <w:rPr>
          <w:noProof/>
        </w:rPr>
      </w:pPr>
      <w:r w:rsidRPr="008B13A5">
        <w:rPr>
          <w:rStyle w:val="Strong"/>
          <w:noProof/>
        </w:rPr>
        <w:t>Average wafer revenue</w:t>
      </w:r>
      <w:r w:rsidRPr="008B13A5">
        <w:rPr>
          <w:noProof/>
        </w:rPr>
        <w:t xml:space="preserve">: </w:t>
      </w:r>
      <w:r w:rsidRPr="008B13A5">
        <w:rPr>
          <w:rStyle w:val="Strong"/>
          <w:noProof/>
        </w:rPr>
        <w:t>EUR 30,000 per wafer</w:t>
      </w:r>
      <w:r w:rsidRPr="008B13A5">
        <w:rPr>
          <w:noProof/>
        </w:rPr>
        <w:t>, reflecting industry estimates for advanced-node foundry pricing (e.g. TSMC</w:t>
      </w:r>
      <w:r w:rsidRPr="008B13A5">
        <w:rPr>
          <w:rStyle w:val="FootnoteReference"/>
          <w:noProof/>
        </w:rPr>
        <w:footnoteReference w:id="399"/>
      </w:r>
      <w:r w:rsidRPr="008B13A5">
        <w:rPr>
          <w:noProof/>
        </w:rPr>
        <w:t>)</w:t>
      </w:r>
    </w:p>
    <w:p w14:paraId="0E5A6FF7" w14:textId="0D3812C2" w:rsidR="00EC49AF" w:rsidRPr="008B13A5" w:rsidRDefault="00EC49AF" w:rsidP="00EC49AF">
      <w:pPr>
        <w:pStyle w:val="NormalWeb"/>
        <w:spacing w:before="0" w:beforeAutospacing="0" w:after="120" w:afterAutospacing="0"/>
        <w:jc w:val="both"/>
        <w:rPr>
          <w:noProof/>
        </w:rPr>
      </w:pPr>
      <w:r w:rsidRPr="008B13A5">
        <w:rPr>
          <w:noProof/>
        </w:rPr>
        <w:t>These assumptions are indicative and reflect current industry benchmarks rather than firm contractual prices.</w:t>
      </w:r>
    </w:p>
    <w:p w14:paraId="3E8618E4" w14:textId="51A604CD" w:rsidR="00EC49AF" w:rsidRPr="008B13A5" w:rsidRDefault="00EC49AF" w:rsidP="00EC49AF">
      <w:pPr>
        <w:rPr>
          <w:i/>
          <w:noProof/>
          <w:szCs w:val="22"/>
        </w:rPr>
      </w:pPr>
      <w:r w:rsidRPr="008B13A5">
        <w:rPr>
          <w:i/>
          <w:noProof/>
          <w:szCs w:val="22"/>
        </w:rPr>
        <w:t>Combined impacts (leading-edge plus mature mix)</w:t>
      </w:r>
    </w:p>
    <w:p w14:paraId="3975CB94" w14:textId="5556ABE8" w:rsidR="00EC49AF" w:rsidRPr="008B13A5" w:rsidRDefault="00EC49AF" w:rsidP="00EC49AF">
      <w:pPr>
        <w:pStyle w:val="NormalWeb"/>
        <w:spacing w:before="0" w:beforeAutospacing="0" w:after="120" w:afterAutospacing="0"/>
        <w:jc w:val="both"/>
        <w:rPr>
          <w:noProof/>
        </w:rPr>
      </w:pPr>
      <w:r w:rsidRPr="008B13A5">
        <w:rPr>
          <w:noProof/>
        </w:rPr>
        <w:t>When combining the leading-edge investment with the remaining EUR 15 billion allocated to the current mix, the model estimates:</w:t>
      </w:r>
    </w:p>
    <w:p w14:paraId="770FC40E" w14:textId="4CA98F7D" w:rsidR="00EC49AF" w:rsidRPr="008B13A5" w:rsidRDefault="00EC49AF" w:rsidP="00F47256">
      <w:pPr>
        <w:pStyle w:val="NormalWeb"/>
        <w:numPr>
          <w:ilvl w:val="0"/>
          <w:numId w:val="49"/>
        </w:numPr>
        <w:spacing w:before="0" w:beforeAutospacing="0" w:after="120" w:afterAutospacing="0"/>
        <w:jc w:val="both"/>
        <w:rPr>
          <w:rStyle w:val="Strong"/>
          <w:rFonts w:eastAsia="Calibri"/>
          <w:b w:val="0"/>
          <w:noProof/>
          <w:lang w:eastAsia="en-US"/>
        </w:rPr>
      </w:pPr>
      <w:r w:rsidRPr="008B13A5">
        <w:rPr>
          <w:rStyle w:val="Strong"/>
          <w:noProof/>
        </w:rPr>
        <w:t>Total new direct jobs</w:t>
      </w:r>
      <w:r w:rsidRPr="008B13A5">
        <w:rPr>
          <w:noProof/>
        </w:rPr>
        <w:t xml:space="preserve">: </w:t>
      </w:r>
      <w:r w:rsidRPr="008B13A5">
        <w:rPr>
          <w:rStyle w:val="Strong"/>
          <w:noProof/>
        </w:rPr>
        <w:t>4,738</w:t>
      </w:r>
    </w:p>
    <w:p w14:paraId="32E13E61" w14:textId="235ACB71" w:rsidR="00EC49AF" w:rsidRPr="008B13A5" w:rsidRDefault="00EC49AF" w:rsidP="00F47256">
      <w:pPr>
        <w:pStyle w:val="NormalWeb"/>
        <w:numPr>
          <w:ilvl w:val="0"/>
          <w:numId w:val="49"/>
        </w:numPr>
        <w:spacing w:before="0" w:beforeAutospacing="0" w:after="120" w:afterAutospacing="0"/>
        <w:jc w:val="both"/>
        <w:rPr>
          <w:b/>
          <w:bCs/>
          <w:noProof/>
        </w:rPr>
      </w:pPr>
      <w:r w:rsidRPr="008B13A5">
        <w:rPr>
          <w:b/>
          <w:bCs/>
          <w:noProof/>
        </w:rPr>
        <w:t>Total new indirect jobs: 10,423 – 23,690</w:t>
      </w:r>
    </w:p>
    <w:p w14:paraId="0622DB4B" w14:textId="4A3E9E1A" w:rsidR="00EC49AF" w:rsidRPr="008B13A5" w:rsidRDefault="00EC49AF" w:rsidP="00F47256">
      <w:pPr>
        <w:pStyle w:val="NormalWeb"/>
        <w:numPr>
          <w:ilvl w:val="0"/>
          <w:numId w:val="49"/>
        </w:numPr>
        <w:spacing w:before="0" w:beforeAutospacing="0" w:after="120" w:afterAutospacing="0"/>
        <w:jc w:val="both"/>
        <w:rPr>
          <w:noProof/>
        </w:rPr>
      </w:pPr>
      <w:r w:rsidRPr="008B13A5">
        <w:rPr>
          <w:rStyle w:val="Strong"/>
          <w:noProof/>
        </w:rPr>
        <w:t>Total new wafer capacity</w:t>
      </w:r>
      <w:r w:rsidRPr="008B13A5">
        <w:rPr>
          <w:noProof/>
        </w:rPr>
        <w:t xml:space="preserve">: </w:t>
      </w:r>
      <w:r w:rsidRPr="008B13A5">
        <w:rPr>
          <w:rStyle w:val="Strong"/>
          <w:noProof/>
        </w:rPr>
        <w:t>108,133 wafers per month</w:t>
      </w:r>
    </w:p>
    <w:p w14:paraId="02438DBD" w14:textId="1DDCF17C" w:rsidR="00EC49AF" w:rsidRPr="008B13A5" w:rsidRDefault="00EC49AF" w:rsidP="00F47256">
      <w:pPr>
        <w:pStyle w:val="NormalWeb"/>
        <w:numPr>
          <w:ilvl w:val="0"/>
          <w:numId w:val="49"/>
        </w:numPr>
        <w:spacing w:before="0" w:beforeAutospacing="0" w:after="120" w:afterAutospacing="0"/>
        <w:jc w:val="both"/>
        <w:rPr>
          <w:noProof/>
        </w:rPr>
      </w:pPr>
      <w:r w:rsidRPr="008B13A5">
        <w:rPr>
          <w:rStyle w:val="Strong"/>
          <w:noProof/>
        </w:rPr>
        <w:t>Total additional annual revenue</w:t>
      </w:r>
      <w:r w:rsidRPr="008B13A5">
        <w:rPr>
          <w:noProof/>
        </w:rPr>
        <w:t xml:space="preserve">: </w:t>
      </w:r>
      <w:r w:rsidRPr="008B13A5">
        <w:rPr>
          <w:rStyle w:val="Strong"/>
          <w:noProof/>
        </w:rPr>
        <w:t>EUR 11.5 billion</w:t>
      </w:r>
    </w:p>
    <w:p w14:paraId="74A135B1" w14:textId="4B929821" w:rsidR="00EC49AF" w:rsidRPr="008B13A5" w:rsidRDefault="00EC49AF" w:rsidP="00EC49AF">
      <w:pPr>
        <w:pStyle w:val="NormalWeb"/>
        <w:spacing w:before="0" w:beforeAutospacing="0" w:after="120" w:afterAutospacing="0"/>
        <w:jc w:val="both"/>
        <w:rPr>
          <w:noProof/>
        </w:rPr>
      </w:pPr>
      <w:r w:rsidRPr="008B13A5">
        <w:rPr>
          <w:noProof/>
        </w:rPr>
        <w:t>Although total employment is lower than in the first scenario, this reflects the</w:t>
      </w:r>
      <w:r w:rsidRPr="008B13A5">
        <w:rPr>
          <w:b/>
          <w:bCs/>
          <w:noProof/>
        </w:rPr>
        <w:t xml:space="preserve"> </w:t>
      </w:r>
      <w:r w:rsidRPr="008B13A5">
        <w:rPr>
          <w:rStyle w:val="Strong"/>
          <w:noProof/>
        </w:rPr>
        <w:t>higher capital intensity and automation</w:t>
      </w:r>
      <w:r w:rsidRPr="008B13A5">
        <w:rPr>
          <w:noProof/>
        </w:rPr>
        <w:t xml:space="preserve"> of leading-edge manufacturing rather than weaker economic performance.</w:t>
      </w:r>
    </w:p>
    <w:p w14:paraId="6795C3AF" w14:textId="0EEE187B" w:rsidR="00EC49AF" w:rsidRPr="008B13A5" w:rsidRDefault="00EC49AF" w:rsidP="00986892">
      <w:pPr>
        <w:rPr>
          <w:i/>
          <w:iCs/>
          <w:noProof/>
        </w:rPr>
      </w:pPr>
      <w:bookmarkStart w:id="364" w:name="_Toc217394785"/>
      <w:bookmarkStart w:id="365" w:name="_Toc217395644"/>
      <w:bookmarkStart w:id="366" w:name="_Toc217396493"/>
      <w:bookmarkStart w:id="367" w:name="_Toc2022501782"/>
      <w:bookmarkStart w:id="368" w:name="_Toc223620658"/>
      <w:r w:rsidRPr="008B13A5">
        <w:rPr>
          <w:i/>
          <w:iCs/>
          <w:noProof/>
        </w:rPr>
        <w:t>Fiscal returns</w:t>
      </w:r>
      <w:bookmarkEnd w:id="364"/>
      <w:bookmarkEnd w:id="365"/>
      <w:bookmarkEnd w:id="366"/>
      <w:bookmarkEnd w:id="367"/>
      <w:bookmarkEnd w:id="368"/>
    </w:p>
    <w:p w14:paraId="7780EF35" w14:textId="6C7412CA" w:rsidR="00EC49AF" w:rsidRPr="008B13A5" w:rsidRDefault="00EC49AF" w:rsidP="00EC49AF">
      <w:pPr>
        <w:rPr>
          <w:noProof/>
          <w:szCs w:val="22"/>
        </w:rPr>
      </w:pPr>
      <w:r w:rsidRPr="008B13A5">
        <w:rPr>
          <w:noProof/>
          <w:szCs w:val="22"/>
        </w:rPr>
        <w:t xml:space="preserve">We estimate the fiscal revenues generated once the new capacity is operational. Fiscal returns depend on the </w:t>
      </w:r>
      <w:r w:rsidRPr="008B13A5">
        <w:rPr>
          <w:rStyle w:val="Strong"/>
          <w:noProof/>
          <w:szCs w:val="22"/>
        </w:rPr>
        <w:t>additional value added</w:t>
      </w:r>
      <w:r w:rsidRPr="008B13A5">
        <w:rPr>
          <w:noProof/>
          <w:szCs w:val="22"/>
        </w:rPr>
        <w:t xml:space="preserve"> generated by ongoing production. To avoid overstating fiscal impacts by applying tax rates to turnover, the analysis converts additional semiconductor revenues into </w:t>
      </w:r>
      <w:r w:rsidRPr="008B13A5">
        <w:rPr>
          <w:rStyle w:val="Strong"/>
          <w:noProof/>
          <w:szCs w:val="22"/>
        </w:rPr>
        <w:t>additional gross value added (GVA)</w:t>
      </w:r>
      <w:r w:rsidRPr="008B13A5">
        <w:rPr>
          <w:noProof/>
          <w:szCs w:val="22"/>
        </w:rPr>
        <w:t xml:space="preserve"> using an empirically grounded value-added share.</w:t>
      </w:r>
    </w:p>
    <w:p w14:paraId="2865ADE8" w14:textId="13CF466D" w:rsidR="00EC49AF" w:rsidRPr="008B13A5" w:rsidRDefault="00EC49AF" w:rsidP="00EC49AF">
      <w:pPr>
        <w:rPr>
          <w:noProof/>
          <w:szCs w:val="22"/>
        </w:rPr>
      </w:pPr>
      <w:r w:rsidRPr="008B13A5">
        <w:rPr>
          <w:noProof/>
          <w:szCs w:val="22"/>
        </w:rPr>
        <w:t xml:space="preserve">Using OECD STAN data for EU Member States (ISIC Rev.4 </w:t>
      </w:r>
      <w:r w:rsidRPr="008B13A5">
        <w:rPr>
          <w:rStyle w:val="Strong"/>
          <w:noProof/>
          <w:szCs w:val="22"/>
        </w:rPr>
        <w:t>C26: manufacture of computer, electronic and optical products</w:t>
      </w:r>
      <w:r w:rsidRPr="008B13A5">
        <w:rPr>
          <w:noProof/>
          <w:szCs w:val="22"/>
        </w:rPr>
        <w:t xml:space="preserve">) over 2020–2023, </w:t>
      </w:r>
      <w:r w:rsidRPr="008B13A5">
        <w:rPr>
          <w:b/>
          <w:noProof/>
          <w:szCs w:val="22"/>
        </w:rPr>
        <w:t xml:space="preserve">the ratio of </w:t>
      </w:r>
      <w:r w:rsidRPr="008B13A5">
        <w:rPr>
          <w:rStyle w:val="Strong"/>
          <w:noProof/>
          <w:szCs w:val="22"/>
        </w:rPr>
        <w:t>Value added to Output</w:t>
      </w:r>
      <w:r w:rsidRPr="008B13A5">
        <w:rPr>
          <w:b/>
          <w:noProof/>
          <w:szCs w:val="22"/>
        </w:rPr>
        <w:t xml:space="preserve"> averages </w:t>
      </w:r>
      <w:r w:rsidRPr="008B13A5">
        <w:rPr>
          <w:rStyle w:val="Strong"/>
          <w:noProof/>
          <w:szCs w:val="22"/>
        </w:rPr>
        <w:t>34%</w:t>
      </w:r>
      <w:r w:rsidRPr="008B13A5">
        <w:rPr>
          <w:b/>
          <w:noProof/>
          <w:szCs w:val="22"/>
        </w:rPr>
        <w:t>.</w:t>
      </w:r>
      <w:r w:rsidRPr="008B13A5">
        <w:rPr>
          <w:noProof/>
          <w:szCs w:val="22"/>
        </w:rPr>
        <w:t xml:space="preserve"> This provides a transparent and robust benchmark for converting additional device revenues into additional value added. Accordingly, additional operational value added is estimated as:</w:t>
      </w:r>
    </w:p>
    <w:p w14:paraId="5FCD5540" w14:textId="2D8B8565" w:rsidR="00EC49AF" w:rsidRPr="008B13A5" w:rsidRDefault="00EC49AF" w:rsidP="00EC49AF">
      <w:pPr>
        <w:rPr>
          <w:noProof/>
          <w:szCs w:val="22"/>
        </w:rPr>
      </w:pPr>
      <w:r w:rsidRPr="008B13A5">
        <w:rPr>
          <w:rStyle w:val="Strong"/>
          <w:noProof/>
          <w:szCs w:val="22"/>
        </w:rPr>
        <w:t>Additional GVA</w:t>
      </w:r>
      <w:r w:rsidRPr="008B13A5">
        <w:rPr>
          <w:noProof/>
          <w:szCs w:val="22"/>
        </w:rPr>
        <w:t xml:space="preserve"> = </w:t>
      </w:r>
      <w:r w:rsidRPr="008B13A5">
        <w:rPr>
          <w:rStyle w:val="Strong"/>
          <w:noProof/>
          <w:szCs w:val="22"/>
        </w:rPr>
        <w:t>0.34 × additional annual device revenue</w:t>
      </w:r>
    </w:p>
    <w:p w14:paraId="634C6C63" w14:textId="70016457" w:rsidR="00EC49AF" w:rsidRPr="008B13A5" w:rsidRDefault="00EC49AF" w:rsidP="00EC49AF">
      <w:pPr>
        <w:rPr>
          <w:noProof/>
          <w:szCs w:val="22"/>
        </w:rPr>
      </w:pPr>
      <w:r w:rsidRPr="008B13A5">
        <w:rPr>
          <w:noProof/>
          <w:szCs w:val="22"/>
        </w:rPr>
        <w:t>This step ensures consistency with national accounts concepts and avoids double counting, as only the domestically generated component of revenue is treated as the relevant economic base for fiscal analysis.</w:t>
      </w:r>
    </w:p>
    <w:p w14:paraId="05E700A3" w14:textId="5D74D9C9" w:rsidR="00EC49AF" w:rsidRPr="008B13A5" w:rsidRDefault="00EC49AF" w:rsidP="00EC49AF">
      <w:pPr>
        <w:rPr>
          <w:noProof/>
          <w:szCs w:val="22"/>
        </w:rPr>
      </w:pPr>
      <w:r w:rsidRPr="008B13A5">
        <w:rPr>
          <w:noProof/>
          <w:szCs w:val="22"/>
        </w:rPr>
        <w:t>Based on the data provided in JRC (2025)</w:t>
      </w:r>
      <w:r w:rsidRPr="008B13A5">
        <w:rPr>
          <w:rStyle w:val="FootnoteReference"/>
          <w:noProof/>
          <w:szCs w:val="22"/>
        </w:rPr>
        <w:t xml:space="preserve"> </w:t>
      </w:r>
      <w:r w:rsidR="00F274DD" w:rsidRPr="008B13A5">
        <w:rPr>
          <w:noProof/>
          <w:szCs w:val="22"/>
        </w:rPr>
        <w:t xml:space="preserve"> </w:t>
      </w:r>
      <w:r w:rsidRPr="008B13A5">
        <w:rPr>
          <w:noProof/>
          <w:szCs w:val="22"/>
        </w:rPr>
        <w:t>(</w:t>
      </w:r>
      <w:r w:rsidRPr="008B13A5">
        <w:rPr>
          <w:rStyle w:val="FootnoteReference"/>
          <w:noProof/>
          <w:szCs w:val="22"/>
        </w:rPr>
        <w:footnoteReference w:id="400"/>
      </w:r>
      <w:r w:rsidRPr="008B13A5">
        <w:rPr>
          <w:noProof/>
          <w:szCs w:val="22"/>
        </w:rPr>
        <w:t>) and OECD Tax Revenue Database</w:t>
      </w:r>
      <w:r w:rsidR="00F274DD" w:rsidRPr="008B13A5">
        <w:rPr>
          <w:noProof/>
          <w:szCs w:val="22"/>
        </w:rPr>
        <w:t xml:space="preserve"> </w:t>
      </w:r>
      <w:r w:rsidRPr="008B13A5">
        <w:rPr>
          <w:noProof/>
          <w:szCs w:val="22"/>
        </w:rPr>
        <w:t>(</w:t>
      </w:r>
      <w:r w:rsidRPr="008B13A5">
        <w:rPr>
          <w:rStyle w:val="FootnoteReference"/>
          <w:noProof/>
          <w:szCs w:val="22"/>
        </w:rPr>
        <w:footnoteReference w:id="401"/>
      </w:r>
      <w:r w:rsidRPr="008B13A5">
        <w:rPr>
          <w:noProof/>
          <w:szCs w:val="22"/>
        </w:rPr>
        <w:t xml:space="preserve">) we know that an average share of value added captured as fiscal revenue is between 16% - 17% (assume 16.5% as a central point). This means that an annual fiscal return of: </w:t>
      </w:r>
    </w:p>
    <w:p w14:paraId="0A102B8F" w14:textId="6383BEEE" w:rsidR="00EC49AF" w:rsidRPr="008B13A5" w:rsidRDefault="00EC49AF" w:rsidP="00F47256">
      <w:pPr>
        <w:pStyle w:val="ListParagraph"/>
        <w:numPr>
          <w:ilvl w:val="0"/>
          <w:numId w:val="50"/>
        </w:numPr>
        <w:spacing w:after="120"/>
        <w:rPr>
          <w:noProof/>
        </w:rPr>
      </w:pPr>
      <w:r w:rsidRPr="008B13A5">
        <w:rPr>
          <w:noProof/>
        </w:rPr>
        <w:t>In pessimistic case: annual direct tax revenue would be around EUR 380 million;</w:t>
      </w:r>
    </w:p>
    <w:p w14:paraId="2963C539" w14:textId="1729723B" w:rsidR="00EC49AF" w:rsidRPr="008B13A5" w:rsidRDefault="00EC49AF" w:rsidP="00F47256">
      <w:pPr>
        <w:pStyle w:val="ListParagraph"/>
        <w:numPr>
          <w:ilvl w:val="0"/>
          <w:numId w:val="50"/>
        </w:numPr>
        <w:spacing w:after="120"/>
        <w:rPr>
          <w:noProof/>
        </w:rPr>
      </w:pPr>
      <w:r w:rsidRPr="008B13A5">
        <w:rPr>
          <w:noProof/>
        </w:rPr>
        <w:t>In optimistic case: annual direct tax revenue would be around EUR 662 million.</w:t>
      </w:r>
    </w:p>
    <w:p w14:paraId="7391DEFD" w14:textId="53042CCA" w:rsidR="00EC49AF" w:rsidRPr="008B13A5" w:rsidRDefault="00EC49AF" w:rsidP="00F47256">
      <w:pPr>
        <w:pStyle w:val="Heading1"/>
        <w:rPr>
          <w:noProof/>
        </w:rPr>
      </w:pPr>
      <w:bookmarkStart w:id="369" w:name="_Toc217394786"/>
      <w:bookmarkStart w:id="370" w:name="_Toc217395645"/>
      <w:bookmarkStart w:id="371" w:name="_Toc217396494"/>
      <w:bookmarkStart w:id="372" w:name="_Toc728858582"/>
      <w:bookmarkStart w:id="373" w:name="_Toc223620659"/>
      <w:bookmarkStart w:id="374" w:name="_Toc230010480"/>
      <w:r w:rsidRPr="008B13A5">
        <w:rPr>
          <w:noProof/>
        </w:rPr>
        <w:t>Innovation-oriented public procurement and firm innovation outcomes: evidence from the literature</w:t>
      </w:r>
      <w:bookmarkEnd w:id="369"/>
      <w:bookmarkEnd w:id="370"/>
      <w:bookmarkEnd w:id="371"/>
      <w:bookmarkEnd w:id="372"/>
      <w:bookmarkEnd w:id="373"/>
      <w:bookmarkEnd w:id="374"/>
    </w:p>
    <w:p w14:paraId="3E249475" w14:textId="21D69970" w:rsidR="00EC49AF" w:rsidRPr="008B13A5" w:rsidRDefault="00EC49AF" w:rsidP="00EC49AF">
      <w:pPr>
        <w:pStyle w:val="NormalWeb"/>
        <w:spacing w:before="0" w:beforeAutospacing="0" w:after="120" w:afterAutospacing="0"/>
        <w:jc w:val="both"/>
        <w:rPr>
          <w:noProof/>
        </w:rPr>
      </w:pPr>
      <w:r w:rsidRPr="008B13A5">
        <w:rPr>
          <w:noProof/>
        </w:rPr>
        <w:t xml:space="preserve">A growing empirical literature shows that public procurement can function as an effective </w:t>
      </w:r>
      <w:r w:rsidRPr="008B13A5">
        <w:rPr>
          <w:rStyle w:val="Strong"/>
          <w:noProof/>
        </w:rPr>
        <w:t>demand-side innovation instrument</w:t>
      </w:r>
      <w:r w:rsidRPr="008B13A5">
        <w:rPr>
          <w:noProof/>
        </w:rPr>
        <w:t>, particularly when public buyers act as technologically sophisticated lead customers and require first-of-a-kind or non-off-the-shelf solutions. In such contexts, procurement influences firm behaviour not primarily through financial transfers, but by exposing suppliers to advanced technical requirements, intensive buyer–supplier interaction, and strong signalling effects towards downstream markets.</w:t>
      </w:r>
    </w:p>
    <w:p w14:paraId="1C6032C9" w14:textId="36C852AE" w:rsidR="00EC49AF" w:rsidRPr="008B13A5" w:rsidRDefault="00EC49AF" w:rsidP="00EC49AF">
      <w:pPr>
        <w:pStyle w:val="NormalWeb"/>
        <w:spacing w:before="0" w:beforeAutospacing="0" w:after="120" w:afterAutospacing="0"/>
        <w:jc w:val="both"/>
        <w:rPr>
          <w:noProof/>
        </w:rPr>
      </w:pPr>
      <w:r w:rsidRPr="008B13A5">
        <w:rPr>
          <w:noProof/>
        </w:rPr>
        <w:t xml:space="preserve">Evidence from procurement by large research infrastructures illustrates this mechanism clearly. Firm-level econometric analysis of CERN procurement shows that suppliers awarded CERN contracts experience a statistically significant increase in their likelihood of becoming innovators, with estimated effects in the order of around </w:t>
      </w:r>
      <w:r w:rsidRPr="008B13A5">
        <w:rPr>
          <w:rStyle w:val="Strong"/>
          <w:noProof/>
        </w:rPr>
        <w:t>10–20 percentage points</w:t>
      </w:r>
      <w:r w:rsidRPr="008B13A5">
        <w:rPr>
          <w:noProof/>
        </w:rPr>
        <w:t xml:space="preserve"> relative to otherwise comparable firms. The underlying channel operates through capability upgrading and learning-by-doing induced by demanding specifications, co-development processes, and reputational benefits associated with supplying a globally recognised scientific buyer. These effects are particularly salient for firms close to an innovation threshold, suggesting that innovation-oriented procurement can help firms cross barriers related to certification, technical validation, and market credibility</w:t>
      </w:r>
      <w:r w:rsidR="00F274DD" w:rsidRPr="008B13A5">
        <w:rPr>
          <w:noProof/>
        </w:rPr>
        <w:t xml:space="preserve"> </w:t>
      </w:r>
      <w:r w:rsidRPr="008B13A5">
        <w:rPr>
          <w:noProof/>
        </w:rPr>
        <w:t>(</w:t>
      </w:r>
      <w:r w:rsidRPr="008B13A5">
        <w:rPr>
          <w:rStyle w:val="FootnoteReference"/>
          <w:noProof/>
        </w:rPr>
        <w:footnoteReference w:id="402"/>
      </w:r>
      <w:r w:rsidRPr="008B13A5">
        <w:rPr>
          <w:noProof/>
        </w:rPr>
        <w:t>).</w:t>
      </w:r>
    </w:p>
    <w:p w14:paraId="3188FA2C" w14:textId="3281C18D" w:rsidR="00EC49AF" w:rsidRPr="008B13A5" w:rsidRDefault="00EC49AF" w:rsidP="00EC49AF">
      <w:pPr>
        <w:pStyle w:val="NormalWeb"/>
        <w:spacing w:before="0" w:beforeAutospacing="0" w:after="120" w:afterAutospacing="0"/>
        <w:jc w:val="both"/>
        <w:rPr>
          <w:noProof/>
        </w:rPr>
      </w:pPr>
      <w:r w:rsidRPr="008B13A5">
        <w:rPr>
          <w:noProof/>
        </w:rPr>
        <w:t xml:space="preserve">Complementary large-sample evidence confirms that public procurement is associated with measurable innovation outcomes at firm level. Using Flash Eurobarometer data covering </w:t>
      </w:r>
      <w:r w:rsidRPr="008B13A5">
        <w:rPr>
          <w:rStyle w:val="Strong"/>
          <w:noProof/>
        </w:rPr>
        <w:t>28 EU Member States, Switzerland, and the US</w:t>
      </w:r>
      <w:r w:rsidRPr="008B13A5">
        <w:rPr>
          <w:noProof/>
        </w:rPr>
        <w:t xml:space="preserve">, and a sample of </w:t>
      </w:r>
      <w:r w:rsidRPr="008B13A5">
        <w:rPr>
          <w:rStyle w:val="Strong"/>
          <w:noProof/>
        </w:rPr>
        <w:t>6,719 innovative firms</w:t>
      </w:r>
      <w:r w:rsidRPr="008B13A5">
        <w:rPr>
          <w:noProof/>
        </w:rPr>
        <w:t xml:space="preserve"> observed between </w:t>
      </w:r>
      <w:r w:rsidRPr="008B13A5">
        <w:rPr>
          <w:rStyle w:val="Strong"/>
          <w:noProof/>
        </w:rPr>
        <w:t>2011 and 2014</w:t>
      </w:r>
      <w:r w:rsidRPr="008B13A5">
        <w:rPr>
          <w:noProof/>
        </w:rPr>
        <w:t xml:space="preserve">, econometric analysis combining cross-sectional regression with propensity score matching finds that participation in public procurement significantly increases the probability of innovation. Specifically, procurement participation raises the likelihood of introducing </w:t>
      </w:r>
      <w:r w:rsidRPr="008B13A5">
        <w:rPr>
          <w:rStyle w:val="Strong"/>
          <w:noProof/>
        </w:rPr>
        <w:t>product innovation by 10.6 percentage points in goods and 12.4 percentage points in services</w:t>
      </w:r>
      <w:r w:rsidRPr="008B13A5">
        <w:rPr>
          <w:noProof/>
        </w:rPr>
        <w:t xml:space="preserve">, while supply-side R&amp;D policy measures show no statistically significant effect on product innovation in either sector. For </w:t>
      </w:r>
      <w:r w:rsidRPr="008B13A5">
        <w:rPr>
          <w:rStyle w:val="Strong"/>
          <w:noProof/>
        </w:rPr>
        <w:t>process innovation</w:t>
      </w:r>
      <w:r w:rsidRPr="008B13A5">
        <w:rPr>
          <w:noProof/>
        </w:rPr>
        <w:t xml:space="preserve">, procurement increases adoption probability by </w:t>
      </w:r>
      <w:r w:rsidRPr="008B13A5">
        <w:rPr>
          <w:rStyle w:val="Strong"/>
          <w:noProof/>
        </w:rPr>
        <w:t>6.3 percentage points</w:t>
      </w:r>
      <w:r w:rsidRPr="008B13A5">
        <w:rPr>
          <w:noProof/>
        </w:rPr>
        <w:t xml:space="preserve">, while public R&amp;D support raises the likelihood of process innovation by </w:t>
      </w:r>
      <w:r w:rsidRPr="008B13A5">
        <w:rPr>
          <w:rStyle w:val="Strong"/>
          <w:noProof/>
        </w:rPr>
        <w:t>7.2 percentage points</w:t>
      </w:r>
      <w:r w:rsidRPr="008B13A5">
        <w:rPr>
          <w:noProof/>
        </w:rPr>
        <w:t>, indicating a degree of complementarity between demand-side and supply-side instruments for production upgrading</w:t>
      </w:r>
      <w:r w:rsidR="00F274DD" w:rsidRPr="008B13A5">
        <w:rPr>
          <w:noProof/>
        </w:rPr>
        <w:t xml:space="preserve"> </w:t>
      </w:r>
      <w:r w:rsidRPr="008B13A5">
        <w:rPr>
          <w:noProof/>
        </w:rPr>
        <w:t>(</w:t>
      </w:r>
      <w:r w:rsidRPr="008B13A5">
        <w:rPr>
          <w:rStyle w:val="FootnoteReference"/>
          <w:noProof/>
        </w:rPr>
        <w:footnoteReference w:id="403"/>
      </w:r>
      <w:r w:rsidRPr="008B13A5">
        <w:rPr>
          <w:noProof/>
        </w:rPr>
        <w:t>).</w:t>
      </w:r>
    </w:p>
    <w:p w14:paraId="6EF249D1" w14:textId="5FCBF8BB" w:rsidR="00EC49AF" w:rsidRPr="008B13A5" w:rsidRDefault="00EC49AF" w:rsidP="00EC49AF">
      <w:pPr>
        <w:pStyle w:val="NormalWeb"/>
        <w:spacing w:before="0" w:beforeAutospacing="0" w:after="120" w:afterAutospacing="0"/>
        <w:jc w:val="both"/>
        <w:rPr>
          <w:noProof/>
        </w:rPr>
      </w:pPr>
      <w:r w:rsidRPr="008B13A5">
        <w:rPr>
          <w:noProof/>
        </w:rPr>
        <w:t>Beyond innovation outcomes, recent evidence also highlights broader economic effects of public procurement that are relevant for high-capital-intensity sectors. Budrys (2025)</w:t>
      </w:r>
      <w:r w:rsidR="00F274DD" w:rsidRPr="008B13A5">
        <w:rPr>
          <w:noProof/>
        </w:rPr>
        <w:t xml:space="preserve"> </w:t>
      </w:r>
      <w:r w:rsidRPr="008B13A5">
        <w:rPr>
          <w:noProof/>
        </w:rPr>
        <w:t>(</w:t>
      </w:r>
      <w:r w:rsidRPr="008B13A5">
        <w:rPr>
          <w:rStyle w:val="FootnoteReference"/>
          <w:noProof/>
        </w:rPr>
        <w:footnoteReference w:id="404"/>
      </w:r>
      <w:r w:rsidRPr="008B13A5">
        <w:rPr>
          <w:noProof/>
        </w:rPr>
        <w:t>), using a novel dataset linking US federal procurement data with firm financials, stock market information, analyst forecasts, and credit default swaps, identifies competitive procurement awards as largely unanticipated firm-level demand shocks. The results show that winning a procurement contract leads to persistent increases in sales and profits over several years, with sales rising by around 0.20 dollars per dollar of government obligations on impact and peaking at approximately 0.50 dollars after nine quarters, while profits increase by about 0.10 dollars per dollar of obligations, corresponding to a 4–5 percentage point increase in profitability. Procurement also stimulates investment, with capital expenditure increasing cumulatively by around 0.21 dollars per dollar of obligations over a three-year horizon, indicating medium-term capacity expansion rather than short-term scaling alone. Importantly, procurement contracts generate a risk-mitigation effect, reducing perceived uncertainty and default risk, particularly during periods of tight financial conditions: realised stock-return volatility declines by up to 0.5–1%, analyst forecast dispersion falls by around 4–5%, and credit default swap spreads decline by up to 5% following contract awards. Overall, these findings suggest that public procurement can act not only as a source of demand, but also as a stabilising mechanism that improves firms’ resilience and investment incentives, with clear relevance for sectors such as semiconductors characterised by large fixed costs and long investment cycles.</w:t>
      </w:r>
    </w:p>
    <w:p w14:paraId="6006BCFA" w14:textId="6AE8F77B" w:rsidR="00EC49AF" w:rsidRPr="008B13A5" w:rsidRDefault="00EC49AF" w:rsidP="00EC49AF">
      <w:pPr>
        <w:pStyle w:val="NormalWeb"/>
        <w:spacing w:before="0" w:beforeAutospacing="0" w:after="120" w:afterAutospacing="0"/>
        <w:jc w:val="both"/>
        <w:rPr>
          <w:noProof/>
        </w:rPr>
      </w:pPr>
      <w:r w:rsidRPr="008B13A5">
        <w:rPr>
          <w:noProof/>
        </w:rPr>
        <w:t xml:space="preserve">The literature suggests that innovation-oriented public procurement can influence firm behaviour through multiple channels: stimulating product and process innovation, supporting capability upgrading, improving revenue stability, and reducing risk. These mechanisms are highly relevant for the </w:t>
      </w:r>
      <w:r w:rsidRPr="008B13A5">
        <w:rPr>
          <w:rStyle w:val="Strong"/>
          <w:noProof/>
        </w:rPr>
        <w:t>EU semiconductor ecosystem</w:t>
      </w:r>
      <w:r w:rsidRPr="008B13A5">
        <w:rPr>
          <w:noProof/>
        </w:rPr>
        <w:t>, which is characterised by high entry barriers, long qualification cycles, large sunk costs, and strong dependence on reference customers. In this context, public procurement under the EU Chips Act could complement supply-side measures by creating early, credible demand for strategically important technologies, such as trusted chips, advanced packaging solutions, or specialised components for defence, space, health, and critical infrastructure. By acting as a technologically demanding lead customer, the public sector could help European semiconductor firms and suppliers cross innovation and commercialisation thresholds, reinforce the effectiveness of R&amp;D and state aid instruments, and contribute to longer-term resilience and competitiveness of the EU Chips industry.</w:t>
      </w:r>
    </w:p>
    <w:p w14:paraId="00F38E4E" w14:textId="28E8DB7D" w:rsidR="006B087E" w:rsidRPr="008B13A5" w:rsidRDefault="006B087E" w:rsidP="2932BCE0">
      <w:pPr>
        <w:rPr>
          <w:noProof/>
        </w:rPr>
        <w:sectPr w:rsidR="006B087E" w:rsidRPr="008B13A5" w:rsidSect="00CE090F">
          <w:headerReference w:type="even" r:id="rId57"/>
          <w:headerReference w:type="default" r:id="rId58"/>
          <w:footerReference w:type="even" r:id="rId59"/>
          <w:footerReference w:type="default" r:id="rId60"/>
          <w:headerReference w:type="first" r:id="rId61"/>
          <w:footerReference w:type="first" r:id="rId62"/>
          <w:pgSz w:w="11906" w:h="16838"/>
          <w:pgMar w:top="1134" w:right="1418" w:bottom="1134" w:left="1418" w:header="601" w:footer="1077" w:gutter="0"/>
          <w:cols w:space="720"/>
          <w:titlePg/>
        </w:sectPr>
      </w:pPr>
    </w:p>
    <w:p w14:paraId="0AC67B34" w14:textId="499024F5" w:rsidR="00C22AB4" w:rsidRPr="008B13A5" w:rsidRDefault="00C22AB4" w:rsidP="00C22AB4">
      <w:pPr>
        <w:pStyle w:val="AnnexTitle0"/>
        <w:rPr>
          <w:noProof/>
        </w:rPr>
      </w:pPr>
      <w:bookmarkStart w:id="375" w:name="_Toc195101111"/>
      <w:bookmarkStart w:id="376" w:name="_Toc230010481"/>
      <w:r w:rsidRPr="008B13A5">
        <w:rPr>
          <w:noProof/>
        </w:rPr>
        <w:t>Annex 5: Competitiveness check</w:t>
      </w:r>
      <w:bookmarkEnd w:id="375"/>
      <w:bookmarkEnd w:id="376"/>
    </w:p>
    <w:p w14:paraId="7B712B7D" w14:textId="7CDA78CC" w:rsidR="00C22AB4" w:rsidRPr="008B13A5" w:rsidRDefault="00C22AB4" w:rsidP="00F47256">
      <w:pPr>
        <w:pStyle w:val="Heading1"/>
        <w:numPr>
          <w:ilvl w:val="0"/>
          <w:numId w:val="3"/>
        </w:numPr>
        <w:rPr>
          <w:noProof/>
        </w:rPr>
      </w:pPr>
      <w:bookmarkStart w:id="377" w:name="_Toc195101112"/>
      <w:bookmarkStart w:id="378" w:name="_Toc230010482"/>
      <w:r w:rsidRPr="008B13A5">
        <w:rPr>
          <w:noProof/>
        </w:rPr>
        <w:t>Overview of impacts on competitiveness</w:t>
      </w:r>
      <w:bookmarkEnd w:id="377"/>
      <w:bookmarkEnd w:id="378"/>
      <w:r w:rsidRPr="008B13A5">
        <w:rPr>
          <w:noProof/>
        </w:rPr>
        <w:t xml:space="preserve"> </w:t>
      </w:r>
    </w:p>
    <w:tbl>
      <w:tblPr>
        <w:tblStyle w:val="TableGrid"/>
        <w:tblW w:w="9889" w:type="dxa"/>
        <w:tblLook w:val="04A0" w:firstRow="1" w:lastRow="0" w:firstColumn="1" w:lastColumn="0" w:noHBand="0" w:noVBand="1"/>
      </w:tblPr>
      <w:tblGrid>
        <w:gridCol w:w="3281"/>
        <w:gridCol w:w="2639"/>
        <w:gridCol w:w="3969"/>
      </w:tblGrid>
      <w:tr w:rsidR="00C22AB4" w:rsidRPr="008B13A5" w14:paraId="67A7C491" w14:textId="77777777" w:rsidTr="00EA4C16">
        <w:tc>
          <w:tcPr>
            <w:tcW w:w="3281" w:type="dxa"/>
            <w:vAlign w:val="center"/>
          </w:tcPr>
          <w:p w14:paraId="3F9E640E" w14:textId="0747B9D5" w:rsidR="00C22AB4" w:rsidRPr="00BD008E" w:rsidRDefault="00C22AB4" w:rsidP="00EA4C16">
            <w:pPr>
              <w:spacing w:before="60" w:after="60"/>
              <w:jc w:val="center"/>
              <w:rPr>
                <w:b/>
                <w:noProof/>
              </w:rPr>
            </w:pPr>
            <w:r w:rsidRPr="00BD008E">
              <w:rPr>
                <w:b/>
                <w:noProof/>
              </w:rPr>
              <w:t>Dimensions of Competitiveness</w:t>
            </w:r>
          </w:p>
        </w:tc>
        <w:tc>
          <w:tcPr>
            <w:tcW w:w="2639" w:type="dxa"/>
            <w:vAlign w:val="center"/>
          </w:tcPr>
          <w:p w14:paraId="3A713A7D" w14:textId="025B6254" w:rsidR="00C22AB4" w:rsidRPr="00BD008E" w:rsidRDefault="00C22AB4" w:rsidP="00EA4C16">
            <w:pPr>
              <w:spacing w:before="60" w:after="60"/>
              <w:jc w:val="center"/>
              <w:rPr>
                <w:b/>
                <w:noProof/>
              </w:rPr>
            </w:pPr>
            <w:r w:rsidRPr="00BD008E">
              <w:rPr>
                <w:b/>
                <w:noProof/>
              </w:rPr>
              <w:t>Impact of the initiative</w:t>
            </w:r>
          </w:p>
          <w:p w14:paraId="24DD993D" w14:textId="4B01C6E1" w:rsidR="00C22AB4" w:rsidRPr="00BD008E" w:rsidRDefault="00C22AB4" w:rsidP="00EA4C16">
            <w:pPr>
              <w:spacing w:before="60" w:after="60"/>
              <w:jc w:val="center"/>
              <w:rPr>
                <w:b/>
                <w:noProof/>
              </w:rPr>
            </w:pPr>
            <w:r w:rsidRPr="00BD008E">
              <w:rPr>
                <w:b/>
                <w:noProof/>
              </w:rPr>
              <w:t>(++ / + / 0 / - / -- / n.a.)</w:t>
            </w:r>
          </w:p>
        </w:tc>
        <w:tc>
          <w:tcPr>
            <w:tcW w:w="3969" w:type="dxa"/>
            <w:vAlign w:val="center"/>
          </w:tcPr>
          <w:p w14:paraId="644C8C1B" w14:textId="3C1AF085" w:rsidR="00C22AB4" w:rsidRPr="00BD008E" w:rsidRDefault="00C22AB4" w:rsidP="00EA4C16">
            <w:pPr>
              <w:spacing w:before="60" w:after="60"/>
              <w:jc w:val="center"/>
              <w:rPr>
                <w:b/>
                <w:noProof/>
              </w:rPr>
            </w:pPr>
            <w:r w:rsidRPr="00BD008E">
              <w:rPr>
                <w:b/>
                <w:noProof/>
              </w:rPr>
              <w:t>References to sub-sections of the main report or annexes</w:t>
            </w:r>
          </w:p>
        </w:tc>
      </w:tr>
      <w:tr w:rsidR="00200A8F" w:rsidRPr="008B13A5" w14:paraId="5974009C" w14:textId="77777777" w:rsidTr="00EA4C16">
        <w:tc>
          <w:tcPr>
            <w:tcW w:w="3281" w:type="dxa"/>
            <w:vAlign w:val="center"/>
          </w:tcPr>
          <w:p w14:paraId="2A2CE9EF" w14:textId="45B3E1BD" w:rsidR="00200A8F" w:rsidRPr="00BD008E" w:rsidRDefault="00200A8F" w:rsidP="00200A8F">
            <w:pPr>
              <w:spacing w:before="60" w:after="60"/>
              <w:rPr>
                <w:noProof/>
              </w:rPr>
            </w:pPr>
            <w:r w:rsidRPr="00BD008E">
              <w:rPr>
                <w:noProof/>
              </w:rPr>
              <w:t>Cost and price competitiveness</w:t>
            </w:r>
          </w:p>
        </w:tc>
        <w:tc>
          <w:tcPr>
            <w:tcW w:w="2639" w:type="dxa"/>
            <w:vAlign w:val="center"/>
          </w:tcPr>
          <w:p w14:paraId="181747F3" w14:textId="4BA67358" w:rsidR="00200A8F" w:rsidRPr="00BD008E" w:rsidRDefault="00200A8F" w:rsidP="00BD008E">
            <w:pPr>
              <w:spacing w:before="60" w:after="60"/>
              <w:jc w:val="center"/>
              <w:rPr>
                <w:noProof/>
              </w:rPr>
            </w:pPr>
            <w:r w:rsidRPr="008B13A5">
              <w:rPr>
                <w:noProof/>
                <w:szCs w:val="22"/>
              </w:rPr>
              <w:t>+</w:t>
            </w:r>
          </w:p>
        </w:tc>
        <w:tc>
          <w:tcPr>
            <w:tcW w:w="3969" w:type="dxa"/>
            <w:vAlign w:val="center"/>
          </w:tcPr>
          <w:p w14:paraId="502FEBC0" w14:textId="20C69EAB" w:rsidR="00200A8F" w:rsidRPr="00BD008E" w:rsidRDefault="00BA4F07" w:rsidP="00200A8F">
            <w:pPr>
              <w:spacing w:before="60" w:after="60"/>
              <w:rPr>
                <w:noProof/>
              </w:rPr>
            </w:pPr>
            <w:r w:rsidRPr="008B13A5">
              <w:rPr>
                <w:noProof/>
                <w:szCs w:val="22"/>
              </w:rPr>
              <w:t>Discussed in Section 6.2.1 which describes</w:t>
            </w:r>
            <w:r w:rsidR="00200A8F" w:rsidRPr="008B13A5">
              <w:rPr>
                <w:noProof/>
                <w:szCs w:val="22"/>
              </w:rPr>
              <w:t xml:space="preserve"> reductions in investment risk, lower capital costs via EU co-funding, faster permitting, improved utilisation, and pricing stability</w:t>
            </w:r>
            <w:r w:rsidR="00F274DD" w:rsidRPr="008B13A5">
              <w:rPr>
                <w:noProof/>
                <w:szCs w:val="22"/>
              </w:rPr>
              <w:t xml:space="preserve"> </w:t>
            </w:r>
          </w:p>
        </w:tc>
      </w:tr>
      <w:tr w:rsidR="00200A8F" w:rsidRPr="008B13A5" w14:paraId="4CCC9FF0" w14:textId="77777777" w:rsidTr="00EA4C16">
        <w:tc>
          <w:tcPr>
            <w:tcW w:w="3281" w:type="dxa"/>
            <w:vAlign w:val="center"/>
          </w:tcPr>
          <w:p w14:paraId="52485509" w14:textId="30A50C07" w:rsidR="00200A8F" w:rsidRPr="00BD008E" w:rsidRDefault="00200A8F" w:rsidP="00200A8F">
            <w:pPr>
              <w:spacing w:before="60" w:after="60"/>
              <w:rPr>
                <w:noProof/>
              </w:rPr>
            </w:pPr>
            <w:r w:rsidRPr="00BD008E">
              <w:rPr>
                <w:noProof/>
              </w:rPr>
              <w:t xml:space="preserve">International competitiveness </w:t>
            </w:r>
          </w:p>
        </w:tc>
        <w:tc>
          <w:tcPr>
            <w:tcW w:w="2639" w:type="dxa"/>
            <w:vAlign w:val="center"/>
          </w:tcPr>
          <w:p w14:paraId="3BF3177B" w14:textId="4BA3DF6B" w:rsidR="00200A8F" w:rsidRPr="00BD008E" w:rsidRDefault="00200A8F" w:rsidP="00BD008E">
            <w:pPr>
              <w:spacing w:before="60" w:after="60"/>
              <w:jc w:val="center"/>
              <w:rPr>
                <w:noProof/>
              </w:rPr>
            </w:pPr>
            <w:r w:rsidRPr="008B13A5">
              <w:rPr>
                <w:noProof/>
                <w:szCs w:val="22"/>
              </w:rPr>
              <w:t>++</w:t>
            </w:r>
          </w:p>
        </w:tc>
        <w:tc>
          <w:tcPr>
            <w:tcW w:w="3969" w:type="dxa"/>
            <w:vAlign w:val="center"/>
          </w:tcPr>
          <w:p w14:paraId="77D8A205" w14:textId="6F4C432A" w:rsidR="00200A8F" w:rsidRPr="00BD008E" w:rsidRDefault="00BA4F07" w:rsidP="00200A8F">
            <w:pPr>
              <w:spacing w:before="60" w:after="60"/>
              <w:rPr>
                <w:noProof/>
              </w:rPr>
            </w:pPr>
            <w:r w:rsidRPr="008B13A5">
              <w:rPr>
                <w:noProof/>
                <w:szCs w:val="22"/>
              </w:rPr>
              <w:t xml:space="preserve">Discussed in Section 6.2.1 which </w:t>
            </w:r>
            <w:r w:rsidR="00B04DEB" w:rsidRPr="008B13A5">
              <w:rPr>
                <w:noProof/>
                <w:szCs w:val="22"/>
              </w:rPr>
              <w:t>sets out</w:t>
            </w:r>
            <w:r w:rsidR="00200A8F" w:rsidRPr="008B13A5">
              <w:rPr>
                <w:noProof/>
                <w:szCs w:val="22"/>
              </w:rPr>
              <w:t xml:space="preserve"> Strategic Projects, sovereign manufacturing capacity, boutique leading-edge foundry example, cross-border clustering, and resilience gains.</w:t>
            </w:r>
            <w:r w:rsidR="00F274DD" w:rsidRPr="008B13A5">
              <w:rPr>
                <w:noProof/>
                <w:szCs w:val="22"/>
              </w:rPr>
              <w:t xml:space="preserve"> </w:t>
            </w:r>
          </w:p>
        </w:tc>
      </w:tr>
      <w:tr w:rsidR="00200A8F" w:rsidRPr="008B13A5" w14:paraId="72B12655" w14:textId="77777777" w:rsidTr="00EA4C16">
        <w:tc>
          <w:tcPr>
            <w:tcW w:w="3281" w:type="dxa"/>
            <w:vAlign w:val="center"/>
          </w:tcPr>
          <w:p w14:paraId="6120996B" w14:textId="70D5D090" w:rsidR="00200A8F" w:rsidRPr="00BD008E" w:rsidRDefault="00200A8F" w:rsidP="00200A8F">
            <w:pPr>
              <w:spacing w:before="60" w:after="60"/>
              <w:rPr>
                <w:noProof/>
              </w:rPr>
            </w:pPr>
            <w:r w:rsidRPr="00BD008E">
              <w:rPr>
                <w:noProof/>
              </w:rPr>
              <w:t>Capacity to innovate</w:t>
            </w:r>
          </w:p>
        </w:tc>
        <w:tc>
          <w:tcPr>
            <w:tcW w:w="2639" w:type="dxa"/>
            <w:vAlign w:val="center"/>
          </w:tcPr>
          <w:p w14:paraId="3AAA98E7" w14:textId="68BEEDA6" w:rsidR="00200A8F" w:rsidRPr="00BD008E" w:rsidRDefault="00200A8F" w:rsidP="00BD008E">
            <w:pPr>
              <w:spacing w:before="60" w:after="60"/>
              <w:jc w:val="center"/>
              <w:rPr>
                <w:noProof/>
              </w:rPr>
            </w:pPr>
            <w:r w:rsidRPr="008B13A5">
              <w:rPr>
                <w:noProof/>
                <w:szCs w:val="22"/>
              </w:rPr>
              <w:t>++</w:t>
            </w:r>
          </w:p>
        </w:tc>
        <w:tc>
          <w:tcPr>
            <w:tcW w:w="3969" w:type="dxa"/>
            <w:vAlign w:val="center"/>
          </w:tcPr>
          <w:p w14:paraId="3DB8B980" w14:textId="0C21D357" w:rsidR="00200A8F" w:rsidRPr="00BD008E" w:rsidRDefault="00B04DEB" w:rsidP="00200A8F">
            <w:pPr>
              <w:spacing w:before="60" w:after="60"/>
              <w:rPr>
                <w:noProof/>
              </w:rPr>
            </w:pPr>
            <w:r w:rsidRPr="008B13A5">
              <w:rPr>
                <w:noProof/>
                <w:szCs w:val="22"/>
              </w:rPr>
              <w:t>Discusse</w:t>
            </w:r>
            <w:r w:rsidR="00894A13" w:rsidRPr="008B13A5">
              <w:rPr>
                <w:noProof/>
                <w:szCs w:val="22"/>
              </w:rPr>
              <w:t>d in</w:t>
            </w:r>
            <w:r w:rsidRPr="008B13A5">
              <w:rPr>
                <w:noProof/>
                <w:szCs w:val="22"/>
              </w:rPr>
              <w:t xml:space="preserve"> </w:t>
            </w:r>
            <w:r w:rsidRPr="00BD008E">
              <w:rPr>
                <w:noProof/>
                <w:szCs w:val="22"/>
              </w:rPr>
              <w:t xml:space="preserve">Section 6.2.16 </w:t>
            </w:r>
            <w:r w:rsidRPr="008B13A5">
              <w:rPr>
                <w:noProof/>
                <w:szCs w:val="22"/>
              </w:rPr>
              <w:t>which describes</w:t>
            </w:r>
            <w:r w:rsidR="00200A8F" w:rsidRPr="008B13A5">
              <w:rPr>
                <w:noProof/>
                <w:szCs w:val="22"/>
              </w:rPr>
              <w:t xml:space="preserve"> how Strategic Projects enable industrial deployment of publicly funded research, how innovation procurement and thematic </w:t>
            </w:r>
            <w:r w:rsidR="00295FF3" w:rsidRPr="008B13A5">
              <w:rPr>
                <w:noProof/>
                <w:szCs w:val="22"/>
              </w:rPr>
              <w:t xml:space="preserve">grand </w:t>
            </w:r>
            <w:r w:rsidR="00200A8F" w:rsidRPr="008B13A5">
              <w:rPr>
                <w:noProof/>
                <w:szCs w:val="22"/>
              </w:rPr>
              <w:t>challenges stimulate high-risk technological development, and how strengthened design capabilities support long-term innovation.</w:t>
            </w:r>
            <w:r w:rsidR="00F274DD" w:rsidRPr="008B13A5">
              <w:rPr>
                <w:noProof/>
                <w:szCs w:val="22"/>
              </w:rPr>
              <w:t xml:space="preserve"> </w:t>
            </w:r>
          </w:p>
        </w:tc>
      </w:tr>
      <w:tr w:rsidR="00200A8F" w:rsidRPr="008B13A5" w14:paraId="0C79877D" w14:textId="77777777" w:rsidTr="00EA4C16">
        <w:tc>
          <w:tcPr>
            <w:tcW w:w="3281" w:type="dxa"/>
            <w:vAlign w:val="center"/>
          </w:tcPr>
          <w:p w14:paraId="11188BFC" w14:textId="56737EA0" w:rsidR="00200A8F" w:rsidRPr="00BD008E" w:rsidRDefault="00200A8F" w:rsidP="00200A8F">
            <w:pPr>
              <w:spacing w:before="60" w:after="60"/>
              <w:rPr>
                <w:noProof/>
              </w:rPr>
            </w:pPr>
            <w:r w:rsidRPr="00BD008E">
              <w:rPr>
                <w:noProof/>
              </w:rPr>
              <w:t>SME competitiveness</w:t>
            </w:r>
          </w:p>
        </w:tc>
        <w:tc>
          <w:tcPr>
            <w:tcW w:w="2639" w:type="dxa"/>
            <w:vAlign w:val="center"/>
          </w:tcPr>
          <w:p w14:paraId="75BEF4D2" w14:textId="7FAFFB14" w:rsidR="00200A8F" w:rsidRPr="00BD008E" w:rsidRDefault="00200A8F" w:rsidP="00BD008E">
            <w:pPr>
              <w:spacing w:before="60" w:after="60"/>
              <w:jc w:val="center"/>
              <w:rPr>
                <w:noProof/>
              </w:rPr>
            </w:pPr>
            <w:r w:rsidRPr="008B13A5">
              <w:rPr>
                <w:noProof/>
                <w:szCs w:val="22"/>
              </w:rPr>
              <w:t>++</w:t>
            </w:r>
          </w:p>
        </w:tc>
        <w:tc>
          <w:tcPr>
            <w:tcW w:w="3969" w:type="dxa"/>
            <w:vAlign w:val="center"/>
          </w:tcPr>
          <w:p w14:paraId="39C317EC" w14:textId="284FFB5E" w:rsidR="00200A8F" w:rsidRPr="00BD008E" w:rsidRDefault="007F1CFD" w:rsidP="00200A8F">
            <w:pPr>
              <w:spacing w:before="60" w:after="60"/>
              <w:rPr>
                <w:noProof/>
              </w:rPr>
            </w:pPr>
            <w:r w:rsidRPr="008B13A5">
              <w:rPr>
                <w:noProof/>
              </w:rPr>
              <w:t xml:space="preserve">Discussed in Section </w:t>
            </w:r>
            <w:r w:rsidR="005C5031" w:rsidRPr="008B13A5">
              <w:rPr>
                <w:noProof/>
              </w:rPr>
              <w:t xml:space="preserve">6.2.1.7 which </w:t>
            </w:r>
            <w:r w:rsidR="00C50479" w:rsidRPr="008B13A5">
              <w:rPr>
                <w:noProof/>
              </w:rPr>
              <w:t xml:space="preserve">describes impact of incentives for </w:t>
            </w:r>
            <w:r w:rsidR="00200A8F" w:rsidRPr="008B13A5">
              <w:rPr>
                <w:noProof/>
              </w:rPr>
              <w:t>stronger demand</w:t>
            </w:r>
            <w:r w:rsidR="00F274DD" w:rsidRPr="008B13A5">
              <w:rPr>
                <w:noProof/>
              </w:rPr>
              <w:t xml:space="preserve"> </w:t>
            </w:r>
            <w:r w:rsidR="00200A8F" w:rsidRPr="008B13A5">
              <w:rPr>
                <w:noProof/>
              </w:rPr>
              <w:t>pull, anchor customers via innovation procurement,  improved access to manufacturing and design capabilities.</w:t>
            </w:r>
            <w:r w:rsidR="00F274DD" w:rsidRPr="008B13A5">
              <w:rPr>
                <w:noProof/>
              </w:rPr>
              <w:t xml:space="preserve"> </w:t>
            </w:r>
          </w:p>
        </w:tc>
      </w:tr>
    </w:tbl>
    <w:p w14:paraId="2D4F7637" w14:textId="77777777" w:rsidR="00C22AB4" w:rsidRPr="00BD008E" w:rsidRDefault="00C22AB4" w:rsidP="00C22AB4">
      <w:pPr>
        <w:rPr>
          <w:b/>
          <w:noProof/>
          <w:u w:val="single"/>
        </w:rPr>
      </w:pPr>
    </w:p>
    <w:p w14:paraId="5C76F179" w14:textId="5153D4B5" w:rsidR="00C22AB4" w:rsidRPr="008B13A5" w:rsidRDefault="00C22AB4" w:rsidP="00F47256">
      <w:pPr>
        <w:pStyle w:val="Heading1"/>
        <w:numPr>
          <w:ilvl w:val="0"/>
          <w:numId w:val="3"/>
        </w:numPr>
        <w:rPr>
          <w:noProof/>
        </w:rPr>
      </w:pPr>
      <w:bookmarkStart w:id="379" w:name="_Toc195101113"/>
      <w:bookmarkStart w:id="380" w:name="_Toc230010483"/>
      <w:r w:rsidRPr="008B13A5">
        <w:rPr>
          <w:noProof/>
        </w:rPr>
        <w:t>Synthetic assessment</w:t>
      </w:r>
      <w:bookmarkEnd w:id="379"/>
      <w:bookmarkEnd w:id="380"/>
      <w:r w:rsidRPr="008B13A5">
        <w:rPr>
          <w:noProof/>
        </w:rPr>
        <w:t xml:space="preserve"> </w:t>
      </w:r>
    </w:p>
    <w:p w14:paraId="3794FD48" w14:textId="36D29488" w:rsidR="00AD766B" w:rsidRPr="008B13A5" w:rsidRDefault="00AD766B" w:rsidP="00F47256">
      <w:pPr>
        <w:pStyle w:val="Text1"/>
        <w:ind w:left="0"/>
        <w:rPr>
          <w:noProof/>
        </w:rPr>
      </w:pPr>
      <w:r w:rsidRPr="008B13A5">
        <w:rPr>
          <w:noProof/>
        </w:rPr>
        <w:t xml:space="preserve">Policy Option 2 (“Strategic sovereignty”) is expected to have </w:t>
      </w:r>
      <w:r w:rsidR="00B04DEB" w:rsidRPr="008B13A5">
        <w:rPr>
          <w:noProof/>
        </w:rPr>
        <w:t>strong overall</w:t>
      </w:r>
      <w:r w:rsidRPr="008B13A5">
        <w:rPr>
          <w:noProof/>
        </w:rPr>
        <w:t xml:space="preserve"> positive impacts on the competitiveness of the European semiconductor ecosystem, building on and surpassing the effects of Policy Option 1. These impacts derive from Strategic Projects, targeted demand-side instruments, enhanced supply chain transparency, and combined horizontal measures (skills, </w:t>
      </w:r>
      <w:r w:rsidR="003B52F4" w:rsidRPr="008B13A5">
        <w:rPr>
          <w:noProof/>
        </w:rPr>
        <w:t xml:space="preserve">faster </w:t>
      </w:r>
      <w:r w:rsidRPr="008B13A5">
        <w:rPr>
          <w:noProof/>
        </w:rPr>
        <w:t>permitting</w:t>
      </w:r>
      <w:r w:rsidR="003B52F4" w:rsidRPr="008B13A5">
        <w:rPr>
          <w:noProof/>
        </w:rPr>
        <w:t xml:space="preserve"> procedures</w:t>
      </w:r>
      <w:r w:rsidRPr="008B13A5">
        <w:rPr>
          <w:noProof/>
        </w:rPr>
        <w:t xml:space="preserve">, </w:t>
      </w:r>
      <w:r w:rsidR="003B52F4" w:rsidRPr="008B13A5">
        <w:rPr>
          <w:noProof/>
        </w:rPr>
        <w:t>Semiconductor R</w:t>
      </w:r>
      <w:r w:rsidRPr="008B13A5">
        <w:rPr>
          <w:noProof/>
        </w:rPr>
        <w:t xml:space="preserve">egions of </w:t>
      </w:r>
      <w:r w:rsidR="003B52F4" w:rsidRPr="008B13A5">
        <w:rPr>
          <w:noProof/>
        </w:rPr>
        <w:t>Excellence</w:t>
      </w:r>
      <w:r w:rsidRPr="008B13A5">
        <w:rPr>
          <w:noProof/>
        </w:rPr>
        <w:t xml:space="preserve">). The initiative delivers competitiveness effects across all four dimensions as follows: </w:t>
      </w:r>
    </w:p>
    <w:p w14:paraId="69C57B03" w14:textId="4DDF5446" w:rsidR="00AD766B" w:rsidRPr="008B13A5" w:rsidRDefault="00AD766B" w:rsidP="00F47256">
      <w:pPr>
        <w:pStyle w:val="Text1"/>
        <w:ind w:left="0"/>
        <w:rPr>
          <w:noProof/>
        </w:rPr>
      </w:pPr>
      <w:r w:rsidRPr="008B13A5">
        <w:rPr>
          <w:noProof/>
        </w:rPr>
        <w:t xml:space="preserve">Cost and price competitiveness (+) improves moderately, driven by reduced investment risk, lower capital costs through EU co-funding, and more predictable utilisation enabled by innovation procurement. Structural cost disadvantages such as energy and labour costs remain, limiting the scale of improvements. </w:t>
      </w:r>
    </w:p>
    <w:p w14:paraId="580D0358" w14:textId="50BC05A1" w:rsidR="00AD766B" w:rsidRPr="008B13A5" w:rsidRDefault="00AD766B" w:rsidP="00F47256">
      <w:pPr>
        <w:pStyle w:val="Text1"/>
        <w:ind w:left="0"/>
        <w:rPr>
          <w:noProof/>
        </w:rPr>
      </w:pPr>
      <w:r w:rsidRPr="008B13A5">
        <w:rPr>
          <w:noProof/>
        </w:rPr>
        <w:t xml:space="preserve">International competitiveness (++) strengthens substantially. Strategic Projects expand Europe’s manufacturing and design capabilities, reduce dependencies on a small number of non-EU suppliers, and support the emergence of advanced </w:t>
      </w:r>
      <w:r w:rsidR="009945F2" w:rsidRPr="008B13A5">
        <w:rPr>
          <w:noProof/>
        </w:rPr>
        <w:t xml:space="preserve">semiconductor </w:t>
      </w:r>
      <w:r w:rsidRPr="008B13A5">
        <w:rPr>
          <w:noProof/>
        </w:rPr>
        <w:t xml:space="preserve">manufacturing capacity, including for AI chips. The balanced reinforcement approach </w:t>
      </w:r>
      <w:r w:rsidR="009945F2" w:rsidRPr="008B13A5">
        <w:rPr>
          <w:noProof/>
        </w:rPr>
        <w:t xml:space="preserve">supported by </w:t>
      </w:r>
      <w:r w:rsidRPr="008B13A5">
        <w:rPr>
          <w:noProof/>
        </w:rPr>
        <w:t xml:space="preserve">the European Competitiveness Fund ensures that both leading-edge and upstream segments can </w:t>
      </w:r>
      <w:r w:rsidR="00125D63" w:rsidRPr="008B13A5">
        <w:rPr>
          <w:noProof/>
        </w:rPr>
        <w:t>be strengthened</w:t>
      </w:r>
      <w:r w:rsidRPr="008B13A5">
        <w:rPr>
          <w:noProof/>
        </w:rPr>
        <w:t xml:space="preserve">, positioning the EU more strongly in global markets.  </w:t>
      </w:r>
    </w:p>
    <w:p w14:paraId="06463E55" w14:textId="43E7B17E" w:rsidR="00AD766B" w:rsidRPr="008B13A5" w:rsidRDefault="00AD766B" w:rsidP="00F47256">
      <w:pPr>
        <w:pStyle w:val="Text1"/>
        <w:ind w:left="0"/>
        <w:rPr>
          <w:noProof/>
        </w:rPr>
      </w:pPr>
      <w:r w:rsidRPr="008B13A5">
        <w:rPr>
          <w:noProof/>
        </w:rPr>
        <w:t xml:space="preserve">Capacity to innovate (++) is significantly enhanced through measures that support industrial deployment of research, strengthen design capabilities, and stimulate high-risk technological development via innovation procurement and thematic challenges. These mechanisms broaden opportunities for innovation and increase Europe’s ability to compete in next-generation semiconductor technologies.  </w:t>
      </w:r>
    </w:p>
    <w:p w14:paraId="1AE06BFE" w14:textId="18026D52" w:rsidR="00AD766B" w:rsidRPr="008B13A5" w:rsidRDefault="00AD766B" w:rsidP="00F47256">
      <w:pPr>
        <w:pStyle w:val="Text1"/>
        <w:ind w:left="0"/>
        <w:rPr>
          <w:noProof/>
        </w:rPr>
      </w:pPr>
      <w:r w:rsidRPr="008B13A5">
        <w:rPr>
          <w:noProof/>
        </w:rPr>
        <w:t>SME competitiveness (++) is expected to improve strongly. Strategic Projects and demand-side measures create new market opportunities for SMEs, particularly fabless design firms and specialised suppliers. Exemptions from mandatory reporting and simplification measures under REFIT reduce administrative burdens and support SME scaling.</w:t>
      </w:r>
    </w:p>
    <w:p w14:paraId="05D0F5DD" w14:textId="282CB7B2" w:rsidR="00340A6F" w:rsidRPr="008B13A5" w:rsidRDefault="00340A6F" w:rsidP="00F47256">
      <w:pPr>
        <w:pStyle w:val="Heading1"/>
        <w:numPr>
          <w:ilvl w:val="0"/>
          <w:numId w:val="3"/>
        </w:numPr>
        <w:rPr>
          <w:noProof/>
        </w:rPr>
      </w:pPr>
      <w:bookmarkStart w:id="381" w:name="_Toc195101114"/>
      <w:bookmarkStart w:id="382" w:name="_Toc230010484"/>
      <w:r w:rsidRPr="008B13A5">
        <w:rPr>
          <w:noProof/>
        </w:rPr>
        <w:t xml:space="preserve">Competitive position </w:t>
      </w:r>
      <w:r w:rsidR="007053D2" w:rsidRPr="008B13A5">
        <w:rPr>
          <w:noProof/>
        </w:rPr>
        <w:t>of the most affected sectors</w:t>
      </w:r>
      <w:bookmarkEnd w:id="381"/>
      <w:bookmarkEnd w:id="382"/>
    </w:p>
    <w:p w14:paraId="30E53937" w14:textId="6692BD8B" w:rsidR="00FF1233" w:rsidRPr="008B13A5" w:rsidRDefault="00FF1233" w:rsidP="00FF1233">
      <w:pPr>
        <w:spacing w:after="0"/>
        <w:jc w:val="left"/>
        <w:textAlignment w:val="baseline"/>
        <w:rPr>
          <w:rFonts w:ascii="Segoe UI" w:hAnsi="Segoe UI" w:cs="Segoe UI"/>
          <w:noProof/>
        </w:rPr>
      </w:pPr>
      <w:r w:rsidRPr="008B13A5">
        <w:rPr>
          <w:rStyle w:val="Strong"/>
          <w:noProof/>
          <w:szCs w:val="22"/>
        </w:rPr>
        <w:t xml:space="preserve">Semiconductor manufacturing, advanced packaging and </w:t>
      </w:r>
      <w:r w:rsidR="0040072A" w:rsidRPr="008B13A5">
        <w:rPr>
          <w:rStyle w:val="Strong"/>
          <w:noProof/>
          <w:szCs w:val="22"/>
        </w:rPr>
        <w:t xml:space="preserve">chip </w:t>
      </w:r>
      <w:r w:rsidRPr="008B13A5">
        <w:rPr>
          <w:rStyle w:val="Strong"/>
          <w:noProof/>
          <w:szCs w:val="22"/>
        </w:rPr>
        <w:t>design</w:t>
      </w:r>
      <w:r w:rsidRPr="008B13A5">
        <w:rPr>
          <w:noProof/>
          <w:szCs w:val="22"/>
        </w:rPr>
        <w:t xml:space="preserve"> </w:t>
      </w:r>
      <w:r w:rsidR="0040072A" w:rsidRPr="008B13A5">
        <w:rPr>
          <w:noProof/>
          <w:szCs w:val="22"/>
        </w:rPr>
        <w:t xml:space="preserve">segments of the semiconductor value chain </w:t>
      </w:r>
      <w:r w:rsidRPr="008B13A5">
        <w:rPr>
          <w:noProof/>
          <w:szCs w:val="22"/>
        </w:rPr>
        <w:t>benefit directly. Strategic Projects strengthen Europe’s capacity across leading-edge manufacturing, mature-node production, advanced packaging and design capabilities. Enhanced scale, improved investment certainty and stronger value-chain integration increase global competitiveness and reduce vulnerabilities to foreign supply disruptions.</w:t>
      </w:r>
    </w:p>
    <w:p w14:paraId="64D0BD02" w14:textId="383BE3DC" w:rsidR="00FF1233" w:rsidRPr="008B13A5" w:rsidRDefault="00FF1233" w:rsidP="00FF1233">
      <w:pPr>
        <w:pStyle w:val="NormalWeb"/>
        <w:jc w:val="both"/>
        <w:rPr>
          <w:noProof/>
        </w:rPr>
      </w:pPr>
      <w:r w:rsidRPr="008B13A5">
        <w:rPr>
          <w:rStyle w:val="Strong"/>
          <w:noProof/>
        </w:rPr>
        <w:t>Fabless design firms and semiconductor SMEs</w:t>
      </w:r>
      <w:r w:rsidRPr="008B13A5">
        <w:rPr>
          <w:noProof/>
        </w:rPr>
        <w:t xml:space="preserve"> also experience substantial gains. Increased demand for specialised inputs, early revenue opportunities through innovation procurement, and access to advanced manufacturing and prototyping facilities improve the market position of SMEs. Exemptions from mandatory reporting obligations and streamlined procedures further support development and scaling.</w:t>
      </w:r>
    </w:p>
    <w:p w14:paraId="36EFE140" w14:textId="2E1BF430" w:rsidR="00FF1233" w:rsidRPr="008B13A5" w:rsidRDefault="00FF1233" w:rsidP="00FF1233">
      <w:pPr>
        <w:pStyle w:val="NormalWeb"/>
        <w:jc w:val="both"/>
        <w:rPr>
          <w:noProof/>
        </w:rPr>
      </w:pPr>
      <w:r w:rsidRPr="008B13A5">
        <w:rPr>
          <w:rStyle w:val="Strong"/>
          <w:noProof/>
        </w:rPr>
        <w:t>Upstream suppliers</w:t>
      </w:r>
      <w:r w:rsidRPr="008B13A5">
        <w:rPr>
          <w:noProof/>
        </w:rPr>
        <w:t>, including equipment manufacturers, materials providers and speciality chemical firms, benefit from increased demand associated with new Strategic Projects and deeper integration across the European value chain. Predictable investment flows reduce uncertainty and encourage further expansion of upstream capacity within the Union.</w:t>
      </w:r>
    </w:p>
    <w:p w14:paraId="5A1A9276" w14:textId="07A08FBA" w:rsidR="00B04DEB" w:rsidRPr="008B13A5" w:rsidRDefault="00FF1233" w:rsidP="00365F51">
      <w:pPr>
        <w:pStyle w:val="NormalWeb"/>
        <w:jc w:val="both"/>
        <w:rPr>
          <w:noProof/>
        </w:rPr>
      </w:pPr>
      <w:r w:rsidRPr="008B13A5">
        <w:rPr>
          <w:rStyle w:val="Strong"/>
          <w:noProof/>
        </w:rPr>
        <w:t>Downstream user industries such as</w:t>
      </w:r>
      <w:r w:rsidRPr="008B13A5">
        <w:rPr>
          <w:noProof/>
        </w:rPr>
        <w:t xml:space="preserve"> automotive, industrial equipment, telecommunications, cloud/AI infrastructure and defence gain from improved supply stability and resilience. Reduced exposure to global semiconductor disruptions strengthens the competitiveness of these sectors, which were heavily affected during past shortages. The availability of advanced and sovereign semiconductor capacity supports technological upgrading and adoption of AI-enabled systems.</w:t>
      </w:r>
    </w:p>
    <w:p w14:paraId="1BA208E0" w14:textId="3969CCE2" w:rsidR="00C22AB4" w:rsidRPr="008B13A5" w:rsidRDefault="00B04DEB" w:rsidP="00BD008E">
      <w:pPr>
        <w:spacing w:after="200" w:line="276" w:lineRule="auto"/>
        <w:jc w:val="left"/>
        <w:rPr>
          <w:noProof/>
        </w:rPr>
      </w:pPr>
      <w:r w:rsidRPr="008B13A5">
        <w:rPr>
          <w:noProof/>
        </w:rPr>
        <w:br w:type="page"/>
      </w:r>
    </w:p>
    <w:p w14:paraId="29155E0F" w14:textId="0AFF059E" w:rsidR="00D82C22" w:rsidRPr="008B13A5" w:rsidRDefault="00380909" w:rsidP="00D60B5F">
      <w:pPr>
        <w:pStyle w:val="AnnexTitle0"/>
        <w:rPr>
          <w:noProof/>
        </w:rPr>
      </w:pPr>
      <w:bookmarkStart w:id="383" w:name="_Toc230010485"/>
      <w:bookmarkStart w:id="384" w:name="_Toc195101115"/>
      <w:r w:rsidRPr="008B13A5">
        <w:rPr>
          <w:noProof/>
        </w:rPr>
        <w:t xml:space="preserve">Annex 6: </w:t>
      </w:r>
      <w:r w:rsidR="00D60B5F" w:rsidRPr="008B13A5">
        <w:rPr>
          <w:noProof/>
        </w:rPr>
        <w:t xml:space="preserve">Overview of impacts on </w:t>
      </w:r>
      <w:r w:rsidRPr="008B13A5">
        <w:rPr>
          <w:noProof/>
        </w:rPr>
        <w:t>SME</w:t>
      </w:r>
      <w:r w:rsidR="007D05A8" w:rsidRPr="008B13A5">
        <w:rPr>
          <w:noProof/>
        </w:rPr>
        <w:t>s</w:t>
      </w:r>
      <w:bookmarkEnd w:id="383"/>
      <w:r w:rsidRPr="008B13A5">
        <w:rPr>
          <w:noProof/>
        </w:rPr>
        <w:t xml:space="preserve"> </w:t>
      </w:r>
      <w:bookmarkEnd w:id="384"/>
    </w:p>
    <w:tbl>
      <w:tblPr>
        <w:tblStyle w:val="TableGrid"/>
        <w:tblW w:w="0" w:type="auto"/>
        <w:tblInd w:w="-34" w:type="dxa"/>
        <w:tblCellMar>
          <w:left w:w="0" w:type="dxa"/>
          <w:right w:w="0" w:type="dxa"/>
        </w:tblCellMar>
        <w:tblLook w:val="04A0" w:firstRow="1" w:lastRow="0" w:firstColumn="1" w:lastColumn="0" w:noHBand="0" w:noVBand="1"/>
      </w:tblPr>
      <w:tblGrid>
        <w:gridCol w:w="9114"/>
      </w:tblGrid>
      <w:tr w:rsidR="00D82C22" w:rsidRPr="008B13A5" w14:paraId="56F8513E" w14:textId="77777777">
        <w:tc>
          <w:tcPr>
            <w:tcW w:w="9322" w:type="dxa"/>
          </w:tcPr>
          <w:p w14:paraId="33C63BFE" w14:textId="1DC6BECE" w:rsidR="00D82C22" w:rsidRPr="00BD008E" w:rsidRDefault="00D82C22">
            <w:pPr>
              <w:pStyle w:val="ListParagraph"/>
              <w:ind w:left="0"/>
              <w:rPr>
                <w:b/>
                <w:noProof/>
                <w:color w:val="000000" w:themeColor="text1"/>
              </w:rPr>
            </w:pPr>
            <w:r w:rsidRPr="00BD008E">
              <w:rPr>
                <w:b/>
                <w:noProof/>
                <w:color w:val="000000" w:themeColor="text1"/>
              </w:rPr>
              <w:t xml:space="preserve">Relevance for SMEs </w:t>
            </w:r>
          </w:p>
        </w:tc>
      </w:tr>
      <w:tr w:rsidR="00D82C22" w:rsidRPr="008B13A5" w14:paraId="4B5E7F20" w14:textId="77777777">
        <w:tc>
          <w:tcPr>
            <w:tcW w:w="9322" w:type="dxa"/>
          </w:tcPr>
          <w:p w14:paraId="0F51ACCA" w14:textId="32A91395" w:rsidR="00D82C22" w:rsidRPr="00BD008E" w:rsidRDefault="00D82C22">
            <w:pPr>
              <w:pStyle w:val="ListParagraph"/>
              <w:ind w:left="0"/>
              <w:rPr>
                <w:noProof/>
                <w:color w:val="000000" w:themeColor="text1"/>
              </w:rPr>
            </w:pPr>
            <w:r w:rsidRPr="00BD008E">
              <w:rPr>
                <w:noProof/>
                <w:color w:val="000000" w:themeColor="text1"/>
              </w:rPr>
              <w:t xml:space="preserve">Based on </w:t>
            </w:r>
            <w:r w:rsidR="00125D63" w:rsidRPr="00BD008E">
              <w:rPr>
                <w:noProof/>
                <w:color w:val="000000" w:themeColor="text1"/>
              </w:rPr>
              <w:t xml:space="preserve">the </w:t>
            </w:r>
            <w:r w:rsidRPr="00BD008E">
              <w:rPr>
                <w:noProof/>
                <w:color w:val="000000" w:themeColor="text1"/>
              </w:rPr>
              <w:t>SME filter and the ISG discussion, this initiative is relevant/highly relevant for SMEs</w:t>
            </w:r>
            <w:r w:rsidRPr="00BD008E">
              <w:rPr>
                <w:rStyle w:val="FootnoteReference"/>
                <w:noProof/>
                <w:color w:val="000000" w:themeColor="text1"/>
              </w:rPr>
              <w:footnoteReference w:id="405"/>
            </w:r>
            <w:r w:rsidRPr="00BD008E">
              <w:rPr>
                <w:noProof/>
                <w:color w:val="000000" w:themeColor="text1"/>
              </w:rPr>
              <w:t xml:space="preserve">  </w:t>
            </w:r>
          </w:p>
        </w:tc>
      </w:tr>
    </w:tbl>
    <w:p w14:paraId="033FBBE1" w14:textId="77777777" w:rsidR="00D82C22" w:rsidRPr="008B13A5" w:rsidRDefault="00D82C22" w:rsidP="00D82C22">
      <w:pPr>
        <w:rPr>
          <w:b/>
          <w:bCs/>
          <w:smallCaps/>
          <w:noProof/>
          <w:color w:val="000000" w:themeColor="text1"/>
          <w:szCs w:val="22"/>
        </w:rPr>
      </w:pPr>
    </w:p>
    <w:tbl>
      <w:tblPr>
        <w:tblStyle w:val="GridTable1Light-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D82C22" w:rsidRPr="008B13A5" w14:paraId="7F7C4FA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22" w:type="dxa"/>
          </w:tcPr>
          <w:p w14:paraId="3F1764A1" w14:textId="5907F594" w:rsidR="00D82C22" w:rsidRPr="008B13A5" w:rsidRDefault="00D82C22">
            <w:pPr>
              <w:pStyle w:val="ListParagraph"/>
              <w:ind w:left="0"/>
              <w:rPr>
                <w:bCs w:val="0"/>
                <w:noProof/>
                <w:color w:val="000000" w:themeColor="text1"/>
              </w:rPr>
            </w:pPr>
            <w:r w:rsidRPr="008B13A5">
              <w:rPr>
                <w:bCs w:val="0"/>
                <w:noProof/>
                <w:color w:val="000000" w:themeColor="text1"/>
              </w:rPr>
              <w:t>(1)</w:t>
            </w:r>
            <w:r w:rsidRPr="008B13A5">
              <w:rPr>
                <w:bCs w:val="0"/>
                <w:noProof/>
              </w:rPr>
              <w:tab/>
            </w:r>
            <w:r w:rsidRPr="008B13A5">
              <w:rPr>
                <w:bCs w:val="0"/>
                <w:smallCaps/>
                <w:noProof/>
                <w:color w:val="000000" w:themeColor="text1"/>
              </w:rPr>
              <w:t>Identification of affected businesses and assessment of relevance</w:t>
            </w:r>
          </w:p>
        </w:tc>
      </w:tr>
      <w:tr w:rsidR="00D82C22" w:rsidRPr="008B13A5" w14:paraId="0D53FB3C" w14:textId="77777777">
        <w:tc>
          <w:tcPr>
            <w:cnfStyle w:val="001000000000" w:firstRow="0" w:lastRow="0" w:firstColumn="1" w:lastColumn="0" w:oddVBand="0" w:evenVBand="0" w:oddHBand="0" w:evenHBand="0" w:firstRowFirstColumn="0" w:firstRowLastColumn="0" w:lastRowFirstColumn="0" w:lastRowLastColumn="0"/>
            <w:tcW w:w="9322" w:type="dxa"/>
          </w:tcPr>
          <w:p w14:paraId="5F0992DC" w14:textId="0B7BBF0D" w:rsidR="00D82C22" w:rsidRPr="00BD008E" w:rsidRDefault="00D82C22">
            <w:pPr>
              <w:pStyle w:val="ListParagraph"/>
              <w:ind w:left="0"/>
              <w:rPr>
                <w:noProof/>
                <w:color w:val="000000" w:themeColor="text1"/>
              </w:rPr>
            </w:pPr>
            <w:r w:rsidRPr="008B13A5">
              <w:rPr>
                <w:noProof/>
                <w:color w:val="000000" w:themeColor="text1"/>
              </w:rPr>
              <w:t>Are SMEs directly affected?</w:t>
            </w:r>
            <w:r w:rsidRPr="008B13A5">
              <w:rPr>
                <w:bCs w:val="0"/>
                <w:noProof/>
                <w:color w:val="000000" w:themeColor="text1"/>
              </w:rPr>
              <w:t xml:space="preserve"> </w:t>
            </w:r>
          </w:p>
        </w:tc>
      </w:tr>
      <w:tr w:rsidR="00D82C22" w:rsidRPr="008B13A5" w14:paraId="0D6B6506" w14:textId="77777777">
        <w:tc>
          <w:tcPr>
            <w:cnfStyle w:val="001000000000" w:firstRow="0" w:lastRow="0" w:firstColumn="1" w:lastColumn="0" w:oddVBand="0" w:evenVBand="0" w:oddHBand="0" w:evenHBand="0" w:firstRowFirstColumn="0" w:firstRowLastColumn="0" w:lastRowFirstColumn="0" w:lastRowLastColumn="0"/>
            <w:tcW w:w="9322" w:type="dxa"/>
          </w:tcPr>
          <w:p w14:paraId="69D9E331" w14:textId="2D71A957" w:rsidR="00D82C22" w:rsidRPr="008B13A5" w:rsidRDefault="00D82C22">
            <w:pPr>
              <w:pStyle w:val="ListParagraph"/>
              <w:ind w:left="0"/>
              <w:rPr>
                <w:b w:val="0"/>
                <w:bCs w:val="0"/>
                <w:noProof/>
              </w:rPr>
            </w:pPr>
            <w:r w:rsidRPr="008B13A5">
              <w:rPr>
                <w:b w:val="0"/>
                <w:bCs w:val="0"/>
                <w:noProof/>
              </w:rPr>
              <w:t xml:space="preserve">The semiconductor value chain in Europe is characterised by a high concentration of small and medium-sized enterprises, particularly in design, specialised manufacturing services and upstream supply segments. Policy Option 2 introduces measures such as Strategic Projects, the broadened scope of </w:t>
            </w:r>
            <w:r w:rsidR="001F6493" w:rsidRPr="008B13A5">
              <w:rPr>
                <w:b w:val="0"/>
                <w:bCs w:val="0"/>
                <w:noProof/>
              </w:rPr>
              <w:t>F</w:t>
            </w:r>
            <w:r w:rsidRPr="008B13A5">
              <w:rPr>
                <w:b w:val="0"/>
                <w:bCs w:val="0"/>
                <w:noProof/>
              </w:rPr>
              <w:t>irst-of-a-</w:t>
            </w:r>
            <w:r w:rsidR="001F6493" w:rsidRPr="008B13A5">
              <w:rPr>
                <w:b w:val="0"/>
                <w:bCs w:val="0"/>
                <w:noProof/>
              </w:rPr>
              <w:t>K</w:t>
            </w:r>
            <w:r w:rsidRPr="008B13A5">
              <w:rPr>
                <w:b w:val="0"/>
                <w:bCs w:val="0"/>
                <w:noProof/>
              </w:rPr>
              <w:t xml:space="preserve">ind support, and innovation procurement that directly involve these SMEs as project </w:t>
            </w:r>
            <w:r w:rsidR="00625742" w:rsidRPr="008B13A5">
              <w:rPr>
                <w:b w:val="0"/>
                <w:bCs w:val="0"/>
                <w:noProof/>
              </w:rPr>
              <w:t>beneficiaries</w:t>
            </w:r>
            <w:r w:rsidRPr="008B13A5">
              <w:rPr>
                <w:b w:val="0"/>
                <w:bCs w:val="0"/>
                <w:noProof/>
              </w:rPr>
              <w:t xml:space="preserve">, suppliers, or </w:t>
            </w:r>
            <w:r w:rsidR="00625742" w:rsidRPr="008B13A5">
              <w:rPr>
                <w:b w:val="0"/>
                <w:bCs w:val="0"/>
                <w:noProof/>
              </w:rPr>
              <w:t>suppliers for the</w:t>
            </w:r>
            <w:r w:rsidRPr="008B13A5">
              <w:rPr>
                <w:b w:val="0"/>
                <w:bCs w:val="0"/>
                <w:noProof/>
              </w:rPr>
              <w:t xml:space="preserve"> increased demand for advanced semiconductor technologies.</w:t>
            </w:r>
          </w:p>
          <w:p w14:paraId="66EDCA0E" w14:textId="6F1B9A7B" w:rsidR="00D82C22" w:rsidRPr="008B13A5" w:rsidRDefault="00D82C22">
            <w:pPr>
              <w:rPr>
                <w:b w:val="0"/>
                <w:bCs w:val="0"/>
                <w:noProof/>
              </w:rPr>
            </w:pPr>
            <w:r w:rsidRPr="008B13A5">
              <w:rPr>
                <w:b w:val="0"/>
                <w:bCs w:val="0"/>
                <w:noProof/>
              </w:rPr>
              <w:t>Directly affected SMEs operate primarily in the following sectors:</w:t>
            </w:r>
          </w:p>
          <w:p w14:paraId="4B6D7392" w14:textId="00DDC5C8" w:rsidR="00D82C22" w:rsidRPr="008B13A5" w:rsidRDefault="00D82C22" w:rsidP="00F47256">
            <w:pPr>
              <w:pStyle w:val="ListParagraph"/>
              <w:numPr>
                <w:ilvl w:val="0"/>
                <w:numId w:val="64"/>
              </w:numPr>
              <w:rPr>
                <w:b w:val="0"/>
                <w:bCs w:val="0"/>
                <w:noProof/>
              </w:rPr>
            </w:pPr>
            <w:r w:rsidRPr="008B13A5">
              <w:rPr>
                <w:b w:val="0"/>
                <w:bCs w:val="0"/>
                <w:noProof/>
              </w:rPr>
              <w:t>Semiconductor design and IP services, including fabless design houses, which in Europe consist almost entirely of SMEs and are explicitly targeted through Strategic Projects and innovation procurement.</w:t>
            </w:r>
          </w:p>
          <w:p w14:paraId="40F784E0" w14:textId="7C7A41EC" w:rsidR="00D82C22" w:rsidRPr="008B13A5" w:rsidRDefault="00D82C22" w:rsidP="00F47256">
            <w:pPr>
              <w:pStyle w:val="ListParagraph"/>
              <w:numPr>
                <w:ilvl w:val="0"/>
                <w:numId w:val="64"/>
              </w:numPr>
              <w:rPr>
                <w:b w:val="0"/>
                <w:bCs w:val="0"/>
                <w:noProof/>
              </w:rPr>
            </w:pPr>
            <w:r w:rsidRPr="008B13A5">
              <w:rPr>
                <w:b w:val="0"/>
                <w:bCs w:val="0"/>
                <w:noProof/>
              </w:rPr>
              <w:t>Specialised semiconductor supply-chain segments, such as equipment suppliers, advanced materials and chemicals producers, and niche tool manufacturers, which provide critical inputs to</w:t>
            </w:r>
            <w:r w:rsidR="00CB7BBA" w:rsidRPr="008B13A5">
              <w:rPr>
                <w:b w:val="0"/>
                <w:bCs w:val="0"/>
                <w:noProof/>
              </w:rPr>
              <w:t xml:space="preserve"> potential</w:t>
            </w:r>
            <w:r w:rsidRPr="008B13A5">
              <w:rPr>
                <w:b w:val="0"/>
                <w:bCs w:val="0"/>
                <w:noProof/>
              </w:rPr>
              <w:t xml:space="preserve"> Strategic Projects and benefit from value-chain strengthening measures.</w:t>
            </w:r>
          </w:p>
          <w:p w14:paraId="72B1613C" w14:textId="793FFA56" w:rsidR="00D82C22" w:rsidRPr="008B13A5" w:rsidRDefault="00D82C22" w:rsidP="00F47256">
            <w:pPr>
              <w:pStyle w:val="ListParagraph"/>
              <w:numPr>
                <w:ilvl w:val="0"/>
                <w:numId w:val="64"/>
              </w:numPr>
              <w:rPr>
                <w:b w:val="0"/>
                <w:bCs w:val="0"/>
                <w:noProof/>
              </w:rPr>
            </w:pPr>
            <w:r w:rsidRPr="008B13A5">
              <w:rPr>
                <w:b w:val="0"/>
                <w:bCs w:val="0"/>
                <w:noProof/>
              </w:rPr>
              <w:t xml:space="preserve">Advanced packaging, testing and related specialised manufacturing services, where many actors are SMEs supplying low-volume or high-reliability solutions that are </w:t>
            </w:r>
            <w:r w:rsidR="00CB7BBA" w:rsidRPr="008B13A5">
              <w:rPr>
                <w:b w:val="0"/>
                <w:bCs w:val="0"/>
                <w:noProof/>
              </w:rPr>
              <w:t>with scope of</w:t>
            </w:r>
            <w:r w:rsidRPr="008B13A5">
              <w:rPr>
                <w:b w:val="0"/>
                <w:bCs w:val="0"/>
                <w:noProof/>
              </w:rPr>
              <w:t xml:space="preserve"> Strategic Projects.</w:t>
            </w:r>
          </w:p>
          <w:p w14:paraId="19EC2F2A" w14:textId="448C9D0F" w:rsidR="00D82C22" w:rsidRPr="008B13A5" w:rsidRDefault="00D82C22" w:rsidP="00F47256">
            <w:pPr>
              <w:pStyle w:val="ListParagraph"/>
              <w:numPr>
                <w:ilvl w:val="0"/>
                <w:numId w:val="64"/>
              </w:numPr>
              <w:rPr>
                <w:noProof/>
                <w:color w:val="000000" w:themeColor="text1"/>
              </w:rPr>
            </w:pPr>
            <w:r w:rsidRPr="008B13A5">
              <w:rPr>
                <w:b w:val="0"/>
                <w:bCs w:val="0"/>
                <w:noProof/>
              </w:rPr>
              <w:t>Semiconductor R&amp;D service providers and pilot-line operators, including SMEs offering prototyping, design enablement and verification services linked to the deployment of Chips Act pilot lines.</w:t>
            </w:r>
          </w:p>
          <w:p w14:paraId="14DA152F" w14:textId="03546267" w:rsidR="00D82C22" w:rsidRPr="008B13A5" w:rsidRDefault="00D82C22">
            <w:pPr>
              <w:rPr>
                <w:noProof/>
                <w:color w:val="000000" w:themeColor="text1"/>
              </w:rPr>
            </w:pPr>
            <w:r w:rsidRPr="008B13A5">
              <w:rPr>
                <w:b w:val="0"/>
                <w:bCs w:val="0"/>
                <w:noProof/>
                <w:color w:val="000000" w:themeColor="text1"/>
              </w:rPr>
              <w:t>SMEs in these segments are therefore directly within scope of the preferred option, either as beneficiaries of new market opportunities or as participants in supported projects.</w:t>
            </w:r>
          </w:p>
        </w:tc>
      </w:tr>
      <w:tr w:rsidR="00D82C22" w:rsidRPr="008B13A5" w14:paraId="21F4DD9A" w14:textId="77777777">
        <w:tc>
          <w:tcPr>
            <w:cnfStyle w:val="001000000000" w:firstRow="0" w:lastRow="0" w:firstColumn="1" w:lastColumn="0" w:oddVBand="0" w:evenVBand="0" w:oddHBand="0" w:evenHBand="0" w:firstRowFirstColumn="0" w:firstRowLastColumn="0" w:lastRowFirstColumn="0" w:lastRowLastColumn="0"/>
            <w:tcW w:w="9322" w:type="dxa"/>
          </w:tcPr>
          <w:p w14:paraId="6C0F4C74" w14:textId="6CD85683" w:rsidR="00D82C22" w:rsidRPr="00BD008E" w:rsidRDefault="00D82C22">
            <w:pPr>
              <w:pStyle w:val="ListParagraph"/>
              <w:ind w:left="0"/>
              <w:contextualSpacing w:val="0"/>
              <w:rPr>
                <w:noProof/>
                <w:color w:val="000000" w:themeColor="text1"/>
              </w:rPr>
            </w:pPr>
            <w:r w:rsidRPr="008B13A5">
              <w:rPr>
                <w:noProof/>
                <w:color w:val="000000" w:themeColor="text1"/>
              </w:rPr>
              <w:t>Estimated number of directly affected SMEs</w:t>
            </w:r>
          </w:p>
        </w:tc>
      </w:tr>
      <w:tr w:rsidR="00D82C22" w:rsidRPr="008B13A5" w14:paraId="647ADE7D" w14:textId="77777777">
        <w:tc>
          <w:tcPr>
            <w:cnfStyle w:val="001000000000" w:firstRow="0" w:lastRow="0" w:firstColumn="1" w:lastColumn="0" w:oddVBand="0" w:evenVBand="0" w:oddHBand="0" w:evenHBand="0" w:firstRowFirstColumn="0" w:firstRowLastColumn="0" w:lastRowFirstColumn="0" w:lastRowLastColumn="0"/>
            <w:tcW w:w="9322" w:type="dxa"/>
          </w:tcPr>
          <w:p w14:paraId="49E6204E" w14:textId="26739BF9" w:rsidR="00D82C22" w:rsidRPr="008B13A5" w:rsidRDefault="00D82C22">
            <w:pPr>
              <w:rPr>
                <w:b w:val="0"/>
                <w:bCs w:val="0"/>
                <w:noProof/>
              </w:rPr>
            </w:pPr>
            <w:r w:rsidRPr="008B13A5">
              <w:rPr>
                <w:b w:val="0"/>
                <w:bCs w:val="0"/>
                <w:noProof/>
              </w:rPr>
              <w:t xml:space="preserve">Based on the quantitative mapping of firms across the European semiconductor value chain, the initiative is expected to directly affect a substantial share of the 1,481 companies identified in the ecosystem. As shown in the sector distribution (Chemicals and gases; materials; equipment; wafers; EDA; fabless; IDM; manufacturing; OSAT; PCB; services; end users), SMEs constitute approximately 69% of all firms active in </w:t>
            </w:r>
            <w:r w:rsidR="00FC61EB" w:rsidRPr="008B13A5">
              <w:rPr>
                <w:b w:val="0"/>
                <w:bCs w:val="0"/>
                <w:noProof/>
              </w:rPr>
              <w:t>the European semiconductor value-chain</w:t>
            </w:r>
            <w:r w:rsidR="00F274DD" w:rsidRPr="008B13A5">
              <w:rPr>
                <w:b w:val="0"/>
                <w:bCs w:val="0"/>
                <w:noProof/>
              </w:rPr>
              <w:t xml:space="preserve"> </w:t>
            </w:r>
            <w:r w:rsidRPr="008B13A5">
              <w:rPr>
                <w:b w:val="0"/>
                <w:bCs w:val="0"/>
                <w:noProof/>
              </w:rPr>
              <w:t>(</w:t>
            </w:r>
            <w:r w:rsidRPr="008B13A5">
              <w:rPr>
                <w:rStyle w:val="FootnoteReference"/>
                <w:b w:val="0"/>
                <w:bCs w:val="0"/>
                <w:noProof/>
              </w:rPr>
              <w:footnoteReference w:id="406"/>
            </w:r>
            <w:r w:rsidRPr="008B13A5">
              <w:rPr>
                <w:b w:val="0"/>
                <w:bCs w:val="0"/>
                <w:noProof/>
              </w:rPr>
              <w:t>).</w:t>
            </w:r>
          </w:p>
          <w:p w14:paraId="1C72357E" w14:textId="779D3395" w:rsidR="00D82C22" w:rsidRPr="008B13A5" w:rsidRDefault="00D82C22">
            <w:pPr>
              <w:rPr>
                <w:b w:val="0"/>
                <w:bCs w:val="0"/>
                <w:noProof/>
              </w:rPr>
            </w:pPr>
            <w:r w:rsidRPr="008B13A5">
              <w:rPr>
                <w:b w:val="0"/>
                <w:bCs w:val="0"/>
                <w:noProof/>
              </w:rPr>
              <w:t>This corresponds to around 1,020 directly affected SMEs across the Union.</w:t>
            </w:r>
          </w:p>
        </w:tc>
      </w:tr>
      <w:tr w:rsidR="00D82C22" w:rsidRPr="008B13A5" w14:paraId="66758518" w14:textId="77777777">
        <w:tc>
          <w:tcPr>
            <w:cnfStyle w:val="001000000000" w:firstRow="0" w:lastRow="0" w:firstColumn="1" w:lastColumn="0" w:oddVBand="0" w:evenVBand="0" w:oddHBand="0" w:evenHBand="0" w:firstRowFirstColumn="0" w:firstRowLastColumn="0" w:lastRowFirstColumn="0" w:lastRowLastColumn="0"/>
            <w:tcW w:w="9322" w:type="dxa"/>
          </w:tcPr>
          <w:p w14:paraId="58B658B2" w14:textId="3058C339" w:rsidR="00D82C22" w:rsidRPr="00BD008E" w:rsidRDefault="00D82C22">
            <w:pPr>
              <w:pStyle w:val="ListParagraph"/>
              <w:ind w:left="0"/>
              <w:contextualSpacing w:val="0"/>
              <w:rPr>
                <w:noProof/>
                <w:color w:val="000000" w:themeColor="text1"/>
              </w:rPr>
            </w:pPr>
            <w:r w:rsidRPr="008B13A5">
              <w:rPr>
                <w:noProof/>
                <w:color w:val="000000" w:themeColor="text1"/>
              </w:rPr>
              <w:t>Estimated number of employees in directly affected SMEs</w:t>
            </w:r>
          </w:p>
        </w:tc>
      </w:tr>
      <w:tr w:rsidR="00D82C22" w:rsidRPr="008B13A5" w14:paraId="5C115BA5" w14:textId="77777777">
        <w:tc>
          <w:tcPr>
            <w:cnfStyle w:val="001000000000" w:firstRow="0" w:lastRow="0" w:firstColumn="1" w:lastColumn="0" w:oddVBand="0" w:evenVBand="0" w:oddHBand="0" w:evenHBand="0" w:firstRowFirstColumn="0" w:firstRowLastColumn="0" w:lastRowFirstColumn="0" w:lastRowLastColumn="0"/>
            <w:tcW w:w="9322" w:type="dxa"/>
          </w:tcPr>
          <w:p w14:paraId="457FE128" w14:textId="3C335422" w:rsidR="00D82C22" w:rsidRPr="008B13A5" w:rsidRDefault="00D82C22">
            <w:pPr>
              <w:pStyle w:val="NormalWeb"/>
              <w:jc w:val="both"/>
              <w:rPr>
                <w:b w:val="0"/>
                <w:bCs w:val="0"/>
                <w:noProof/>
              </w:rPr>
            </w:pPr>
            <w:r w:rsidRPr="008B13A5">
              <w:rPr>
                <w:b w:val="0"/>
                <w:bCs w:val="0"/>
                <w:noProof/>
              </w:rPr>
              <w:t xml:space="preserve">Using the mapping of </w:t>
            </w:r>
            <w:r w:rsidRPr="008B13A5">
              <w:rPr>
                <w:rStyle w:val="Strong"/>
                <w:noProof/>
              </w:rPr>
              <w:t>1,481 companies</w:t>
            </w:r>
            <w:r w:rsidRPr="008B13A5">
              <w:rPr>
                <w:b w:val="0"/>
                <w:bCs w:val="0"/>
                <w:noProof/>
              </w:rPr>
              <w:t xml:space="preserve"> across semiconductor-relevant value-chain segments, of which </w:t>
            </w:r>
            <w:r w:rsidRPr="008B13A5">
              <w:rPr>
                <w:rStyle w:val="Strong"/>
                <w:noProof/>
              </w:rPr>
              <w:t xml:space="preserve">approximately 1,020 are SMEs (69%), </w:t>
            </w:r>
            <w:r w:rsidRPr="008B13A5">
              <w:rPr>
                <w:b w:val="0"/>
                <w:bCs w:val="0"/>
                <w:noProof/>
              </w:rPr>
              <w:t xml:space="preserve">it is possible to estimate the number of employees in SMEs directly affected by the preferred option (Policy Option </w:t>
            </w:r>
            <w:r w:rsidR="00F53220" w:rsidRPr="008B13A5">
              <w:rPr>
                <w:b w:val="0"/>
                <w:bCs w:val="0"/>
                <w:noProof/>
              </w:rPr>
              <w:t>2</w:t>
            </w:r>
            <w:r w:rsidRPr="008B13A5">
              <w:rPr>
                <w:b w:val="0"/>
                <w:bCs w:val="0"/>
                <w:noProof/>
              </w:rPr>
              <w:t>).</w:t>
            </w:r>
          </w:p>
          <w:p w14:paraId="55ED8389" w14:textId="24F2BEBA" w:rsidR="00D82C22" w:rsidRPr="008B13A5" w:rsidRDefault="00D82C22">
            <w:pPr>
              <w:pStyle w:val="NormalWeb"/>
              <w:jc w:val="both"/>
              <w:rPr>
                <w:b w:val="0"/>
                <w:bCs w:val="0"/>
                <w:noProof/>
              </w:rPr>
            </w:pPr>
            <w:r w:rsidRPr="008B13A5">
              <w:rPr>
                <w:b w:val="0"/>
                <w:bCs w:val="0"/>
                <w:noProof/>
              </w:rPr>
              <w:t>While official, segment-specific SME employment statistics are not available at EU level, we assume that</w:t>
            </w:r>
            <w:r w:rsidR="00A43594" w:rsidRPr="008B13A5">
              <w:rPr>
                <w:b w:val="0"/>
                <w:bCs w:val="0"/>
                <w:noProof/>
              </w:rPr>
              <w:t xml:space="preserve"> the</w:t>
            </w:r>
            <w:r w:rsidRPr="008B13A5">
              <w:rPr>
                <w:b w:val="0"/>
                <w:bCs w:val="0"/>
                <w:noProof/>
              </w:rPr>
              <w:t xml:space="preserve"> average numbers of employees working in European SMEs are the following:</w:t>
            </w:r>
          </w:p>
          <w:p w14:paraId="13DC0DF7" w14:textId="1406A2BA" w:rsidR="00D82C22" w:rsidRPr="008B13A5" w:rsidRDefault="004859D6" w:rsidP="004859D6">
            <w:pPr>
              <w:pStyle w:val="NormalWeb"/>
              <w:numPr>
                <w:ilvl w:val="0"/>
                <w:numId w:val="65"/>
              </w:numPr>
              <w:ind w:left="714" w:hanging="357"/>
              <w:contextualSpacing/>
              <w:jc w:val="both"/>
              <w:rPr>
                <w:b w:val="0"/>
                <w:bCs w:val="0"/>
                <w:noProof/>
              </w:rPr>
            </w:pPr>
            <w:r w:rsidRPr="008B13A5">
              <w:rPr>
                <w:rStyle w:val="Strong"/>
                <w:noProof/>
              </w:rPr>
              <w:t>15–30 employees</w:t>
            </w:r>
            <w:r w:rsidRPr="008B13A5" w:rsidDel="00A43594">
              <w:rPr>
                <w:b w:val="0"/>
                <w:bCs w:val="0"/>
                <w:noProof/>
              </w:rPr>
              <w:t xml:space="preserve"> </w:t>
            </w:r>
            <w:r w:rsidRPr="008B13A5">
              <w:rPr>
                <w:b w:val="0"/>
                <w:bCs w:val="0"/>
                <w:noProof/>
              </w:rPr>
              <w:t>in s</w:t>
            </w:r>
            <w:r w:rsidR="00A43594" w:rsidRPr="008B13A5">
              <w:rPr>
                <w:b w:val="0"/>
                <w:bCs w:val="0"/>
                <w:noProof/>
              </w:rPr>
              <w:t xml:space="preserve">pecialised materials </w:t>
            </w:r>
            <w:r w:rsidR="00D82C22" w:rsidRPr="008B13A5">
              <w:rPr>
                <w:b w:val="0"/>
                <w:bCs w:val="0"/>
                <w:noProof/>
              </w:rPr>
              <w:t>SMEs</w:t>
            </w:r>
            <w:r w:rsidR="00A43594" w:rsidRPr="008B13A5">
              <w:rPr>
                <w:noProof/>
              </w:rPr>
              <w:t>;</w:t>
            </w:r>
          </w:p>
          <w:p w14:paraId="7C10857C" w14:textId="33F1BB35" w:rsidR="00D82C22" w:rsidRPr="008B13A5" w:rsidRDefault="00D82C22" w:rsidP="00F47256">
            <w:pPr>
              <w:pStyle w:val="NormalWeb"/>
              <w:numPr>
                <w:ilvl w:val="0"/>
                <w:numId w:val="65"/>
              </w:numPr>
              <w:ind w:left="714" w:hanging="357"/>
              <w:contextualSpacing/>
              <w:jc w:val="both"/>
              <w:rPr>
                <w:b w:val="0"/>
                <w:bCs w:val="0"/>
                <w:noProof/>
              </w:rPr>
            </w:pPr>
            <w:r w:rsidRPr="008B13A5">
              <w:rPr>
                <w:rStyle w:val="Strong"/>
                <w:noProof/>
              </w:rPr>
              <w:t>30–80 employees</w:t>
            </w:r>
            <w:r w:rsidRPr="008B13A5">
              <w:rPr>
                <w:b w:val="0"/>
                <w:bCs w:val="0"/>
                <w:noProof/>
              </w:rPr>
              <w:t xml:space="preserve"> in fabless design and EDA SMEs;</w:t>
            </w:r>
          </w:p>
          <w:p w14:paraId="20DDCE33" w14:textId="5678CEEA" w:rsidR="00D82C22" w:rsidRPr="008B13A5" w:rsidRDefault="00D82C22" w:rsidP="00F47256">
            <w:pPr>
              <w:pStyle w:val="NormalWeb"/>
              <w:numPr>
                <w:ilvl w:val="0"/>
                <w:numId w:val="65"/>
              </w:numPr>
              <w:ind w:left="714" w:hanging="357"/>
              <w:contextualSpacing/>
              <w:jc w:val="both"/>
              <w:rPr>
                <w:b w:val="0"/>
                <w:bCs w:val="0"/>
                <w:noProof/>
              </w:rPr>
            </w:pPr>
            <w:r w:rsidRPr="008B13A5">
              <w:rPr>
                <w:rStyle w:val="Strong"/>
                <w:noProof/>
              </w:rPr>
              <w:t>50–120 employees</w:t>
            </w:r>
            <w:r w:rsidRPr="008B13A5">
              <w:rPr>
                <w:b w:val="0"/>
                <w:bCs w:val="0"/>
                <w:noProof/>
              </w:rPr>
              <w:t xml:space="preserve"> in equipment-supplier SMEs;</w:t>
            </w:r>
          </w:p>
          <w:p w14:paraId="783C4095" w14:textId="119A7CCD" w:rsidR="00D82C22" w:rsidRPr="008B13A5" w:rsidRDefault="00D82C22" w:rsidP="00F47256">
            <w:pPr>
              <w:pStyle w:val="NormalWeb"/>
              <w:numPr>
                <w:ilvl w:val="0"/>
                <w:numId w:val="65"/>
              </w:numPr>
              <w:ind w:left="714" w:hanging="357"/>
              <w:contextualSpacing/>
              <w:jc w:val="both"/>
              <w:rPr>
                <w:b w:val="0"/>
                <w:bCs w:val="0"/>
                <w:noProof/>
              </w:rPr>
            </w:pPr>
            <w:r w:rsidRPr="008B13A5">
              <w:rPr>
                <w:rStyle w:val="Strong"/>
                <w:noProof/>
              </w:rPr>
              <w:t>40–100 employees</w:t>
            </w:r>
            <w:r w:rsidRPr="008B13A5">
              <w:rPr>
                <w:b w:val="0"/>
                <w:bCs w:val="0"/>
                <w:noProof/>
              </w:rPr>
              <w:t xml:space="preserve"> in packaging, testing, prototyping and manufacturing-service SMEs;</w:t>
            </w:r>
          </w:p>
          <w:p w14:paraId="3A868DF7" w14:textId="2326E0A6" w:rsidR="00D82C22" w:rsidRPr="00BD008E" w:rsidRDefault="00D82C22" w:rsidP="00F47256">
            <w:pPr>
              <w:pStyle w:val="NormalWeb"/>
              <w:numPr>
                <w:ilvl w:val="0"/>
                <w:numId w:val="65"/>
              </w:numPr>
              <w:ind w:left="714" w:hanging="357"/>
              <w:contextualSpacing/>
              <w:jc w:val="both"/>
              <w:rPr>
                <w:b w:val="0"/>
                <w:noProof/>
              </w:rPr>
            </w:pPr>
            <w:r w:rsidRPr="008B13A5">
              <w:rPr>
                <w:rStyle w:val="Strong"/>
                <w:noProof/>
              </w:rPr>
              <w:t>25–50 employees</w:t>
            </w:r>
            <w:r w:rsidRPr="008B13A5">
              <w:rPr>
                <w:b w:val="0"/>
                <w:bCs w:val="0"/>
                <w:noProof/>
              </w:rPr>
              <w:t xml:space="preserve"> in semiconductor-related service and support SMEs.</w:t>
            </w:r>
          </w:p>
          <w:p w14:paraId="0B5FDEEB" w14:textId="77777777" w:rsidR="004859D6" w:rsidRPr="008B13A5" w:rsidRDefault="004859D6" w:rsidP="00BD008E">
            <w:pPr>
              <w:pStyle w:val="NormalWeb"/>
              <w:contextualSpacing/>
              <w:jc w:val="both"/>
              <w:rPr>
                <w:b w:val="0"/>
                <w:bCs w:val="0"/>
                <w:noProof/>
              </w:rPr>
            </w:pPr>
          </w:p>
          <w:p w14:paraId="5700FDB1" w14:textId="3CFDF6AC" w:rsidR="00D82C22" w:rsidRPr="008B13A5" w:rsidRDefault="00D82C22">
            <w:pPr>
              <w:pStyle w:val="NormalWeb"/>
              <w:jc w:val="both"/>
              <w:rPr>
                <w:rFonts w:eastAsiaTheme="minorEastAsia"/>
                <w:i/>
                <w:iCs/>
                <w:noProof/>
                <w:color w:val="000000" w:themeColor="text1"/>
              </w:rPr>
            </w:pPr>
            <w:r w:rsidRPr="008B13A5">
              <w:rPr>
                <w:b w:val="0"/>
                <w:bCs w:val="0"/>
                <w:noProof/>
              </w:rPr>
              <w:t xml:space="preserve">Applying these conservative ranges to the SME distribution across segments results in an estimated </w:t>
            </w:r>
            <w:r w:rsidRPr="008B13A5">
              <w:rPr>
                <w:rStyle w:val="Strong"/>
                <w:noProof/>
              </w:rPr>
              <w:t>45,000–65,000 employees</w:t>
            </w:r>
            <w:r w:rsidRPr="008B13A5">
              <w:rPr>
                <w:b w:val="0"/>
                <w:bCs w:val="0"/>
                <w:noProof/>
              </w:rPr>
              <w:t xml:space="preserve"> working in SMEs directly and indirectly affected by the preferred option.</w:t>
            </w:r>
          </w:p>
        </w:tc>
      </w:tr>
    </w:tbl>
    <w:p w14:paraId="0035A93A" w14:textId="77777777" w:rsidR="00D82C22" w:rsidRPr="008B13A5" w:rsidRDefault="00D82C22" w:rsidP="00D82C22">
      <w:pPr>
        <w:pStyle w:val="ListParagraph"/>
        <w:spacing w:after="0"/>
        <w:ind w:left="357"/>
        <w:contextualSpacing w:val="0"/>
        <w:rPr>
          <w:b/>
          <w:noProof/>
          <w:color w:val="000000" w:themeColor="text1"/>
          <w:sz w:val="22"/>
          <w:szCs w:val="22"/>
        </w:rPr>
      </w:pPr>
    </w:p>
    <w:tbl>
      <w:tblPr>
        <w:tblStyle w:val="TableGrid"/>
        <w:tblW w:w="9322" w:type="dxa"/>
        <w:tblInd w:w="-34" w:type="dxa"/>
        <w:tblCellMar>
          <w:left w:w="0" w:type="dxa"/>
          <w:right w:w="0" w:type="dxa"/>
        </w:tblCellMar>
        <w:tblLook w:val="04A0" w:firstRow="1" w:lastRow="0" w:firstColumn="1" w:lastColumn="0" w:noHBand="0" w:noVBand="1"/>
      </w:tblPr>
      <w:tblGrid>
        <w:gridCol w:w="9322"/>
      </w:tblGrid>
      <w:tr w:rsidR="00D82C22" w:rsidRPr="008B13A5" w14:paraId="7F0D215D" w14:textId="77777777">
        <w:tc>
          <w:tcPr>
            <w:tcW w:w="9322" w:type="dxa"/>
          </w:tcPr>
          <w:p w14:paraId="25A9D2EA" w14:textId="6488877D" w:rsidR="00D82C22" w:rsidRPr="00BD008E" w:rsidRDefault="00D82C22" w:rsidP="00F47256">
            <w:pPr>
              <w:pStyle w:val="ListParagraph"/>
              <w:numPr>
                <w:ilvl w:val="0"/>
                <w:numId w:val="6"/>
              </w:numPr>
              <w:spacing w:after="0"/>
              <w:ind w:left="644"/>
              <w:rPr>
                <w:smallCaps/>
                <w:noProof/>
                <w:color w:val="000000" w:themeColor="text1"/>
              </w:rPr>
            </w:pPr>
            <w:r w:rsidRPr="00BD008E">
              <w:rPr>
                <w:b/>
                <w:smallCaps/>
                <w:noProof/>
                <w:color w:val="000000" w:themeColor="text1"/>
              </w:rPr>
              <w:t>Consultation of SME stakeholders</w:t>
            </w:r>
          </w:p>
        </w:tc>
      </w:tr>
      <w:tr w:rsidR="00D82C22" w:rsidRPr="008B13A5" w14:paraId="04C29C01" w14:textId="77777777">
        <w:tc>
          <w:tcPr>
            <w:tcW w:w="9322" w:type="dxa"/>
          </w:tcPr>
          <w:p w14:paraId="35C5EA84" w14:textId="26E812B9" w:rsidR="00D82C22" w:rsidRPr="008B13A5" w:rsidRDefault="00D82C22">
            <w:pPr>
              <w:rPr>
                <w:noProof/>
                <w:color w:val="000000" w:themeColor="text1"/>
                <w:szCs w:val="22"/>
              </w:rPr>
            </w:pPr>
            <w:r w:rsidRPr="008B13A5">
              <w:rPr>
                <w:b/>
                <w:noProof/>
                <w:color w:val="000000" w:themeColor="text1"/>
                <w:szCs w:val="22"/>
              </w:rPr>
              <w:t>How has the input from the SME community been taken into consideration?</w:t>
            </w:r>
          </w:p>
        </w:tc>
      </w:tr>
      <w:tr w:rsidR="00D82C22" w:rsidRPr="008B13A5" w14:paraId="3895020E" w14:textId="77777777">
        <w:tc>
          <w:tcPr>
            <w:tcW w:w="9322" w:type="dxa"/>
          </w:tcPr>
          <w:p w14:paraId="38E781DE" w14:textId="2F931E66" w:rsidR="00D82C22" w:rsidRPr="00BD008E" w:rsidRDefault="00D82C22">
            <w:pPr>
              <w:pStyle w:val="ListParagraph"/>
              <w:ind w:left="0"/>
              <w:contextualSpacing w:val="0"/>
              <w:rPr>
                <w:noProof/>
                <w:color w:val="000000" w:themeColor="text1"/>
              </w:rPr>
            </w:pPr>
            <w:r w:rsidRPr="00BD008E">
              <w:rPr>
                <w:noProof/>
                <w:color w:val="000000" w:themeColor="text1"/>
              </w:rPr>
              <w:t>Inputs were gathered through multiple channels, including an Open Public Consultation (OPC) (103 responses, of which 21% were small enterprises and 22% medium enterprises). A Call for Evidence (209 responses, including 16% small and 14% micro enterprises), targeted surveys (64 respondents), expert interviews (14 stakeholders), and 17 thematic workshops including a dedicated SME</w:t>
            </w:r>
            <w:r w:rsidR="00015724" w:rsidRPr="008B13A5">
              <w:rPr>
                <w:noProof/>
                <w:color w:val="000000" w:themeColor="text1"/>
              </w:rPr>
              <w:t>s</w:t>
            </w:r>
            <w:r w:rsidRPr="00BD008E">
              <w:rPr>
                <w:noProof/>
                <w:color w:val="000000" w:themeColor="text1"/>
              </w:rPr>
              <w:t xml:space="preserve"> and </w:t>
            </w:r>
            <w:r w:rsidR="00015724" w:rsidRPr="008B13A5">
              <w:rPr>
                <w:noProof/>
                <w:color w:val="000000" w:themeColor="text1"/>
              </w:rPr>
              <w:t>s</w:t>
            </w:r>
            <w:r w:rsidRPr="00BD008E">
              <w:rPr>
                <w:noProof/>
                <w:color w:val="000000" w:themeColor="text1"/>
              </w:rPr>
              <w:t xml:space="preserve">tart-ups workshop. </w:t>
            </w:r>
          </w:p>
          <w:p w14:paraId="246E01A2" w14:textId="3A01F257" w:rsidR="00D82C22" w:rsidRPr="008B13A5" w:rsidRDefault="00D82C22">
            <w:pPr>
              <w:rPr>
                <w:noProof/>
                <w:color w:val="000000" w:themeColor="text1"/>
              </w:rPr>
            </w:pPr>
            <w:r w:rsidRPr="008B13A5">
              <w:rPr>
                <w:noProof/>
                <w:color w:val="000000" w:themeColor="text1"/>
              </w:rPr>
              <w:t xml:space="preserve">The consultation strategy achieved robust representation from the SME ecosystem. Smaller entities accounted for </w:t>
            </w:r>
            <w:r w:rsidRPr="008B13A5">
              <w:rPr>
                <w:b/>
                <w:bCs/>
                <w:noProof/>
                <w:color w:val="000000" w:themeColor="text1"/>
              </w:rPr>
              <w:t>43% of respondents to the Open Public Consultation</w:t>
            </w:r>
            <w:r w:rsidRPr="008B13A5">
              <w:rPr>
                <w:noProof/>
                <w:color w:val="000000" w:themeColor="text1"/>
              </w:rPr>
              <w:t xml:space="preserve">, </w:t>
            </w:r>
            <w:r w:rsidRPr="008B13A5">
              <w:rPr>
                <w:b/>
                <w:bCs/>
                <w:noProof/>
                <w:color w:val="000000" w:themeColor="text1"/>
              </w:rPr>
              <w:t>48% of the Call for Evidence</w:t>
            </w:r>
            <w:r w:rsidRPr="008B13A5">
              <w:rPr>
                <w:noProof/>
                <w:color w:val="000000" w:themeColor="text1"/>
              </w:rPr>
              <w:t xml:space="preserve">, and </w:t>
            </w:r>
            <w:r w:rsidRPr="008B13A5">
              <w:rPr>
                <w:b/>
                <w:bCs/>
                <w:noProof/>
                <w:color w:val="000000" w:themeColor="text1"/>
              </w:rPr>
              <w:t>60% of private sector respondents</w:t>
            </w:r>
            <w:r w:rsidRPr="008B13A5">
              <w:rPr>
                <w:noProof/>
                <w:color w:val="000000" w:themeColor="text1"/>
              </w:rPr>
              <w:t xml:space="preserve"> in the targeted surveys. These quantitative inputs were complemented by qualitative insights gathered through interviews with investors and </w:t>
            </w:r>
            <w:r w:rsidR="00F079A2" w:rsidRPr="008B13A5">
              <w:rPr>
                <w:noProof/>
                <w:color w:val="000000" w:themeColor="text1"/>
              </w:rPr>
              <w:t>industr</w:t>
            </w:r>
            <w:r w:rsidRPr="008B13A5">
              <w:rPr>
                <w:noProof/>
                <w:color w:val="000000" w:themeColor="text1"/>
              </w:rPr>
              <w:t>y associations, as well as a dedicated workshop for SMEs and start-ups.</w:t>
            </w:r>
          </w:p>
          <w:p w14:paraId="2B41717B" w14:textId="77BAD1CA" w:rsidR="00D82C22" w:rsidRPr="008B13A5" w:rsidRDefault="00D82C22">
            <w:pPr>
              <w:rPr>
                <w:noProof/>
                <w:color w:val="000000" w:themeColor="text1"/>
              </w:rPr>
            </w:pPr>
            <w:r w:rsidRPr="008B13A5">
              <w:rPr>
                <w:noProof/>
                <w:color w:val="000000" w:themeColor="text1"/>
              </w:rPr>
              <w:t xml:space="preserve">The design of Policy Option </w:t>
            </w:r>
            <w:r w:rsidR="006836A0" w:rsidRPr="008B13A5">
              <w:rPr>
                <w:noProof/>
                <w:color w:val="000000" w:themeColor="text1"/>
              </w:rPr>
              <w:t>2</w:t>
            </w:r>
            <w:r w:rsidRPr="008B13A5">
              <w:rPr>
                <w:noProof/>
                <w:color w:val="000000" w:themeColor="text1"/>
              </w:rPr>
              <w:t xml:space="preserve"> was significantly shaped by this feedback. The input specifically addressed operational barriers, the scope of support, and the mitigation of administrative burdens.</w:t>
            </w:r>
          </w:p>
          <w:p w14:paraId="08AB360E" w14:textId="550F1896" w:rsidR="00D82C22" w:rsidRPr="008B13A5" w:rsidRDefault="00D82C22">
            <w:pPr>
              <w:rPr>
                <w:i/>
                <w:iCs/>
                <w:noProof/>
                <w:color w:val="000000" w:themeColor="text1"/>
              </w:rPr>
            </w:pPr>
            <w:r w:rsidRPr="008B13A5">
              <w:rPr>
                <w:noProof/>
                <w:color w:val="000000" w:themeColor="text1"/>
              </w:rPr>
              <w:t xml:space="preserve">First, regarding </w:t>
            </w:r>
            <w:r w:rsidRPr="008B13A5">
              <w:rPr>
                <w:b/>
                <w:bCs/>
                <w:noProof/>
                <w:color w:val="000000" w:themeColor="text1"/>
              </w:rPr>
              <w:t>operational barriers</w:t>
            </w:r>
            <w:r w:rsidRPr="008B13A5">
              <w:rPr>
                <w:noProof/>
                <w:color w:val="000000" w:themeColor="text1"/>
              </w:rPr>
              <w:t xml:space="preserve">, the consultation revealed that the mechanisms to access support were not fully understood. Although targeted survey results showed that 70% of respondents indicated clarity on the overall goals of the initiative, </w:t>
            </w:r>
            <w:r w:rsidRPr="008B13A5">
              <w:rPr>
                <w:b/>
                <w:bCs/>
                <w:noProof/>
                <w:color w:val="000000" w:themeColor="text1"/>
              </w:rPr>
              <w:t>none of the industry users surveyed reported clarity on the specific application procedures</w:t>
            </w:r>
            <w:r w:rsidRPr="008B13A5">
              <w:rPr>
                <w:noProof/>
                <w:color w:val="000000" w:themeColor="text1"/>
              </w:rPr>
              <w:t xml:space="preserve">. In the OPC, fabless companies identified limited access to venture capital as their most critical obstacle (78%), followed by the high cost of Electronic Design Automation (EDA) tools (67%). Interview and workshop participants described pilot line access as unclear and costly for early-stage innovators. This evidence justified the inclusion of measures in Policy Option </w:t>
            </w:r>
            <w:r w:rsidR="00697521" w:rsidRPr="008B13A5">
              <w:rPr>
                <w:noProof/>
                <w:color w:val="000000" w:themeColor="text1"/>
              </w:rPr>
              <w:t>2</w:t>
            </w:r>
            <w:r w:rsidRPr="008B13A5">
              <w:rPr>
                <w:noProof/>
                <w:color w:val="000000" w:themeColor="text1"/>
              </w:rPr>
              <w:t xml:space="preserve"> to streamline application procedures and accelerate the operationalisation of the Design Platform and competence centres. </w:t>
            </w:r>
          </w:p>
          <w:p w14:paraId="2B457DAC" w14:textId="3F2F030A" w:rsidR="00D82C22" w:rsidRPr="008B13A5" w:rsidRDefault="00D82C22">
            <w:pPr>
              <w:rPr>
                <w:i/>
                <w:iCs/>
                <w:noProof/>
                <w:color w:val="000000" w:themeColor="text1"/>
              </w:rPr>
            </w:pPr>
            <w:r w:rsidRPr="008B13A5">
              <w:rPr>
                <w:noProof/>
                <w:color w:val="000000" w:themeColor="text1"/>
              </w:rPr>
              <w:t xml:space="preserve">Second, regarding the </w:t>
            </w:r>
            <w:r w:rsidRPr="008B13A5">
              <w:rPr>
                <w:b/>
                <w:bCs/>
                <w:noProof/>
                <w:color w:val="000000" w:themeColor="text1"/>
              </w:rPr>
              <w:t>scope of support</w:t>
            </w:r>
            <w:r w:rsidRPr="008B13A5">
              <w:rPr>
                <w:noProof/>
                <w:color w:val="000000" w:themeColor="text1"/>
              </w:rPr>
              <w:t xml:space="preserve">, stakeholders from the PCB, equipment, and chip design sectors argued that the original </w:t>
            </w:r>
            <w:r w:rsidR="006C5509" w:rsidRPr="008B13A5">
              <w:rPr>
                <w:noProof/>
                <w:color w:val="000000" w:themeColor="text1"/>
              </w:rPr>
              <w:t>“</w:t>
            </w:r>
            <w:r w:rsidRPr="008B13A5">
              <w:rPr>
                <w:noProof/>
                <w:color w:val="000000" w:themeColor="text1"/>
              </w:rPr>
              <w:t>First-of-a-Kind</w:t>
            </w:r>
            <w:r w:rsidR="006C5509" w:rsidRPr="008B13A5">
              <w:rPr>
                <w:noProof/>
                <w:color w:val="000000" w:themeColor="text1"/>
              </w:rPr>
              <w:t>”</w:t>
            </w:r>
            <w:r w:rsidRPr="008B13A5">
              <w:rPr>
                <w:noProof/>
                <w:color w:val="000000" w:themeColor="text1"/>
              </w:rPr>
              <w:t xml:space="preserve"> (FOAK) criteria favoured large integrated manufacturers. Submissions to the Call for Evidence from business associations specifically called for broader eligibility to include advance</w:t>
            </w:r>
            <w:r w:rsidR="0073167D" w:rsidRPr="008B13A5">
              <w:rPr>
                <w:noProof/>
                <w:color w:val="000000" w:themeColor="text1"/>
              </w:rPr>
              <w:t>d</w:t>
            </w:r>
            <w:r w:rsidRPr="008B13A5">
              <w:rPr>
                <w:noProof/>
                <w:color w:val="000000" w:themeColor="text1"/>
              </w:rPr>
              <w:t xml:space="preserve"> packaging and design. In direct response to this input, Policy Option </w:t>
            </w:r>
            <w:r w:rsidR="0073167D" w:rsidRPr="008B13A5">
              <w:rPr>
                <w:noProof/>
                <w:color w:val="000000" w:themeColor="text1"/>
              </w:rPr>
              <w:t>2</w:t>
            </w:r>
            <w:r w:rsidRPr="008B13A5">
              <w:rPr>
                <w:noProof/>
                <w:color w:val="000000" w:themeColor="text1"/>
              </w:rPr>
              <w:t xml:space="preserve"> includes an expanded FOAK definition that explicitly covers advanced packaging and design. These are segments where European SMEs hold significant potential yet face scaling challenges. </w:t>
            </w:r>
          </w:p>
          <w:p w14:paraId="23F2E702" w14:textId="66D0B2BA" w:rsidR="00D82C22" w:rsidRPr="008B13A5" w:rsidRDefault="00D82C22">
            <w:pPr>
              <w:pStyle w:val="ListParagraph"/>
              <w:ind w:left="0"/>
              <w:rPr>
                <w:noProof/>
                <w:color w:val="000000" w:themeColor="text1"/>
                <w:sz w:val="22"/>
                <w:szCs w:val="22"/>
              </w:rPr>
            </w:pPr>
            <w:r w:rsidRPr="00BD008E">
              <w:rPr>
                <w:noProof/>
                <w:color w:val="000000" w:themeColor="text1"/>
              </w:rPr>
              <w:t xml:space="preserve">Third, the proposal addresses SME concerns regarding </w:t>
            </w:r>
            <w:r w:rsidRPr="00BD008E">
              <w:rPr>
                <w:b/>
                <w:noProof/>
                <w:color w:val="000000" w:themeColor="text1"/>
              </w:rPr>
              <w:t>administrative burden</w:t>
            </w:r>
            <w:r w:rsidRPr="00BD008E">
              <w:rPr>
                <w:noProof/>
                <w:color w:val="000000" w:themeColor="text1"/>
              </w:rPr>
              <w:t>. In the targeted surveys, support for the monitoring coordination mechanisms was notably lower among supply chain stakeholders (62%) compared to national authorities (88%). Interviewees emphasised that complex procedures made it challenging for smaller firms to benefit without external consultancy support. Consequently, the revised monitoring mechanism maintains a strict exemption for SMEs from mandatory information requests.</w:t>
            </w:r>
            <w:r w:rsidRPr="008B13A5">
              <w:rPr>
                <w:noProof/>
                <w:color w:val="000000" w:themeColor="text1"/>
                <w:sz w:val="22"/>
                <w:szCs w:val="22"/>
              </w:rPr>
              <w:t xml:space="preserve"> </w:t>
            </w:r>
          </w:p>
        </w:tc>
      </w:tr>
      <w:tr w:rsidR="00D82C22" w:rsidRPr="008B13A5" w14:paraId="1616C55B" w14:textId="77777777">
        <w:tc>
          <w:tcPr>
            <w:tcW w:w="9322" w:type="dxa"/>
          </w:tcPr>
          <w:p w14:paraId="477CB41E" w14:textId="202FB22C" w:rsidR="00D82C22" w:rsidRPr="008B13A5" w:rsidRDefault="00D82C22">
            <w:pPr>
              <w:pStyle w:val="ListParagraph"/>
              <w:ind w:left="0"/>
              <w:rPr>
                <w:noProof/>
                <w:color w:val="000000" w:themeColor="text1"/>
                <w:sz w:val="22"/>
                <w:szCs w:val="22"/>
              </w:rPr>
            </w:pPr>
            <w:r w:rsidRPr="00BD008E">
              <w:rPr>
                <w:b/>
                <w:noProof/>
                <w:color w:val="000000" w:themeColor="text1"/>
              </w:rPr>
              <w:t xml:space="preserve">Are SMEs’ views different from those of large businesses? </w:t>
            </w:r>
          </w:p>
        </w:tc>
      </w:tr>
      <w:tr w:rsidR="00D82C22" w:rsidRPr="008B13A5" w14:paraId="7977443F" w14:textId="77777777">
        <w:tc>
          <w:tcPr>
            <w:tcW w:w="9322" w:type="dxa"/>
          </w:tcPr>
          <w:p w14:paraId="02AAD7B3" w14:textId="178C3965" w:rsidR="00D82C22" w:rsidRPr="008B13A5" w:rsidRDefault="00D82C22">
            <w:pPr>
              <w:rPr>
                <w:rFonts w:cstheme="minorBidi"/>
                <w:noProof/>
                <w:color w:val="000000" w:themeColor="text1"/>
                <w:szCs w:val="22"/>
              </w:rPr>
            </w:pPr>
            <w:r w:rsidRPr="008B13A5">
              <w:rPr>
                <w:rFonts w:cstheme="minorBidi"/>
                <w:noProof/>
                <w:color w:val="000000" w:themeColor="text1"/>
                <w:szCs w:val="22"/>
              </w:rPr>
              <w:t xml:space="preserve">The consultation data reveals distinct divergences between SMEs and large enterprises </w:t>
            </w:r>
            <w:r w:rsidR="00CF2438" w:rsidRPr="008B13A5">
              <w:rPr>
                <w:rFonts w:cstheme="minorBidi"/>
                <w:noProof/>
                <w:color w:val="000000" w:themeColor="text1"/>
                <w:szCs w:val="22"/>
              </w:rPr>
              <w:t xml:space="preserve">when it comes to </w:t>
            </w:r>
            <w:r w:rsidRPr="008B13A5">
              <w:rPr>
                <w:rFonts w:cstheme="minorBidi"/>
                <w:noProof/>
                <w:color w:val="000000" w:themeColor="text1"/>
                <w:szCs w:val="22"/>
              </w:rPr>
              <w:t>investment priorities, sensitivity to administrative burden, and the preferred scope of support.</w:t>
            </w:r>
          </w:p>
          <w:p w14:paraId="6F219A9C" w14:textId="7982A8E9" w:rsidR="00D82C22" w:rsidRPr="008B13A5" w:rsidRDefault="00D82C22">
            <w:pPr>
              <w:rPr>
                <w:rFonts w:cstheme="minorBidi"/>
                <w:noProof/>
                <w:color w:val="000000" w:themeColor="text1"/>
                <w:szCs w:val="22"/>
              </w:rPr>
            </w:pPr>
            <w:r w:rsidRPr="008B13A5">
              <w:rPr>
                <w:rFonts w:cstheme="minorBidi"/>
                <w:noProof/>
                <w:color w:val="000000" w:themeColor="text1"/>
                <w:szCs w:val="22"/>
              </w:rPr>
              <w:t xml:space="preserve">The primary divergence concerns </w:t>
            </w:r>
            <w:r w:rsidRPr="008B13A5">
              <w:rPr>
                <w:rFonts w:cstheme="minorBidi"/>
                <w:b/>
                <w:bCs/>
                <w:noProof/>
                <w:color w:val="000000" w:themeColor="text1"/>
                <w:szCs w:val="22"/>
              </w:rPr>
              <w:t>investment priorities</w:t>
            </w:r>
            <w:r w:rsidRPr="008B13A5">
              <w:rPr>
                <w:rFonts w:cstheme="minorBidi"/>
                <w:noProof/>
                <w:color w:val="000000" w:themeColor="text1"/>
                <w:szCs w:val="22"/>
              </w:rPr>
              <w:t xml:space="preserve">. For SMEs, particularly fabless companies, survival depends on access to finance and shared infrastructure. </w:t>
            </w:r>
            <w:r w:rsidRPr="008B13A5">
              <w:rPr>
                <w:rFonts w:cstheme="minorBidi"/>
                <w:b/>
                <w:bCs/>
                <w:noProof/>
                <w:color w:val="000000" w:themeColor="text1"/>
                <w:szCs w:val="22"/>
              </w:rPr>
              <w:t>OPC</w:t>
            </w:r>
            <w:r w:rsidRPr="008B13A5">
              <w:rPr>
                <w:rFonts w:cstheme="minorBidi"/>
                <w:noProof/>
                <w:color w:val="000000" w:themeColor="text1"/>
                <w:szCs w:val="22"/>
              </w:rPr>
              <w:t xml:space="preserve"> data shows that </w:t>
            </w:r>
            <w:r w:rsidRPr="008B13A5">
              <w:rPr>
                <w:rFonts w:cstheme="minorBidi"/>
                <w:b/>
                <w:bCs/>
                <w:noProof/>
                <w:color w:val="000000" w:themeColor="text1"/>
                <w:szCs w:val="22"/>
              </w:rPr>
              <w:t>78%</w:t>
            </w:r>
            <w:r w:rsidRPr="008B13A5">
              <w:rPr>
                <w:rFonts w:cstheme="minorBidi"/>
                <w:noProof/>
                <w:color w:val="000000" w:themeColor="text1"/>
                <w:szCs w:val="22"/>
              </w:rPr>
              <w:t xml:space="preserve"> of these firms cited limited access to risk capital as a critical barrier. Conversely, large foundry and integrated device manufacturers (IDMs) responding to the </w:t>
            </w:r>
            <w:r w:rsidRPr="008B13A5">
              <w:rPr>
                <w:rFonts w:cstheme="minorBidi"/>
                <w:b/>
                <w:bCs/>
                <w:noProof/>
                <w:color w:val="000000" w:themeColor="text1"/>
                <w:szCs w:val="22"/>
              </w:rPr>
              <w:t>OPC</w:t>
            </w:r>
            <w:r w:rsidRPr="008B13A5">
              <w:rPr>
                <w:rFonts w:cstheme="minorBidi"/>
                <w:noProof/>
                <w:color w:val="000000" w:themeColor="text1"/>
                <w:szCs w:val="22"/>
              </w:rPr>
              <w:t xml:space="preserve"> rated the existing F</w:t>
            </w:r>
            <w:r w:rsidR="007A3094" w:rsidRPr="008B13A5">
              <w:rPr>
                <w:rFonts w:cstheme="minorBidi"/>
                <w:noProof/>
                <w:color w:val="000000" w:themeColor="text1"/>
                <w:szCs w:val="22"/>
              </w:rPr>
              <w:t>oa</w:t>
            </w:r>
            <w:r w:rsidRPr="008B13A5">
              <w:rPr>
                <w:rFonts w:cstheme="minorBidi"/>
                <w:noProof/>
                <w:color w:val="000000" w:themeColor="text1"/>
                <w:szCs w:val="22"/>
              </w:rPr>
              <w:t xml:space="preserve">K framework as satisfactory or neutral (44%), focusing their feedback primarily on approval timelines rather than funding availability. </w:t>
            </w:r>
            <w:r w:rsidRPr="008B13A5">
              <w:rPr>
                <w:rFonts w:cstheme="minorBidi"/>
                <w:b/>
                <w:bCs/>
                <w:noProof/>
                <w:color w:val="000000" w:themeColor="text1"/>
                <w:szCs w:val="22"/>
              </w:rPr>
              <w:t>Interview</w:t>
            </w:r>
            <w:r w:rsidRPr="008B13A5">
              <w:rPr>
                <w:rFonts w:cstheme="minorBidi"/>
                <w:noProof/>
                <w:color w:val="000000" w:themeColor="text1"/>
                <w:szCs w:val="22"/>
              </w:rPr>
              <w:t xml:space="preserve"> stakeholders confirmed this, noting that while the EIC’s Chips Fund was effective for deep-tech start-ups, large manufacturers focused on broader framework conditions.</w:t>
            </w:r>
          </w:p>
          <w:p w14:paraId="7735466E" w14:textId="2496EEF4" w:rsidR="00D82C22" w:rsidRPr="008B13A5" w:rsidRDefault="00D82C22">
            <w:pPr>
              <w:rPr>
                <w:rFonts w:cstheme="minorBidi"/>
                <w:noProof/>
                <w:color w:val="000000" w:themeColor="text1"/>
                <w:szCs w:val="22"/>
              </w:rPr>
            </w:pPr>
            <w:r w:rsidRPr="008B13A5">
              <w:rPr>
                <w:rFonts w:cstheme="minorBidi"/>
                <w:noProof/>
                <w:color w:val="000000" w:themeColor="text1"/>
                <w:szCs w:val="22"/>
              </w:rPr>
              <w:t xml:space="preserve">A second major difference concerns </w:t>
            </w:r>
            <w:r w:rsidRPr="008B13A5">
              <w:rPr>
                <w:rFonts w:cstheme="minorBidi"/>
                <w:b/>
                <w:bCs/>
                <w:noProof/>
                <w:color w:val="000000" w:themeColor="text1"/>
                <w:szCs w:val="22"/>
              </w:rPr>
              <w:t>sensitivity to governance and burden</w:t>
            </w:r>
            <w:r w:rsidRPr="008B13A5">
              <w:rPr>
                <w:rFonts w:cstheme="minorBidi"/>
                <w:noProof/>
                <w:color w:val="000000" w:themeColor="text1"/>
                <w:szCs w:val="22"/>
              </w:rPr>
              <w:t>. SMEs and research organisations (RTOs) expressed significantly higher scepticism regarding the effectiveness of governance mechanisms compared to large firms. In</w:t>
            </w:r>
            <w:r w:rsidRPr="008B13A5" w:rsidDel="00AD6455">
              <w:rPr>
                <w:rFonts w:cstheme="minorBidi"/>
                <w:noProof/>
                <w:color w:val="000000" w:themeColor="text1"/>
                <w:szCs w:val="22"/>
              </w:rPr>
              <w:t xml:space="preserve"> </w:t>
            </w:r>
            <w:r w:rsidR="00AD6455" w:rsidRPr="008B13A5">
              <w:rPr>
                <w:rFonts w:cstheme="minorBidi"/>
                <w:noProof/>
                <w:color w:val="000000" w:themeColor="text1"/>
                <w:szCs w:val="22"/>
              </w:rPr>
              <w:t xml:space="preserve">a </w:t>
            </w:r>
            <w:r w:rsidRPr="008B13A5">
              <w:rPr>
                <w:rFonts w:cstheme="minorBidi"/>
                <w:noProof/>
                <w:color w:val="000000" w:themeColor="text1"/>
                <w:szCs w:val="22"/>
              </w:rPr>
              <w:t xml:space="preserve">targeted survey, RTOs reported the lowest levels of positive effects from the intervention (35-41%) and rated administrative efficiency as </w:t>
            </w:r>
            <w:r w:rsidR="006C5509" w:rsidRPr="008B13A5">
              <w:rPr>
                <w:rFonts w:cstheme="minorBidi"/>
                <w:noProof/>
                <w:color w:val="000000" w:themeColor="text1"/>
                <w:szCs w:val="22"/>
              </w:rPr>
              <w:t>“</w:t>
            </w:r>
            <w:r w:rsidRPr="008B13A5">
              <w:rPr>
                <w:rFonts w:cstheme="minorBidi"/>
                <w:noProof/>
                <w:color w:val="000000" w:themeColor="text1"/>
                <w:szCs w:val="22"/>
              </w:rPr>
              <w:t>very ineffective</w:t>
            </w:r>
            <w:r w:rsidR="006C5509" w:rsidRPr="008B13A5">
              <w:rPr>
                <w:rFonts w:cstheme="minorBidi"/>
                <w:noProof/>
                <w:color w:val="000000" w:themeColor="text1"/>
                <w:szCs w:val="22"/>
              </w:rPr>
              <w:t>”</w:t>
            </w:r>
            <w:r w:rsidRPr="008B13A5">
              <w:rPr>
                <w:rFonts w:cstheme="minorBidi"/>
                <w:noProof/>
                <w:color w:val="000000" w:themeColor="text1"/>
                <w:szCs w:val="22"/>
              </w:rPr>
              <w:t xml:space="preserve"> (18-29%), nearly double the rate of national authorities. This contrasts with the views of large incumbents, who typically possess dedicated compliance departments to navigate complex requirements.</w:t>
            </w:r>
          </w:p>
          <w:p w14:paraId="51DBD495" w14:textId="4D59C74E" w:rsidR="00D82C22" w:rsidRPr="008B13A5" w:rsidRDefault="00D82C22">
            <w:pPr>
              <w:rPr>
                <w:rFonts w:cstheme="minorBidi"/>
                <w:noProof/>
                <w:color w:val="000000" w:themeColor="text1"/>
                <w:szCs w:val="22"/>
              </w:rPr>
            </w:pPr>
            <w:r w:rsidRPr="008B13A5">
              <w:rPr>
                <w:rFonts w:cstheme="minorBidi"/>
                <w:noProof/>
                <w:color w:val="000000" w:themeColor="text1"/>
                <w:szCs w:val="22"/>
              </w:rPr>
              <w:t xml:space="preserve">Finally, views differed on the </w:t>
            </w:r>
            <w:r w:rsidRPr="008B13A5">
              <w:rPr>
                <w:rFonts w:cstheme="minorBidi"/>
                <w:b/>
                <w:bCs/>
                <w:noProof/>
                <w:color w:val="000000" w:themeColor="text1"/>
                <w:szCs w:val="22"/>
              </w:rPr>
              <w:t>targeted scope of EU intervention</w:t>
            </w:r>
            <w:r w:rsidRPr="008B13A5">
              <w:rPr>
                <w:rFonts w:cstheme="minorBidi"/>
                <w:noProof/>
                <w:color w:val="000000" w:themeColor="text1"/>
                <w:szCs w:val="22"/>
              </w:rPr>
              <w:t>. In the OPC, large end-user industries and IDMs overwhelmingly supported subsidies for building large-scale manufacturing facilities (</w:t>
            </w:r>
            <w:r w:rsidRPr="008B13A5">
              <w:rPr>
                <w:rFonts w:cstheme="minorBidi"/>
                <w:b/>
                <w:bCs/>
                <w:noProof/>
                <w:color w:val="000000" w:themeColor="text1"/>
                <w:szCs w:val="22"/>
              </w:rPr>
              <w:t>89% support</w:t>
            </w:r>
            <w:r w:rsidRPr="008B13A5">
              <w:rPr>
                <w:rFonts w:cstheme="minorBidi"/>
                <w:noProof/>
                <w:color w:val="000000" w:themeColor="text1"/>
                <w:szCs w:val="22"/>
              </w:rPr>
              <w:t xml:space="preserve">). In contrast, input from the Call for Evidence and workshops shows that SMEs and stakeholders in the equipment and design sectors argued that the architecture was misaligned with their needs. </w:t>
            </w:r>
          </w:p>
        </w:tc>
      </w:tr>
    </w:tbl>
    <w:p w14:paraId="6F822935" w14:textId="77777777" w:rsidR="00D82C22" w:rsidRPr="008B13A5" w:rsidRDefault="00D82C22" w:rsidP="00D82C22">
      <w:pPr>
        <w:spacing w:after="0"/>
        <w:rPr>
          <w:rFonts w:cstheme="minorHAnsi"/>
          <w:b/>
          <w:noProof/>
          <w:color w:val="000000" w:themeColor="text1"/>
          <w:szCs w:val="22"/>
        </w:rPr>
      </w:pPr>
    </w:p>
    <w:tbl>
      <w:tblPr>
        <w:tblStyle w:val="TableGrid"/>
        <w:tblW w:w="0" w:type="auto"/>
        <w:tblLook w:val="04A0" w:firstRow="1" w:lastRow="0" w:firstColumn="1" w:lastColumn="0" w:noHBand="0" w:noVBand="1"/>
      </w:tblPr>
      <w:tblGrid>
        <w:gridCol w:w="9242"/>
      </w:tblGrid>
      <w:tr w:rsidR="00D82C22" w:rsidRPr="008B13A5" w14:paraId="48B526BC" w14:textId="77777777">
        <w:trPr>
          <w:trHeight w:val="300"/>
        </w:trPr>
        <w:tc>
          <w:tcPr>
            <w:tcW w:w="9242" w:type="dxa"/>
          </w:tcPr>
          <w:p w14:paraId="6F73CE10" w14:textId="34A2032B" w:rsidR="00D82C22" w:rsidRPr="008B13A5" w:rsidRDefault="00D82C22" w:rsidP="00F47256">
            <w:pPr>
              <w:pStyle w:val="ListParagraph"/>
              <w:numPr>
                <w:ilvl w:val="0"/>
                <w:numId w:val="6"/>
              </w:numPr>
              <w:spacing w:after="0"/>
              <w:ind w:left="644"/>
              <w:jc w:val="left"/>
              <w:rPr>
                <w:b/>
                <w:bCs/>
                <w:smallCaps/>
                <w:noProof/>
                <w:color w:val="000000" w:themeColor="text1"/>
                <w:sz w:val="22"/>
                <w:szCs w:val="22"/>
              </w:rPr>
            </w:pPr>
            <w:r w:rsidRPr="008B13A5">
              <w:rPr>
                <w:b/>
                <w:bCs/>
                <w:smallCaps/>
                <w:noProof/>
                <w:color w:val="000000" w:themeColor="text1"/>
                <w:sz w:val="22"/>
                <w:szCs w:val="22"/>
              </w:rPr>
              <w:t>Assessment of impacts on SMEs</w:t>
            </w:r>
            <w:r w:rsidR="00F274DD" w:rsidRPr="008B13A5">
              <w:rPr>
                <w:b/>
                <w:bCs/>
                <w:smallCaps/>
                <w:noProof/>
                <w:color w:val="000000" w:themeColor="text1"/>
                <w:sz w:val="22"/>
                <w:szCs w:val="22"/>
              </w:rPr>
              <w:t xml:space="preserve"> </w:t>
            </w:r>
            <w:r w:rsidRPr="008B13A5">
              <w:rPr>
                <w:b/>
                <w:bCs/>
                <w:smallCaps/>
                <w:noProof/>
                <w:color w:val="000000" w:themeColor="text1"/>
                <w:sz w:val="22"/>
                <w:szCs w:val="22"/>
              </w:rPr>
              <w:t>(</w:t>
            </w:r>
            <w:r w:rsidRPr="008B13A5">
              <w:rPr>
                <w:rStyle w:val="FootnoteReference"/>
                <w:b/>
                <w:bCs/>
                <w:smallCaps/>
                <w:noProof/>
                <w:color w:val="000000" w:themeColor="text1"/>
                <w:sz w:val="22"/>
                <w:szCs w:val="22"/>
              </w:rPr>
              <w:footnoteReference w:id="407"/>
            </w:r>
            <w:r w:rsidRPr="008B13A5">
              <w:rPr>
                <w:b/>
                <w:bCs/>
                <w:smallCaps/>
                <w:noProof/>
                <w:color w:val="000000" w:themeColor="text1"/>
                <w:sz w:val="22"/>
                <w:szCs w:val="22"/>
              </w:rPr>
              <w:t>)</w:t>
            </w:r>
          </w:p>
        </w:tc>
      </w:tr>
      <w:tr w:rsidR="00D82C22" w:rsidRPr="008B13A5" w14:paraId="3E5106F0" w14:textId="77777777">
        <w:trPr>
          <w:trHeight w:val="300"/>
        </w:trPr>
        <w:tc>
          <w:tcPr>
            <w:tcW w:w="9242" w:type="dxa"/>
          </w:tcPr>
          <w:p w14:paraId="689BDBED" w14:textId="1E5A66F4" w:rsidR="00D82C22" w:rsidRPr="008B13A5" w:rsidRDefault="00D82C22">
            <w:pPr>
              <w:rPr>
                <w:noProof/>
                <w:color w:val="000000" w:themeColor="text1"/>
                <w:szCs w:val="22"/>
              </w:rPr>
            </w:pPr>
            <w:r w:rsidRPr="008B13A5">
              <w:rPr>
                <w:b/>
                <w:bCs/>
                <w:noProof/>
                <w:color w:val="000000" w:themeColor="text1"/>
                <w:szCs w:val="22"/>
              </w:rPr>
              <w:t>What are the estimated direct costs for SMEs of the preferred policy option</w:t>
            </w:r>
            <w:r w:rsidRPr="008B13A5">
              <w:rPr>
                <w:b/>
                <w:bCs/>
                <w:i/>
                <w:iCs/>
                <w:noProof/>
                <w:color w:val="000000" w:themeColor="text1"/>
                <w:szCs w:val="22"/>
              </w:rPr>
              <w:t>?</w:t>
            </w:r>
          </w:p>
        </w:tc>
      </w:tr>
      <w:tr w:rsidR="00D82C22" w:rsidRPr="008B13A5" w14:paraId="72CD4D5E" w14:textId="77777777">
        <w:trPr>
          <w:trHeight w:val="300"/>
        </w:trPr>
        <w:tc>
          <w:tcPr>
            <w:tcW w:w="9242" w:type="dxa"/>
          </w:tcPr>
          <w:p w14:paraId="4583F7FC" w14:textId="79CCC9C1" w:rsidR="00D82C22" w:rsidRPr="008B13A5" w:rsidRDefault="00D82C22">
            <w:pPr>
              <w:rPr>
                <w:i/>
                <w:iCs/>
                <w:noProof/>
                <w:color w:val="000000" w:themeColor="text1"/>
                <w:szCs w:val="22"/>
              </w:rPr>
            </w:pPr>
            <w:bookmarkStart w:id="385" w:name="_Hlk189835363"/>
            <w:r w:rsidRPr="008B13A5">
              <w:rPr>
                <w:b/>
                <w:bCs/>
                <w:i/>
                <w:iCs/>
                <w:noProof/>
                <w:color w:val="000000" w:themeColor="text1"/>
                <w:szCs w:val="22"/>
              </w:rPr>
              <w:t>Qualitative assessment</w:t>
            </w:r>
          </w:p>
        </w:tc>
      </w:tr>
      <w:tr w:rsidR="00D82C22" w:rsidRPr="008B13A5" w14:paraId="5DF4F1BC" w14:textId="77777777">
        <w:trPr>
          <w:trHeight w:val="300"/>
        </w:trPr>
        <w:tc>
          <w:tcPr>
            <w:tcW w:w="9242" w:type="dxa"/>
          </w:tcPr>
          <w:p w14:paraId="491E12A6" w14:textId="058671E0" w:rsidR="00D82C22" w:rsidRPr="00BD008E" w:rsidRDefault="00D82C22">
            <w:pPr>
              <w:pStyle w:val="NormalWeb"/>
              <w:rPr>
                <w:noProof/>
              </w:rPr>
            </w:pPr>
            <w:r w:rsidRPr="00BD008E">
              <w:rPr>
                <w:noProof/>
              </w:rPr>
              <w:t xml:space="preserve">Direct costs for SMEs under Policy Option </w:t>
            </w:r>
            <w:r w:rsidR="00B34590" w:rsidRPr="00BD008E">
              <w:rPr>
                <w:noProof/>
              </w:rPr>
              <w:t>2</w:t>
            </w:r>
            <w:r w:rsidRPr="00BD008E">
              <w:rPr>
                <w:noProof/>
              </w:rPr>
              <w:t xml:space="preserve"> are </w:t>
            </w:r>
            <w:r w:rsidRPr="00BD008E">
              <w:rPr>
                <w:rStyle w:val="Strong"/>
                <w:noProof/>
              </w:rPr>
              <w:t>limited and proportionate</w:t>
            </w:r>
            <w:r w:rsidRPr="00BD008E">
              <w:rPr>
                <w:noProof/>
              </w:rPr>
              <w:t xml:space="preserve">, for </w:t>
            </w:r>
            <w:r w:rsidR="65FCCB56" w:rsidRPr="008B13A5">
              <w:rPr>
                <w:noProof/>
              </w:rPr>
              <w:t xml:space="preserve">several </w:t>
            </w:r>
            <w:r w:rsidRPr="00BD008E">
              <w:rPr>
                <w:noProof/>
              </w:rPr>
              <w:t xml:space="preserve"> reasons:</w:t>
            </w:r>
          </w:p>
          <w:p w14:paraId="21BE3BC1" w14:textId="24569900" w:rsidR="00D82C22" w:rsidRPr="00BD008E" w:rsidRDefault="00D82C22" w:rsidP="00F47256">
            <w:pPr>
              <w:pStyle w:val="NormalWeb"/>
              <w:numPr>
                <w:ilvl w:val="0"/>
                <w:numId w:val="66"/>
              </w:numPr>
              <w:rPr>
                <w:noProof/>
              </w:rPr>
            </w:pPr>
            <w:r w:rsidRPr="00BD008E">
              <w:rPr>
                <w:noProof/>
              </w:rPr>
              <w:t>.</w:t>
            </w:r>
          </w:p>
          <w:p w14:paraId="1A071F9A" w14:textId="29384C39" w:rsidR="00D82C22" w:rsidRPr="00BD008E" w:rsidRDefault="00D82C22" w:rsidP="00F47256">
            <w:pPr>
              <w:pStyle w:val="NormalWeb"/>
              <w:numPr>
                <w:ilvl w:val="0"/>
                <w:numId w:val="66"/>
              </w:numPr>
              <w:rPr>
                <w:noProof/>
              </w:rPr>
            </w:pPr>
            <w:r w:rsidRPr="00BD008E">
              <w:rPr>
                <w:rStyle w:val="Strong"/>
                <w:noProof/>
              </w:rPr>
              <w:t>Participation in Strategic Projects and innovation procurement is voluntary</w:t>
            </w:r>
            <w:r w:rsidRPr="00BD008E">
              <w:rPr>
                <w:noProof/>
              </w:rPr>
              <w:t xml:space="preserve"> and does not impose </w:t>
            </w:r>
            <w:r w:rsidR="009A4613" w:rsidRPr="00BD008E">
              <w:rPr>
                <w:noProof/>
              </w:rPr>
              <w:t xml:space="preserve">reporting </w:t>
            </w:r>
            <w:r w:rsidRPr="00BD008E">
              <w:rPr>
                <w:noProof/>
              </w:rPr>
              <w:t>obligations on SMEs.</w:t>
            </w:r>
            <w:r w:rsidRPr="00BD008E">
              <w:rPr>
                <w:noProof/>
              </w:rPr>
              <w:br/>
              <w:t>SMEs incur administrative costs only if they choose to participate, and these costs are standard for R&amp;I or public-procurement participation (proposal preparation, reporting, contractual obligations).</w:t>
            </w:r>
          </w:p>
          <w:p w14:paraId="1E540B2C" w14:textId="7B52C75A" w:rsidR="00D82C22" w:rsidRPr="00BD008E" w:rsidRDefault="00D82C22" w:rsidP="00F47256">
            <w:pPr>
              <w:pStyle w:val="NormalWeb"/>
              <w:numPr>
                <w:ilvl w:val="0"/>
                <w:numId w:val="66"/>
              </w:numPr>
              <w:rPr>
                <w:noProof/>
              </w:rPr>
            </w:pPr>
            <w:r w:rsidRPr="00BD008E">
              <w:rPr>
                <w:rStyle w:val="Strong"/>
                <w:noProof/>
              </w:rPr>
              <w:t>No regulatory costs are introduced that require SMEs to adapt processes, meet new standards, or undertake mandatory investments.</w:t>
            </w:r>
          </w:p>
          <w:p w14:paraId="193D619E" w14:textId="3F4E3532" w:rsidR="00D82C22" w:rsidRPr="00BD008E" w:rsidRDefault="00D82C22" w:rsidP="00F47256">
            <w:pPr>
              <w:pStyle w:val="NormalWeb"/>
              <w:numPr>
                <w:ilvl w:val="0"/>
                <w:numId w:val="66"/>
              </w:numPr>
              <w:rPr>
                <w:noProof/>
              </w:rPr>
            </w:pPr>
            <w:r w:rsidRPr="00BD008E">
              <w:rPr>
                <w:rStyle w:val="Strong"/>
                <w:noProof/>
              </w:rPr>
              <w:t xml:space="preserve">No changes to </w:t>
            </w:r>
            <w:r w:rsidR="009A4613" w:rsidRPr="00BD008E">
              <w:rPr>
                <w:rStyle w:val="Strong"/>
                <w:noProof/>
              </w:rPr>
              <w:t>S</w:t>
            </w:r>
            <w:r w:rsidRPr="00BD008E">
              <w:rPr>
                <w:rStyle w:val="Strong"/>
                <w:noProof/>
              </w:rPr>
              <w:t>tate</w:t>
            </w:r>
            <w:r w:rsidR="009A4613" w:rsidRPr="00BD008E">
              <w:rPr>
                <w:rStyle w:val="Strong"/>
                <w:noProof/>
              </w:rPr>
              <w:t xml:space="preserve"> </w:t>
            </w:r>
            <w:r w:rsidRPr="00BD008E">
              <w:rPr>
                <w:rStyle w:val="Strong"/>
                <w:noProof/>
              </w:rPr>
              <w:t>aid conditions impose compliance duties on SMEs</w:t>
            </w:r>
            <w:r w:rsidRPr="00BD008E">
              <w:rPr>
                <w:noProof/>
              </w:rPr>
              <w:t>, because Strategic Projects are designed as co-funded investment instruments, not regulatory obligations.</w:t>
            </w:r>
          </w:p>
          <w:p w14:paraId="62D69A93" w14:textId="365BA032" w:rsidR="00D82C22" w:rsidRPr="008B13A5" w:rsidRDefault="00D82C22">
            <w:pPr>
              <w:pStyle w:val="NormalWeb"/>
              <w:rPr>
                <w:noProof/>
                <w:sz w:val="22"/>
                <w:szCs w:val="22"/>
              </w:rPr>
            </w:pPr>
            <w:r w:rsidRPr="00BD008E">
              <w:rPr>
                <w:noProof/>
              </w:rPr>
              <w:t xml:space="preserve">To sum up, </w:t>
            </w:r>
            <w:r w:rsidRPr="00BD008E">
              <w:rPr>
                <w:rStyle w:val="Strong"/>
                <w:noProof/>
              </w:rPr>
              <w:t>the preferred option does not introduce new  operational costs for SMEs</w:t>
            </w:r>
            <w:r w:rsidRPr="00BD008E">
              <w:rPr>
                <w:noProof/>
              </w:rPr>
              <w:t>.</w:t>
            </w:r>
          </w:p>
        </w:tc>
      </w:tr>
      <w:tr w:rsidR="00D82C22" w:rsidRPr="008B13A5" w14:paraId="7E37880D" w14:textId="77777777">
        <w:trPr>
          <w:trHeight w:val="300"/>
        </w:trPr>
        <w:tc>
          <w:tcPr>
            <w:tcW w:w="9242" w:type="dxa"/>
          </w:tcPr>
          <w:p w14:paraId="18EAAE90" w14:textId="34544E5E" w:rsidR="00D82C22" w:rsidRPr="008B13A5" w:rsidRDefault="00D82C22">
            <w:pPr>
              <w:rPr>
                <w:b/>
                <w:bCs/>
                <w:noProof/>
                <w:color w:val="000000" w:themeColor="text1"/>
                <w:szCs w:val="22"/>
              </w:rPr>
            </w:pPr>
            <w:r w:rsidRPr="008B13A5">
              <w:rPr>
                <w:b/>
                <w:bCs/>
                <w:noProof/>
                <w:color w:val="000000" w:themeColor="text1"/>
                <w:szCs w:val="22"/>
              </w:rPr>
              <w:t>Quantitative assessment</w:t>
            </w:r>
          </w:p>
        </w:tc>
      </w:tr>
      <w:bookmarkEnd w:id="385"/>
      <w:tr w:rsidR="00D82C22" w:rsidRPr="008B13A5" w14:paraId="0718A25B" w14:textId="77777777">
        <w:trPr>
          <w:trHeight w:val="300"/>
        </w:trPr>
        <w:tc>
          <w:tcPr>
            <w:tcW w:w="9242" w:type="dxa"/>
          </w:tcPr>
          <w:p w14:paraId="336B4E57" w14:textId="26EF2314" w:rsidR="00D82C22" w:rsidRPr="00BD008E" w:rsidRDefault="00DA63BF">
            <w:pPr>
              <w:pStyle w:val="NormalWeb"/>
              <w:rPr>
                <w:noProof/>
              </w:rPr>
            </w:pPr>
            <w:r w:rsidRPr="008B13A5">
              <w:rPr>
                <w:noProof/>
              </w:rPr>
              <w:t>Since</w:t>
            </w:r>
            <w:r w:rsidRPr="00BD008E">
              <w:rPr>
                <w:noProof/>
              </w:rPr>
              <w:t xml:space="preserve"> </w:t>
            </w:r>
            <w:r w:rsidR="00D82C22" w:rsidRPr="00BD008E">
              <w:rPr>
                <w:noProof/>
              </w:rPr>
              <w:t>SMEs are exempt from mandatory data-reporting obligations:</w:t>
            </w:r>
          </w:p>
          <w:p w14:paraId="36A91D92" w14:textId="5988B944" w:rsidR="00D82C22" w:rsidRPr="00BD008E" w:rsidRDefault="00D82C22" w:rsidP="00F47256">
            <w:pPr>
              <w:pStyle w:val="NormalWeb"/>
              <w:numPr>
                <w:ilvl w:val="0"/>
                <w:numId w:val="67"/>
              </w:numPr>
              <w:rPr>
                <w:noProof/>
              </w:rPr>
            </w:pPr>
            <w:r w:rsidRPr="00BD008E">
              <w:rPr>
                <w:rStyle w:val="Strong"/>
                <w:noProof/>
              </w:rPr>
              <w:t>Direct compliance burden = €0</w:t>
            </w:r>
            <w:r w:rsidRPr="00BD008E">
              <w:rPr>
                <w:noProof/>
              </w:rPr>
              <w:t xml:space="preserve"> (no recurring reporting or data-submission duties).</w:t>
            </w:r>
          </w:p>
          <w:p w14:paraId="10E04C33" w14:textId="4AC98E8D" w:rsidR="00D82C22" w:rsidRPr="00BD008E" w:rsidRDefault="00D82C22" w:rsidP="00F47256">
            <w:pPr>
              <w:pStyle w:val="NormalWeb"/>
              <w:numPr>
                <w:ilvl w:val="0"/>
                <w:numId w:val="67"/>
              </w:numPr>
              <w:rPr>
                <w:noProof/>
              </w:rPr>
            </w:pPr>
            <w:r w:rsidRPr="00BD008E">
              <w:rPr>
                <w:noProof/>
              </w:rPr>
              <w:t>For SMEs participating voluntarily in Strategic Projects or innovation procurement, administrative costs are limited to:</w:t>
            </w:r>
          </w:p>
          <w:p w14:paraId="07D7F20F" w14:textId="473E3CC9" w:rsidR="00D82C22" w:rsidRPr="00BD008E" w:rsidRDefault="00D82C22" w:rsidP="00F47256">
            <w:pPr>
              <w:pStyle w:val="NormalWeb"/>
              <w:numPr>
                <w:ilvl w:val="1"/>
                <w:numId w:val="67"/>
              </w:numPr>
              <w:ind w:left="1434" w:hanging="357"/>
              <w:contextualSpacing/>
              <w:rPr>
                <w:noProof/>
              </w:rPr>
            </w:pPr>
            <w:r w:rsidRPr="00BD008E">
              <w:rPr>
                <w:noProof/>
              </w:rPr>
              <w:t>Proposal preparation costs</w:t>
            </w:r>
          </w:p>
          <w:p w14:paraId="026DDF67" w14:textId="7AA0C27A" w:rsidR="00D82C22" w:rsidRPr="00BD008E" w:rsidRDefault="00D82C22" w:rsidP="00F47256">
            <w:pPr>
              <w:pStyle w:val="NormalWeb"/>
              <w:numPr>
                <w:ilvl w:val="1"/>
                <w:numId w:val="67"/>
              </w:numPr>
              <w:ind w:left="1434" w:hanging="357"/>
              <w:contextualSpacing/>
              <w:rPr>
                <w:noProof/>
              </w:rPr>
            </w:pPr>
            <w:r w:rsidRPr="00BD008E">
              <w:rPr>
                <w:noProof/>
              </w:rPr>
              <w:t>Project reporting obligations</w:t>
            </w:r>
          </w:p>
          <w:p w14:paraId="4C201D80" w14:textId="3F217A61" w:rsidR="00D82C22" w:rsidRPr="008B13A5" w:rsidRDefault="00D82C22">
            <w:pPr>
              <w:pStyle w:val="NormalWeb"/>
              <w:rPr>
                <w:i/>
                <w:iCs/>
                <w:noProof/>
                <w:color w:val="000000" w:themeColor="text1"/>
                <w:sz w:val="22"/>
                <w:szCs w:val="22"/>
              </w:rPr>
            </w:pPr>
            <w:r w:rsidRPr="00BD008E">
              <w:rPr>
                <w:noProof/>
              </w:rPr>
              <w:t xml:space="preserve">These costs are </w:t>
            </w:r>
            <w:r w:rsidRPr="00BD008E">
              <w:rPr>
                <w:rStyle w:val="Strong"/>
                <w:noProof/>
              </w:rPr>
              <w:t xml:space="preserve">standard and </w:t>
            </w:r>
            <w:r w:rsidR="0015243B" w:rsidRPr="00BD008E">
              <w:rPr>
                <w:rStyle w:val="Strong"/>
                <w:noProof/>
              </w:rPr>
              <w:t>v</w:t>
            </w:r>
            <w:r w:rsidR="0015243B" w:rsidRPr="008B13A5">
              <w:rPr>
                <w:rStyle w:val="Strong"/>
                <w:noProof/>
              </w:rPr>
              <w:t>oluntary</w:t>
            </w:r>
            <w:r w:rsidRPr="00BD008E">
              <w:rPr>
                <w:noProof/>
              </w:rPr>
              <w:t xml:space="preserve">, not imposed by legislation, and therefore </w:t>
            </w:r>
            <w:r w:rsidRPr="00BD008E">
              <w:rPr>
                <w:rStyle w:val="Strong"/>
                <w:noProof/>
              </w:rPr>
              <w:t>not counted as regulatory burden</w:t>
            </w:r>
            <w:r w:rsidRPr="00BD008E">
              <w:rPr>
                <w:noProof/>
              </w:rPr>
              <w:t xml:space="preserve"> under B</w:t>
            </w:r>
            <w:r w:rsidR="00306A9A" w:rsidRPr="00BD008E">
              <w:rPr>
                <w:noProof/>
              </w:rPr>
              <w:t xml:space="preserve">etter </w:t>
            </w:r>
            <w:r w:rsidRPr="00BD008E">
              <w:rPr>
                <w:noProof/>
              </w:rPr>
              <w:t>R</w:t>
            </w:r>
            <w:r w:rsidR="00306A9A" w:rsidRPr="00BD008E">
              <w:rPr>
                <w:noProof/>
              </w:rPr>
              <w:t>egulation</w:t>
            </w:r>
            <w:r w:rsidRPr="00BD008E">
              <w:rPr>
                <w:noProof/>
              </w:rPr>
              <w:t xml:space="preserve"> guidelines.</w:t>
            </w:r>
          </w:p>
        </w:tc>
      </w:tr>
      <w:tr w:rsidR="00D82C22" w:rsidRPr="008B13A5" w14:paraId="7A3742A8" w14:textId="77777777">
        <w:trPr>
          <w:trHeight w:val="300"/>
        </w:trPr>
        <w:tc>
          <w:tcPr>
            <w:tcW w:w="9242" w:type="dxa"/>
          </w:tcPr>
          <w:p w14:paraId="571921EC" w14:textId="7C7C0ACC" w:rsidR="00D82C22" w:rsidRPr="008B13A5" w:rsidRDefault="00D82C22">
            <w:pPr>
              <w:rPr>
                <w:b/>
                <w:bCs/>
                <w:noProof/>
                <w:color w:val="000000" w:themeColor="text1"/>
                <w:szCs w:val="22"/>
              </w:rPr>
            </w:pPr>
            <w:r w:rsidRPr="008B13A5">
              <w:rPr>
                <w:b/>
                <w:bCs/>
                <w:noProof/>
                <w:color w:val="000000" w:themeColor="text1"/>
                <w:szCs w:val="22"/>
              </w:rPr>
              <w:t>What are the estimated direct benefits/cost savings for SMEs of the preferred policy option</w:t>
            </w:r>
            <w:r w:rsidR="00F274DD" w:rsidRPr="008B13A5">
              <w:rPr>
                <w:b/>
                <w:bCs/>
                <w:noProof/>
                <w:color w:val="000000" w:themeColor="text1"/>
                <w:szCs w:val="22"/>
              </w:rPr>
              <w:t xml:space="preserve"> </w:t>
            </w:r>
            <w:r w:rsidRPr="008B13A5">
              <w:rPr>
                <w:b/>
                <w:bCs/>
                <w:noProof/>
                <w:color w:val="000000" w:themeColor="text1"/>
                <w:szCs w:val="22"/>
              </w:rPr>
              <w:t>(</w:t>
            </w:r>
            <w:r w:rsidRPr="008B13A5">
              <w:rPr>
                <w:rStyle w:val="FootnoteReference"/>
                <w:b/>
                <w:bCs/>
                <w:noProof/>
                <w:color w:val="000000" w:themeColor="text1"/>
                <w:szCs w:val="22"/>
              </w:rPr>
              <w:footnoteReference w:id="408"/>
            </w:r>
            <w:r w:rsidRPr="008B13A5">
              <w:rPr>
                <w:b/>
                <w:bCs/>
                <w:noProof/>
                <w:color w:val="000000" w:themeColor="text1"/>
                <w:szCs w:val="22"/>
              </w:rPr>
              <w:t>)?</w:t>
            </w:r>
          </w:p>
        </w:tc>
      </w:tr>
      <w:tr w:rsidR="00D82C22" w:rsidRPr="008B13A5" w14:paraId="21601EE3" w14:textId="77777777">
        <w:trPr>
          <w:trHeight w:val="300"/>
        </w:trPr>
        <w:tc>
          <w:tcPr>
            <w:tcW w:w="9242" w:type="dxa"/>
          </w:tcPr>
          <w:p w14:paraId="350524C3" w14:textId="3744FF7C" w:rsidR="00D82C22" w:rsidRPr="008B13A5" w:rsidRDefault="00D82C22">
            <w:pPr>
              <w:rPr>
                <w:noProof/>
                <w:color w:val="000000" w:themeColor="text1"/>
                <w:szCs w:val="22"/>
              </w:rPr>
            </w:pPr>
            <w:r w:rsidRPr="008B13A5">
              <w:rPr>
                <w:b/>
                <w:bCs/>
                <w:noProof/>
                <w:color w:val="000000" w:themeColor="text1"/>
                <w:szCs w:val="22"/>
              </w:rPr>
              <w:t>Qualitative assessment</w:t>
            </w:r>
          </w:p>
        </w:tc>
      </w:tr>
      <w:tr w:rsidR="00D82C22" w:rsidRPr="008B13A5" w14:paraId="0462ADB9" w14:textId="77777777">
        <w:trPr>
          <w:trHeight w:val="300"/>
        </w:trPr>
        <w:tc>
          <w:tcPr>
            <w:tcW w:w="9242" w:type="dxa"/>
          </w:tcPr>
          <w:p w14:paraId="7F8DC054" w14:textId="1572C391" w:rsidR="00D82C22" w:rsidRPr="00BD008E" w:rsidRDefault="00D82C22">
            <w:pPr>
              <w:pStyle w:val="NormalWeb"/>
              <w:ind w:right="235"/>
              <w:rPr>
                <w:noProof/>
              </w:rPr>
            </w:pPr>
            <w:r w:rsidRPr="00BD008E">
              <w:rPr>
                <w:noProof/>
              </w:rPr>
              <w:t>SMEs will likely benefit significantly from the preferred option, through:</w:t>
            </w:r>
          </w:p>
          <w:p w14:paraId="7C185CDC" w14:textId="60787727" w:rsidR="00D82C22" w:rsidRPr="00BD008E" w:rsidRDefault="00D82C22" w:rsidP="00F47256">
            <w:pPr>
              <w:pStyle w:val="NormalWeb"/>
              <w:numPr>
                <w:ilvl w:val="0"/>
                <w:numId w:val="68"/>
              </w:numPr>
              <w:ind w:right="235"/>
              <w:jc w:val="both"/>
              <w:rPr>
                <w:noProof/>
              </w:rPr>
            </w:pPr>
            <w:r w:rsidRPr="00BD008E">
              <w:rPr>
                <w:rStyle w:val="Strong"/>
                <w:noProof/>
              </w:rPr>
              <w:t>Increased demand and market opportunities</w:t>
            </w:r>
            <w:r w:rsidRPr="00BD008E">
              <w:rPr>
                <w:noProof/>
              </w:rPr>
              <w:t xml:space="preserve">, especially for fabless design SMEs, </w:t>
            </w:r>
            <w:r w:rsidR="00C81FE4" w:rsidRPr="00BD008E">
              <w:rPr>
                <w:noProof/>
              </w:rPr>
              <w:t xml:space="preserve">manufacturing </w:t>
            </w:r>
            <w:r w:rsidRPr="00BD008E">
              <w:rPr>
                <w:noProof/>
              </w:rPr>
              <w:t>equipment SMEs, specialist materials suppliers, OSAT SMEs, and R&amp;D service providers. Strategic Projects create stable, long-term demand for specialised SME inputs.</w:t>
            </w:r>
          </w:p>
          <w:p w14:paraId="4DAF57FC" w14:textId="5196B719" w:rsidR="00D82C22" w:rsidRPr="00BD008E" w:rsidRDefault="00D82C22" w:rsidP="00F47256">
            <w:pPr>
              <w:pStyle w:val="NormalWeb"/>
              <w:numPr>
                <w:ilvl w:val="0"/>
                <w:numId w:val="68"/>
              </w:numPr>
              <w:ind w:right="235"/>
              <w:jc w:val="both"/>
              <w:rPr>
                <w:noProof/>
              </w:rPr>
            </w:pPr>
            <w:r w:rsidRPr="00BD008E">
              <w:rPr>
                <w:rStyle w:val="Strong"/>
                <w:noProof/>
              </w:rPr>
              <w:t>Innovation procurement</w:t>
            </w:r>
            <w:r w:rsidRPr="00BD008E">
              <w:rPr>
                <w:noProof/>
              </w:rPr>
              <w:t>, which provides:</w:t>
            </w:r>
          </w:p>
          <w:p w14:paraId="5ACF4652" w14:textId="76A7254F" w:rsidR="00D82C22" w:rsidRPr="00BD008E" w:rsidRDefault="00D82C22" w:rsidP="00F47256">
            <w:pPr>
              <w:pStyle w:val="NormalWeb"/>
              <w:numPr>
                <w:ilvl w:val="1"/>
                <w:numId w:val="68"/>
              </w:numPr>
              <w:ind w:left="1434" w:right="232" w:hanging="357"/>
              <w:contextualSpacing/>
              <w:jc w:val="both"/>
              <w:rPr>
                <w:noProof/>
              </w:rPr>
            </w:pPr>
            <w:r w:rsidRPr="00BD008E">
              <w:rPr>
                <w:noProof/>
              </w:rPr>
              <w:t>early revenue streams,</w:t>
            </w:r>
          </w:p>
          <w:p w14:paraId="5CC9A795" w14:textId="4B61334A" w:rsidR="00D82C22" w:rsidRPr="00BD008E" w:rsidRDefault="00D82C22" w:rsidP="00F47256">
            <w:pPr>
              <w:pStyle w:val="NormalWeb"/>
              <w:numPr>
                <w:ilvl w:val="1"/>
                <w:numId w:val="68"/>
              </w:numPr>
              <w:ind w:left="1434" w:right="232" w:hanging="357"/>
              <w:contextualSpacing/>
              <w:jc w:val="both"/>
              <w:rPr>
                <w:noProof/>
              </w:rPr>
            </w:pPr>
            <w:r w:rsidRPr="00BD008E">
              <w:rPr>
                <w:noProof/>
              </w:rPr>
              <w:t>anchor customers,</w:t>
            </w:r>
          </w:p>
          <w:p w14:paraId="3F2ED945" w14:textId="02481E9B" w:rsidR="00D82C22" w:rsidRPr="00BD008E" w:rsidRDefault="00D82C22" w:rsidP="00F47256">
            <w:pPr>
              <w:pStyle w:val="NormalWeb"/>
              <w:numPr>
                <w:ilvl w:val="1"/>
                <w:numId w:val="68"/>
              </w:numPr>
              <w:ind w:left="1434" w:right="232" w:hanging="357"/>
              <w:contextualSpacing/>
              <w:jc w:val="both"/>
              <w:rPr>
                <w:noProof/>
              </w:rPr>
            </w:pPr>
            <w:r w:rsidRPr="00BD008E">
              <w:rPr>
                <w:noProof/>
              </w:rPr>
              <w:t>reduced commercialisation risk,</w:t>
            </w:r>
          </w:p>
          <w:p w14:paraId="0351F341" w14:textId="62DD5C22" w:rsidR="00D82C22" w:rsidRPr="00BD008E" w:rsidRDefault="00D82C22" w:rsidP="00F47256">
            <w:pPr>
              <w:pStyle w:val="NormalWeb"/>
              <w:numPr>
                <w:ilvl w:val="1"/>
                <w:numId w:val="68"/>
              </w:numPr>
              <w:ind w:left="1434" w:right="232" w:hanging="357"/>
              <w:contextualSpacing/>
              <w:jc w:val="both"/>
              <w:rPr>
                <w:noProof/>
              </w:rPr>
            </w:pPr>
            <w:r w:rsidRPr="00BD008E">
              <w:rPr>
                <w:noProof/>
              </w:rPr>
              <w:t>enhanced technology validation.</w:t>
            </w:r>
          </w:p>
          <w:p w14:paraId="79EDA727" w14:textId="325F1EB7" w:rsidR="00D82C22" w:rsidRPr="00BD008E" w:rsidRDefault="00D82C22" w:rsidP="00F47256">
            <w:pPr>
              <w:pStyle w:val="NormalWeb"/>
              <w:numPr>
                <w:ilvl w:val="0"/>
                <w:numId w:val="68"/>
              </w:numPr>
              <w:ind w:right="235"/>
              <w:jc w:val="both"/>
              <w:rPr>
                <w:noProof/>
              </w:rPr>
            </w:pPr>
            <w:r w:rsidRPr="00BD008E">
              <w:rPr>
                <w:rStyle w:val="Strong"/>
                <w:noProof/>
              </w:rPr>
              <w:t>Improved access to advanced design, prototyping and packaging facilities</w:t>
            </w:r>
            <w:r w:rsidRPr="00BD008E">
              <w:rPr>
                <w:noProof/>
              </w:rPr>
              <w:t>, which reduces SMEs’ reliance on non-EU infrastructure and lowers development costs.</w:t>
            </w:r>
          </w:p>
          <w:p w14:paraId="2D327942" w14:textId="51662514" w:rsidR="00D82C22" w:rsidRPr="008B13A5" w:rsidRDefault="00D82C22" w:rsidP="00F47256">
            <w:pPr>
              <w:pStyle w:val="NormalWeb"/>
              <w:numPr>
                <w:ilvl w:val="0"/>
                <w:numId w:val="68"/>
              </w:numPr>
              <w:ind w:right="235"/>
              <w:jc w:val="both"/>
              <w:rPr>
                <w:i/>
                <w:iCs/>
                <w:noProof/>
                <w:color w:val="000000" w:themeColor="text1"/>
                <w:sz w:val="22"/>
                <w:szCs w:val="22"/>
                <w:u w:val="single"/>
              </w:rPr>
            </w:pPr>
            <w:r w:rsidRPr="00BD008E">
              <w:rPr>
                <w:rStyle w:val="Strong"/>
                <w:noProof/>
              </w:rPr>
              <w:t>Reduced uncertainty and disruption-related costs</w:t>
            </w:r>
            <w:r w:rsidRPr="00BD008E">
              <w:rPr>
                <w:noProof/>
              </w:rPr>
              <w:t xml:space="preserve"> due to improved supply chain resilience and earlier visibility of risks (via the </w:t>
            </w:r>
            <w:r w:rsidR="00F31543" w:rsidRPr="00BD008E">
              <w:rPr>
                <w:noProof/>
              </w:rPr>
              <w:t xml:space="preserve">Business-to-Business </w:t>
            </w:r>
            <w:r w:rsidR="000D1F3C" w:rsidRPr="00BD008E">
              <w:rPr>
                <w:noProof/>
              </w:rPr>
              <w:t>Semiconductor Supply Chain Platform</w:t>
            </w:r>
            <w:r w:rsidRPr="00BD008E">
              <w:rPr>
                <w:noProof/>
              </w:rPr>
              <w:t xml:space="preserve">). SMEs were disproportionately harmed by </w:t>
            </w:r>
            <w:r w:rsidR="000D1F3C" w:rsidRPr="00BD008E">
              <w:rPr>
                <w:noProof/>
              </w:rPr>
              <w:t>recent</w:t>
            </w:r>
            <w:r w:rsidRPr="00BD008E">
              <w:rPr>
                <w:noProof/>
              </w:rPr>
              <w:t xml:space="preserve"> shortages</w:t>
            </w:r>
            <w:r w:rsidR="000D1F3C" w:rsidRPr="00BD008E">
              <w:rPr>
                <w:noProof/>
              </w:rPr>
              <w:t xml:space="preserve"> since 2020</w:t>
            </w:r>
            <w:r w:rsidRPr="00BD008E">
              <w:rPr>
                <w:noProof/>
              </w:rPr>
              <w:t>; improved monitoring reduces production interruptions and lost revenue.</w:t>
            </w:r>
          </w:p>
        </w:tc>
      </w:tr>
      <w:tr w:rsidR="00D82C22" w:rsidRPr="008B13A5" w14:paraId="59921F68" w14:textId="77777777">
        <w:trPr>
          <w:trHeight w:val="300"/>
        </w:trPr>
        <w:tc>
          <w:tcPr>
            <w:tcW w:w="9242" w:type="dxa"/>
          </w:tcPr>
          <w:p w14:paraId="58AF5664" w14:textId="6CBCE157" w:rsidR="00D82C22" w:rsidRPr="008B13A5" w:rsidRDefault="00D82C22">
            <w:pPr>
              <w:rPr>
                <w:noProof/>
                <w:color w:val="000000" w:themeColor="text1"/>
                <w:szCs w:val="22"/>
              </w:rPr>
            </w:pPr>
            <w:r w:rsidRPr="008B13A5">
              <w:rPr>
                <w:b/>
                <w:bCs/>
                <w:noProof/>
                <w:color w:val="000000" w:themeColor="text1"/>
                <w:szCs w:val="22"/>
              </w:rPr>
              <w:t>Quantitative assessment</w:t>
            </w:r>
          </w:p>
        </w:tc>
      </w:tr>
      <w:tr w:rsidR="00D82C22" w:rsidRPr="008B13A5" w14:paraId="02C12D3D" w14:textId="77777777">
        <w:trPr>
          <w:trHeight w:val="300"/>
        </w:trPr>
        <w:tc>
          <w:tcPr>
            <w:tcW w:w="9242" w:type="dxa"/>
          </w:tcPr>
          <w:p w14:paraId="55CBB3E5" w14:textId="159D57F4" w:rsidR="00D82C22" w:rsidRPr="00BD008E" w:rsidRDefault="00D82C22">
            <w:pPr>
              <w:pStyle w:val="NormalWeb"/>
              <w:ind w:right="235"/>
              <w:jc w:val="both"/>
              <w:rPr>
                <w:noProof/>
                <w:color w:val="000000" w:themeColor="text1"/>
              </w:rPr>
            </w:pPr>
            <w:r w:rsidRPr="00BD008E">
              <w:rPr>
                <w:noProof/>
              </w:rPr>
              <w:t xml:space="preserve">The Impact Assessment presents </w:t>
            </w:r>
            <w:r w:rsidRPr="00BD008E">
              <w:rPr>
                <w:rStyle w:val="Strong"/>
                <w:noProof/>
              </w:rPr>
              <w:t>no quantified SME-specific benefits</w:t>
            </w:r>
            <w:r w:rsidRPr="00BD008E">
              <w:rPr>
                <w:noProof/>
              </w:rPr>
              <w:t xml:space="preserve">, and therefore no numerical estimates are included. Benefits remain </w:t>
            </w:r>
            <w:r w:rsidRPr="00BD008E">
              <w:rPr>
                <w:rStyle w:val="Strong"/>
                <w:noProof/>
              </w:rPr>
              <w:t>qualitative in nature</w:t>
            </w:r>
            <w:r w:rsidRPr="00BD008E">
              <w:rPr>
                <w:noProof/>
              </w:rPr>
              <w:t>, based on the structural improvements described in the report.</w:t>
            </w:r>
          </w:p>
        </w:tc>
      </w:tr>
      <w:tr w:rsidR="00D82C22" w:rsidRPr="008B13A5" w14:paraId="0BD24429" w14:textId="77777777">
        <w:trPr>
          <w:trHeight w:val="300"/>
        </w:trPr>
        <w:tc>
          <w:tcPr>
            <w:tcW w:w="9242" w:type="dxa"/>
          </w:tcPr>
          <w:p w14:paraId="47F136DB" w14:textId="56A945C3" w:rsidR="00D82C22" w:rsidRPr="008B13A5" w:rsidRDefault="00D82C22">
            <w:pPr>
              <w:rPr>
                <w:b/>
                <w:bCs/>
                <w:noProof/>
                <w:color w:val="000000" w:themeColor="text1"/>
                <w:szCs w:val="22"/>
              </w:rPr>
            </w:pPr>
            <w:r w:rsidRPr="008B13A5">
              <w:rPr>
                <w:b/>
                <w:bCs/>
                <w:noProof/>
                <w:color w:val="000000" w:themeColor="text1"/>
                <w:szCs w:val="22"/>
              </w:rPr>
              <w:t xml:space="preserve">What are the indirect impacts of this initiative on SMEs? </w:t>
            </w:r>
          </w:p>
        </w:tc>
      </w:tr>
      <w:tr w:rsidR="00D82C22" w:rsidRPr="008B13A5" w14:paraId="45056D8A" w14:textId="77777777">
        <w:trPr>
          <w:trHeight w:val="300"/>
        </w:trPr>
        <w:tc>
          <w:tcPr>
            <w:tcW w:w="9242" w:type="dxa"/>
          </w:tcPr>
          <w:p w14:paraId="1C8D7FC9" w14:textId="043F508F" w:rsidR="00D82C22" w:rsidRPr="00BD008E" w:rsidRDefault="00D82C22">
            <w:pPr>
              <w:pStyle w:val="NormalWeb"/>
              <w:rPr>
                <w:noProof/>
              </w:rPr>
            </w:pPr>
            <w:r w:rsidRPr="00BD008E">
              <w:rPr>
                <w:noProof/>
              </w:rPr>
              <w:t xml:space="preserve">Indirect impacts on SMEs in downstream sectors (automotive suppliers, industrial automation, ICT hardware, telecoms, robotics, medical devices) are expected to be </w:t>
            </w:r>
            <w:r w:rsidRPr="00BD008E">
              <w:rPr>
                <w:rStyle w:val="Strong"/>
                <w:noProof/>
              </w:rPr>
              <w:t>positive</w:t>
            </w:r>
            <w:r w:rsidRPr="00BD008E">
              <w:rPr>
                <w:noProof/>
              </w:rPr>
              <w:t>, due to:</w:t>
            </w:r>
          </w:p>
          <w:p w14:paraId="7B6BFFE8" w14:textId="475F7570" w:rsidR="00D82C22" w:rsidRPr="00BD008E" w:rsidRDefault="00D82C22" w:rsidP="00F47256">
            <w:pPr>
              <w:pStyle w:val="NormalWeb"/>
              <w:numPr>
                <w:ilvl w:val="0"/>
                <w:numId w:val="69"/>
              </w:numPr>
              <w:rPr>
                <w:noProof/>
              </w:rPr>
            </w:pPr>
            <w:r w:rsidRPr="00BD008E">
              <w:rPr>
                <w:noProof/>
              </w:rPr>
              <w:t>greater semiconductor availability,</w:t>
            </w:r>
          </w:p>
          <w:p w14:paraId="794568D4" w14:textId="4B9045BE" w:rsidR="00D82C22" w:rsidRPr="00BD008E" w:rsidRDefault="00D82C22" w:rsidP="00F47256">
            <w:pPr>
              <w:pStyle w:val="NormalWeb"/>
              <w:numPr>
                <w:ilvl w:val="0"/>
                <w:numId w:val="69"/>
              </w:numPr>
              <w:rPr>
                <w:noProof/>
              </w:rPr>
            </w:pPr>
            <w:r w:rsidRPr="00BD008E">
              <w:rPr>
                <w:noProof/>
              </w:rPr>
              <w:t>reduced exposure to global supply chain shocks,</w:t>
            </w:r>
          </w:p>
          <w:p w14:paraId="76D38F76" w14:textId="36E61DFC" w:rsidR="00D82C22" w:rsidRPr="00BD008E" w:rsidRDefault="00D82C22" w:rsidP="00F47256">
            <w:pPr>
              <w:pStyle w:val="NormalWeb"/>
              <w:numPr>
                <w:ilvl w:val="0"/>
                <w:numId w:val="69"/>
              </w:numPr>
              <w:rPr>
                <w:noProof/>
              </w:rPr>
            </w:pPr>
            <w:r w:rsidRPr="00BD008E">
              <w:rPr>
                <w:noProof/>
              </w:rPr>
              <w:t xml:space="preserve">improved </w:t>
            </w:r>
            <w:r w:rsidR="00402BCF" w:rsidRPr="00BD008E">
              <w:rPr>
                <w:noProof/>
              </w:rPr>
              <w:t>foresight</w:t>
            </w:r>
            <w:r w:rsidRPr="00BD008E">
              <w:rPr>
                <w:noProof/>
              </w:rPr>
              <w:t>,</w:t>
            </w:r>
          </w:p>
          <w:p w14:paraId="2D33AB36" w14:textId="4611B352" w:rsidR="00D82C22" w:rsidRPr="00BD008E" w:rsidRDefault="00D82C22" w:rsidP="00F47256">
            <w:pPr>
              <w:pStyle w:val="NormalWeb"/>
              <w:numPr>
                <w:ilvl w:val="0"/>
                <w:numId w:val="69"/>
              </w:numPr>
              <w:rPr>
                <w:noProof/>
              </w:rPr>
            </w:pPr>
            <w:r w:rsidRPr="00BD008E">
              <w:rPr>
                <w:noProof/>
              </w:rPr>
              <w:t>increased access to advanced chips including for AI and edge computing.</w:t>
            </w:r>
          </w:p>
          <w:p w14:paraId="323C0E82" w14:textId="7E72C469" w:rsidR="00D82C22" w:rsidRPr="008B13A5" w:rsidRDefault="00D82C22">
            <w:pPr>
              <w:pStyle w:val="NormalWeb"/>
              <w:rPr>
                <w:i/>
                <w:iCs/>
                <w:noProof/>
                <w:color w:val="000000" w:themeColor="text1"/>
                <w:sz w:val="22"/>
                <w:szCs w:val="22"/>
              </w:rPr>
            </w:pPr>
            <w:r w:rsidRPr="00BD008E">
              <w:rPr>
                <w:noProof/>
              </w:rPr>
              <w:t>These sectors contain large numbers of SMEs that previously experienced significant disruption during semiconductor shortages, suggesting substantial indirect competitiveness gains.</w:t>
            </w:r>
          </w:p>
        </w:tc>
      </w:tr>
    </w:tbl>
    <w:p w14:paraId="7C481894" w14:textId="77777777" w:rsidR="00D82C22" w:rsidRPr="008B13A5" w:rsidRDefault="00D82C22" w:rsidP="00D82C22">
      <w:pPr>
        <w:spacing w:after="0"/>
        <w:rPr>
          <w:b/>
          <w:bCs/>
          <w:noProof/>
          <w:color w:val="000000" w:themeColor="text1"/>
          <w:szCs w:val="22"/>
        </w:rPr>
      </w:pPr>
    </w:p>
    <w:tbl>
      <w:tblPr>
        <w:tblStyle w:val="TableGrid"/>
        <w:tblW w:w="0" w:type="auto"/>
        <w:tblLook w:val="04A0" w:firstRow="1" w:lastRow="0" w:firstColumn="1" w:lastColumn="0" w:noHBand="0" w:noVBand="1"/>
      </w:tblPr>
      <w:tblGrid>
        <w:gridCol w:w="9286"/>
      </w:tblGrid>
      <w:tr w:rsidR="00D82C22" w:rsidRPr="008B13A5" w14:paraId="62C6F1C6" w14:textId="77777777">
        <w:tc>
          <w:tcPr>
            <w:tcW w:w="9288" w:type="dxa"/>
          </w:tcPr>
          <w:p w14:paraId="74E3D09C" w14:textId="46B14202" w:rsidR="00D82C22" w:rsidRPr="008B13A5" w:rsidRDefault="00D82C22" w:rsidP="00F47256">
            <w:pPr>
              <w:pStyle w:val="ListParagraph"/>
              <w:numPr>
                <w:ilvl w:val="0"/>
                <w:numId w:val="6"/>
              </w:numPr>
              <w:spacing w:after="0"/>
              <w:ind w:left="644"/>
              <w:jc w:val="left"/>
              <w:rPr>
                <w:b/>
                <w:bCs/>
                <w:smallCaps/>
                <w:noProof/>
                <w:color w:val="000000" w:themeColor="text1"/>
                <w:sz w:val="22"/>
                <w:szCs w:val="22"/>
              </w:rPr>
            </w:pPr>
            <w:r w:rsidRPr="008B13A5">
              <w:rPr>
                <w:b/>
                <w:bCs/>
                <w:smallCaps/>
                <w:noProof/>
                <w:color w:val="000000" w:themeColor="text1"/>
                <w:sz w:val="22"/>
                <w:szCs w:val="22"/>
              </w:rPr>
              <w:t>Minimising negative impacts on SMEs</w:t>
            </w:r>
          </w:p>
        </w:tc>
      </w:tr>
      <w:tr w:rsidR="00D82C22" w:rsidRPr="008B13A5" w14:paraId="4EB91C4C" w14:textId="77777777">
        <w:tc>
          <w:tcPr>
            <w:tcW w:w="9288" w:type="dxa"/>
          </w:tcPr>
          <w:p w14:paraId="064CE350" w14:textId="42F7AABD" w:rsidR="00D82C22" w:rsidRPr="008B13A5" w:rsidRDefault="00D82C22" w:rsidP="00612F90">
            <w:pPr>
              <w:rPr>
                <w:b/>
                <w:bCs/>
                <w:noProof/>
                <w:color w:val="000000" w:themeColor="text1"/>
                <w:szCs w:val="22"/>
              </w:rPr>
            </w:pPr>
            <w:r w:rsidRPr="008B13A5">
              <w:rPr>
                <w:b/>
                <w:bCs/>
                <w:noProof/>
                <w:color w:val="000000" w:themeColor="text1"/>
                <w:szCs w:val="22"/>
              </w:rPr>
              <w:t>Are SMEs disproportionately affected compared to large companies?</w:t>
            </w:r>
          </w:p>
        </w:tc>
      </w:tr>
      <w:tr w:rsidR="00D82C22" w:rsidRPr="008B13A5" w14:paraId="6C196EA0" w14:textId="77777777">
        <w:tc>
          <w:tcPr>
            <w:tcW w:w="9288" w:type="dxa"/>
          </w:tcPr>
          <w:p w14:paraId="2E7F7E34" w14:textId="5B78F60D" w:rsidR="00D82C22" w:rsidRPr="00BD008E" w:rsidRDefault="00D82C22">
            <w:pPr>
              <w:pStyle w:val="NormalWeb"/>
              <w:jc w:val="both"/>
              <w:rPr>
                <w:noProof/>
              </w:rPr>
            </w:pPr>
            <w:r w:rsidRPr="00BD008E">
              <w:rPr>
                <w:noProof/>
              </w:rPr>
              <w:t xml:space="preserve">SMEs are </w:t>
            </w:r>
            <w:r w:rsidRPr="00BD008E">
              <w:rPr>
                <w:rStyle w:val="Strong"/>
                <w:noProof/>
              </w:rPr>
              <w:t>not disproportionately affected</w:t>
            </w:r>
            <w:r w:rsidRPr="00BD008E">
              <w:rPr>
                <w:noProof/>
              </w:rPr>
              <w:t xml:space="preserve"> under the preferred option. </w:t>
            </w:r>
          </w:p>
        </w:tc>
      </w:tr>
      <w:tr w:rsidR="00D82C22" w:rsidRPr="008B13A5" w14:paraId="2867EB2A" w14:textId="77777777">
        <w:tc>
          <w:tcPr>
            <w:tcW w:w="9288" w:type="dxa"/>
          </w:tcPr>
          <w:p w14:paraId="26B5D2E2" w14:textId="4A8428C3" w:rsidR="00D82C22" w:rsidRPr="008B13A5" w:rsidRDefault="00D82C22">
            <w:pPr>
              <w:rPr>
                <w:b/>
                <w:bCs/>
                <w:noProof/>
                <w:color w:val="000000" w:themeColor="text1"/>
                <w:szCs w:val="22"/>
              </w:rPr>
            </w:pPr>
            <w:r w:rsidRPr="008B13A5">
              <w:rPr>
                <w:b/>
                <w:bCs/>
                <w:noProof/>
                <w:color w:val="000000" w:themeColor="text1"/>
                <w:szCs w:val="22"/>
              </w:rPr>
              <w:t xml:space="preserve">Have mitigating measures been included in the preferred option/proposal? </w:t>
            </w:r>
          </w:p>
        </w:tc>
      </w:tr>
      <w:tr w:rsidR="00D82C22" w:rsidRPr="008B13A5" w14:paraId="0D1E4157" w14:textId="77777777">
        <w:tc>
          <w:tcPr>
            <w:tcW w:w="9288" w:type="dxa"/>
          </w:tcPr>
          <w:p w14:paraId="35B5738A" w14:textId="0E71E511" w:rsidR="00D82C22" w:rsidRPr="008B13A5" w:rsidRDefault="00293E6F">
            <w:pPr>
              <w:rPr>
                <w:i/>
                <w:noProof/>
                <w:color w:val="000000" w:themeColor="text1"/>
              </w:rPr>
            </w:pPr>
            <w:r w:rsidRPr="008B13A5">
              <w:rPr>
                <w:noProof/>
              </w:rPr>
              <w:t>N</w:t>
            </w:r>
            <w:r w:rsidR="00D82C22" w:rsidRPr="008B13A5">
              <w:rPr>
                <w:noProof/>
              </w:rPr>
              <w:t>o mitigation measures are required</w:t>
            </w:r>
            <w:r w:rsidRPr="008B13A5">
              <w:rPr>
                <w:noProof/>
              </w:rPr>
              <w:t xml:space="preserve"> since </w:t>
            </w:r>
            <w:r w:rsidR="00D82C22" w:rsidRPr="008B13A5">
              <w:rPr>
                <w:noProof/>
              </w:rPr>
              <w:t xml:space="preserve">SMEs are not disproportionately affected by the preferred option . Instead, the initiative includes several features that proactively promote SME participation and ensure </w:t>
            </w:r>
            <w:r w:rsidR="00654E99" w:rsidRPr="008B13A5">
              <w:rPr>
                <w:noProof/>
              </w:rPr>
              <w:t xml:space="preserve">that </w:t>
            </w:r>
            <w:r w:rsidR="00D82C22" w:rsidRPr="008B13A5">
              <w:rPr>
                <w:noProof/>
              </w:rPr>
              <w:t xml:space="preserve">the regulatory framework remains proportionate for smaller firms. These features include the </w:t>
            </w:r>
            <w:r w:rsidR="00654E99" w:rsidRPr="008B13A5">
              <w:rPr>
                <w:noProof/>
              </w:rPr>
              <w:t>possibility</w:t>
            </w:r>
            <w:r w:rsidR="00D82C22" w:rsidRPr="008B13A5">
              <w:rPr>
                <w:noProof/>
              </w:rPr>
              <w:t xml:space="preserve"> of participation in Strategic Projects and innovation procurement. The preferred option also enhances SMEs’ access to advanced design</w:t>
            </w:r>
            <w:r w:rsidR="00654E99" w:rsidRPr="008B13A5">
              <w:rPr>
                <w:noProof/>
              </w:rPr>
              <w:t xml:space="preserve"> facilities</w:t>
            </w:r>
            <w:r w:rsidR="00D82C22" w:rsidRPr="008B13A5">
              <w:rPr>
                <w:noProof/>
              </w:rPr>
              <w:t xml:space="preserve">, prototyping and </w:t>
            </w:r>
            <w:r w:rsidR="00654E99" w:rsidRPr="008B13A5">
              <w:rPr>
                <w:noProof/>
              </w:rPr>
              <w:t xml:space="preserve">potentially </w:t>
            </w:r>
            <w:r w:rsidR="00D82C22" w:rsidRPr="008B13A5">
              <w:rPr>
                <w:noProof/>
              </w:rPr>
              <w:t>small-lot manufacturing capacities, and strengthens supply -chain resilience, which particularly benefits SMEs given their higher vulnerability to disruptions.</w:t>
            </w:r>
          </w:p>
        </w:tc>
      </w:tr>
    </w:tbl>
    <w:p w14:paraId="5CBD4FAA" w14:textId="77777777" w:rsidR="00D82C22" w:rsidRPr="008B13A5" w:rsidRDefault="00D82C22" w:rsidP="00D82C22">
      <w:pPr>
        <w:spacing w:after="0"/>
        <w:rPr>
          <w:b/>
          <w:bCs/>
          <w:smallCaps/>
          <w:noProof/>
          <w:color w:val="000000" w:themeColor="text1"/>
          <w:szCs w:val="22"/>
        </w:rPr>
      </w:pPr>
    </w:p>
    <w:tbl>
      <w:tblPr>
        <w:tblStyle w:val="TableGrid"/>
        <w:tblW w:w="0" w:type="auto"/>
        <w:tblInd w:w="-108" w:type="dxa"/>
        <w:tblLayout w:type="fixed"/>
        <w:tblCellMar>
          <w:left w:w="0" w:type="dxa"/>
          <w:right w:w="0" w:type="dxa"/>
        </w:tblCellMar>
        <w:tblLook w:val="06A0" w:firstRow="1" w:lastRow="0" w:firstColumn="1" w:lastColumn="0" w:noHBand="1" w:noVBand="1"/>
      </w:tblPr>
      <w:tblGrid>
        <w:gridCol w:w="9180"/>
      </w:tblGrid>
      <w:tr w:rsidR="00D82C22" w:rsidRPr="008B13A5" w14:paraId="30714990" w14:textId="77777777">
        <w:trPr>
          <w:trHeight w:val="300"/>
        </w:trPr>
        <w:tc>
          <w:tcPr>
            <w:tcW w:w="9180" w:type="dxa"/>
          </w:tcPr>
          <w:p w14:paraId="65A61B46" w14:textId="1AC802C1" w:rsidR="00D82C22" w:rsidRPr="008B13A5" w:rsidRDefault="00D82C22">
            <w:pPr>
              <w:rPr>
                <w:b/>
                <w:bCs/>
                <w:smallCaps/>
                <w:noProof/>
                <w:color w:val="000000" w:themeColor="text1"/>
                <w:szCs w:val="22"/>
              </w:rPr>
            </w:pPr>
            <w:r w:rsidRPr="008B13A5">
              <w:rPr>
                <w:b/>
                <w:bCs/>
                <w:smallCaps/>
                <w:noProof/>
                <w:color w:val="000000" w:themeColor="text1"/>
                <w:szCs w:val="22"/>
              </w:rPr>
              <w:t>Contribution to the 35% burden reduction target for SMEs</w:t>
            </w:r>
          </w:p>
        </w:tc>
      </w:tr>
      <w:tr w:rsidR="00D82C22" w:rsidRPr="008B13A5" w14:paraId="31F45C8E" w14:textId="77777777">
        <w:trPr>
          <w:trHeight w:val="300"/>
        </w:trPr>
        <w:tc>
          <w:tcPr>
            <w:tcW w:w="9180" w:type="dxa"/>
          </w:tcPr>
          <w:p w14:paraId="051FD9D4" w14:textId="4AE72CFE" w:rsidR="00D82C22" w:rsidRPr="008B13A5" w:rsidRDefault="00D82C22">
            <w:pPr>
              <w:rPr>
                <w:b/>
                <w:bCs/>
                <w:noProof/>
                <w:color w:val="000000" w:themeColor="text1"/>
                <w:szCs w:val="22"/>
              </w:rPr>
            </w:pPr>
            <w:r w:rsidRPr="008B13A5">
              <w:rPr>
                <w:b/>
                <w:bCs/>
                <w:noProof/>
                <w:color w:val="000000" w:themeColor="text1"/>
                <w:szCs w:val="22"/>
              </w:rPr>
              <w:t>Are there any administrative cost savings relevant for the 35% burden reduction target for SMEs?</w:t>
            </w:r>
          </w:p>
        </w:tc>
      </w:tr>
      <w:tr w:rsidR="00D82C22" w:rsidRPr="008B13A5" w14:paraId="48268ED4" w14:textId="77777777">
        <w:trPr>
          <w:trHeight w:val="300"/>
        </w:trPr>
        <w:tc>
          <w:tcPr>
            <w:tcW w:w="9180" w:type="dxa"/>
          </w:tcPr>
          <w:p w14:paraId="068F7274" w14:textId="5069DC0E" w:rsidR="002C3D2B" w:rsidRPr="002C3D2B" w:rsidRDefault="00D82C22">
            <w:pPr>
              <w:ind w:right="145"/>
              <w:rPr>
                <w:noProof/>
              </w:rPr>
            </w:pPr>
            <w:r w:rsidRPr="008B13A5">
              <w:rPr>
                <w:noProof/>
              </w:rPr>
              <w:t>The preferred option introduces several simplification measures that generate administrative cost savings for SMEs and contribute to the EU’s 35% burden-reduction target.  The establishment of more streamlined and predictable procedures under the revised Chips Act, including clearer pathways for participation in Strategic Projects and innovation procurement, reduces administrative complexity for SMEs</w:t>
            </w:r>
            <w:r w:rsidR="00870150" w:rsidRPr="008B13A5">
              <w:rPr>
                <w:noProof/>
              </w:rPr>
              <w:t>.</w:t>
            </w:r>
          </w:p>
        </w:tc>
      </w:tr>
    </w:tbl>
    <w:p w14:paraId="4570FBE8" w14:textId="1B50E79E" w:rsidR="00D20FD1" w:rsidRPr="008B13A5" w:rsidRDefault="00D20FD1" w:rsidP="002C3D2B">
      <w:pPr>
        <w:rPr>
          <w:noProof/>
        </w:rPr>
      </w:pPr>
    </w:p>
    <w:sectPr w:rsidR="00D20FD1" w:rsidRPr="008B13A5" w:rsidSect="00CE090F">
      <w:headerReference w:type="even" r:id="rId63"/>
      <w:headerReference w:type="default" r:id="rId64"/>
      <w:footerReference w:type="even" r:id="rId65"/>
      <w:footerReference w:type="default" r:id="rId66"/>
      <w:headerReference w:type="first" r:id="rId67"/>
      <w:footerReference w:type="first" r:id="rId68"/>
      <w:pgSz w:w="11906" w:h="16838"/>
      <w:pgMar w:top="1134" w:right="1418" w:bottom="1134" w:left="1418"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A568B7" w14:textId="77777777" w:rsidR="00025A31" w:rsidRDefault="00025A31" w:rsidP="000E3086">
      <w:r>
        <w:separator/>
      </w:r>
    </w:p>
  </w:endnote>
  <w:endnote w:type="continuationSeparator" w:id="0">
    <w:p w14:paraId="6AD775BE" w14:textId="77777777" w:rsidR="00025A31" w:rsidRDefault="00025A31" w:rsidP="000E3086">
      <w:r>
        <w:continuationSeparator/>
      </w:r>
    </w:p>
  </w:endnote>
  <w:endnote w:type="continuationNotice" w:id="1">
    <w:p w14:paraId="5EF92837" w14:textId="77777777" w:rsidR="00025A31" w:rsidRDefault="00025A3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Aptos&quot;,sans-serif">
    <w:altName w:val="Cambria"/>
    <w:charset w:val="00"/>
    <w:family w:val="roman"/>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pitch w:val="fixed"/>
    <w:sig w:usb0="00000001" w:usb1="08070000" w:usb2="00000010" w:usb3="00000000" w:csb0="0002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4218D" w14:textId="176B4D01" w:rsidR="0029590C" w:rsidRPr="0029590C" w:rsidRDefault="0029590C" w:rsidP="0029590C">
    <w:pPr>
      <w:pStyle w:val="FooterCoverPage"/>
      <w:rPr>
        <w:rFonts w:ascii="Arial" w:hAnsi="Arial" w:cs="Arial"/>
        <w:b/>
        <w:sz w:val="48"/>
      </w:rPr>
    </w:pPr>
    <w:r w:rsidRPr="0029590C">
      <w:rPr>
        <w:rFonts w:ascii="Arial" w:hAnsi="Arial" w:cs="Arial"/>
        <w:b/>
        <w:sz w:val="48"/>
      </w:rPr>
      <w:t>EN</w:t>
    </w:r>
    <w:r w:rsidRPr="0029590C">
      <w:rPr>
        <w:rFonts w:ascii="Arial" w:hAnsi="Arial" w:cs="Arial"/>
        <w:b/>
        <w:sz w:val="48"/>
      </w:rPr>
      <w:tab/>
    </w:r>
    <w:r w:rsidRPr="0029590C">
      <w:rPr>
        <w:rFonts w:ascii="Arial" w:hAnsi="Arial" w:cs="Arial"/>
        <w:b/>
        <w:sz w:val="48"/>
      </w:rPr>
      <w:tab/>
    </w:r>
    <w:r w:rsidRPr="0029590C">
      <w:tab/>
    </w:r>
    <w:r w:rsidRPr="0029590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455A2" w14:textId="736637DE" w:rsidR="0029590C" w:rsidRPr="0029590C" w:rsidRDefault="0029590C" w:rsidP="0029590C">
    <w:pPr>
      <w:pStyle w:val="FooterCoverPage"/>
      <w:rPr>
        <w:rFonts w:ascii="Arial" w:hAnsi="Arial" w:cs="Arial"/>
        <w:b/>
        <w:sz w:val="48"/>
      </w:rPr>
    </w:pPr>
    <w:r w:rsidRPr="0029590C">
      <w:rPr>
        <w:rFonts w:ascii="Arial" w:hAnsi="Arial" w:cs="Arial"/>
        <w:b/>
        <w:sz w:val="48"/>
      </w:rPr>
      <w:t>EN</w:t>
    </w:r>
    <w:r w:rsidRPr="0029590C">
      <w:rPr>
        <w:rFonts w:ascii="Arial" w:hAnsi="Arial" w:cs="Arial"/>
        <w:b/>
        <w:sz w:val="48"/>
      </w:rPr>
      <w:tab/>
    </w:r>
    <w:r w:rsidRPr="0029590C">
      <w:rPr>
        <w:rFonts w:ascii="Arial" w:hAnsi="Arial" w:cs="Arial"/>
        <w:b/>
        <w:sz w:val="48"/>
      </w:rPr>
      <w:tab/>
    </w:r>
    <w:r w:rsidRPr="0029590C">
      <w:tab/>
    </w:r>
    <w:r w:rsidRPr="0029590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E1632" w14:textId="77777777" w:rsidR="0029590C" w:rsidRPr="0029590C" w:rsidRDefault="0029590C" w:rsidP="0029590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74604" w14:textId="77777777" w:rsidR="0082415D" w:rsidRPr="0047587F" w:rsidRDefault="00357621" w:rsidP="0047587F">
    <w:pPr>
      <w:pStyle w:val="FooterCoverPage"/>
      <w:rPr>
        <w:rFonts w:ascii="Arial" w:hAnsi="Arial" w:cs="Arial"/>
        <w:b/>
        <w:sz w:val="48"/>
      </w:rPr>
    </w:pPr>
    <w:r w:rsidRPr="0047587F">
      <w:rPr>
        <w:rFonts w:ascii="Arial" w:hAnsi="Arial" w:cs="Arial"/>
        <w:b/>
        <w:sz w:val="48"/>
      </w:rPr>
      <w:t>EN</w:t>
    </w:r>
    <w:r w:rsidRPr="0047587F">
      <w:rPr>
        <w:rFonts w:ascii="Arial" w:hAnsi="Arial" w:cs="Arial"/>
        <w:b/>
        <w:sz w:val="48"/>
      </w:rPr>
      <w:tab/>
    </w:r>
    <w:r w:rsidRPr="0047587F">
      <w:rPr>
        <w:rFonts w:ascii="Arial" w:hAnsi="Arial" w:cs="Arial"/>
        <w:b/>
        <w:sz w:val="48"/>
      </w:rPr>
      <w:tab/>
    </w:r>
    <w:r w:rsidRPr="0047587F">
      <w:tab/>
    </w:r>
    <w:r w:rsidRPr="0047587F">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E25EC" w14:textId="4EB1EA50" w:rsidR="00F8618D" w:rsidRPr="00923415" w:rsidRDefault="00F8618D">
    <w:pPr>
      <w:pStyle w:val="Footer"/>
      <w:spacing w:after="120"/>
      <w:jc w:val="center"/>
      <w:rPr>
        <w:sz w:val="22"/>
        <w:szCs w:val="10"/>
      </w:rPr>
    </w:pPr>
    <w:r w:rsidRPr="00923415">
      <w:rPr>
        <w:sz w:val="22"/>
        <w:szCs w:val="22"/>
      </w:rPr>
      <w:fldChar w:fldCharType="begin"/>
    </w:r>
    <w:r w:rsidRPr="00923415">
      <w:rPr>
        <w:sz w:val="22"/>
        <w:szCs w:val="22"/>
      </w:rPr>
      <w:instrText xml:space="preserve"> PAGE   \* MERGEFORMAT </w:instrText>
    </w:r>
    <w:r w:rsidRPr="00923415">
      <w:rPr>
        <w:sz w:val="22"/>
        <w:szCs w:val="22"/>
      </w:rPr>
      <w:fldChar w:fldCharType="separate"/>
    </w:r>
    <w:r w:rsidR="0029590C">
      <w:rPr>
        <w:noProof/>
        <w:sz w:val="22"/>
        <w:szCs w:val="22"/>
      </w:rPr>
      <w:t>2</w:t>
    </w:r>
    <w:r w:rsidRPr="00923415">
      <w:rPr>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7122331"/>
      <w:docPartObj>
        <w:docPartGallery w:val="Page Numbers (Bottom of Page)"/>
        <w:docPartUnique/>
      </w:docPartObj>
    </w:sdtPr>
    <w:sdtEndPr>
      <w:rPr>
        <w:noProof/>
        <w:sz w:val="22"/>
        <w:szCs w:val="28"/>
      </w:rPr>
    </w:sdtEndPr>
    <w:sdtContent>
      <w:p w14:paraId="7045F6E9" w14:textId="4E5FB47F" w:rsidR="00F8618D" w:rsidRPr="00773570" w:rsidRDefault="00F8618D">
        <w:pPr>
          <w:pStyle w:val="Footer"/>
          <w:jc w:val="center"/>
          <w:rPr>
            <w:sz w:val="22"/>
            <w:szCs w:val="28"/>
          </w:rPr>
        </w:pPr>
        <w:r w:rsidRPr="00773570">
          <w:rPr>
            <w:sz w:val="22"/>
            <w:szCs w:val="28"/>
          </w:rPr>
          <w:fldChar w:fldCharType="begin"/>
        </w:r>
        <w:r w:rsidRPr="00773570">
          <w:rPr>
            <w:sz w:val="22"/>
            <w:szCs w:val="28"/>
          </w:rPr>
          <w:instrText xml:space="preserve"> PAGE   \* MERGEFORMAT </w:instrText>
        </w:r>
        <w:r w:rsidRPr="00773570">
          <w:rPr>
            <w:sz w:val="22"/>
            <w:szCs w:val="28"/>
          </w:rPr>
          <w:fldChar w:fldCharType="separate"/>
        </w:r>
        <w:r w:rsidR="0029590C">
          <w:rPr>
            <w:noProof/>
            <w:sz w:val="22"/>
            <w:szCs w:val="28"/>
          </w:rPr>
          <w:t>1</w:t>
        </w:r>
        <w:r w:rsidRPr="00773570">
          <w:rPr>
            <w:noProof/>
            <w:sz w:val="22"/>
            <w:szCs w:val="28"/>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A0133" w14:textId="77777777" w:rsidR="0082415D" w:rsidRPr="00923415" w:rsidRDefault="00313E99">
    <w:pPr>
      <w:pStyle w:val="Footer"/>
      <w:spacing w:after="120"/>
      <w:jc w:val="center"/>
      <w:rPr>
        <w:sz w:val="22"/>
        <w:szCs w:val="10"/>
      </w:rPr>
    </w:pPr>
    <w:r w:rsidRPr="00923415">
      <w:rPr>
        <w:sz w:val="22"/>
        <w:szCs w:val="22"/>
      </w:rPr>
      <w:fldChar w:fldCharType="begin"/>
    </w:r>
    <w:r w:rsidRPr="00923415">
      <w:rPr>
        <w:sz w:val="22"/>
        <w:szCs w:val="22"/>
      </w:rPr>
      <w:instrText xml:space="preserve"> PAGE   \* MERGEFORMAT </w:instrText>
    </w:r>
    <w:r w:rsidRPr="00923415">
      <w:rPr>
        <w:sz w:val="22"/>
        <w:szCs w:val="22"/>
      </w:rPr>
      <w:fldChar w:fldCharType="separate"/>
    </w:r>
    <w:r w:rsidRPr="00923415">
      <w:rPr>
        <w:sz w:val="22"/>
        <w:szCs w:val="22"/>
      </w:rPr>
      <w:t>2</w:t>
    </w:r>
    <w:r w:rsidRPr="00923415">
      <w:rPr>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4942651"/>
      <w:docPartObj>
        <w:docPartGallery w:val="Page Numbers (Bottom of Page)"/>
        <w:docPartUnique/>
      </w:docPartObj>
    </w:sdtPr>
    <w:sdtEndPr>
      <w:rPr>
        <w:noProof/>
        <w:sz w:val="22"/>
        <w:szCs w:val="28"/>
      </w:rPr>
    </w:sdtEndPr>
    <w:sdtContent>
      <w:p w14:paraId="1732A776" w14:textId="77777777" w:rsidR="0082415D" w:rsidRPr="00773570" w:rsidRDefault="00313E99">
        <w:pPr>
          <w:pStyle w:val="Footer"/>
          <w:jc w:val="center"/>
          <w:rPr>
            <w:sz w:val="22"/>
            <w:szCs w:val="28"/>
          </w:rPr>
        </w:pPr>
        <w:r w:rsidRPr="00773570">
          <w:rPr>
            <w:sz w:val="22"/>
            <w:szCs w:val="28"/>
          </w:rPr>
          <w:fldChar w:fldCharType="begin"/>
        </w:r>
        <w:r w:rsidRPr="00773570">
          <w:rPr>
            <w:sz w:val="22"/>
            <w:szCs w:val="28"/>
          </w:rPr>
          <w:instrText xml:space="preserve"> PAGE   \* MERGEFORMAT </w:instrText>
        </w:r>
        <w:r w:rsidRPr="00773570">
          <w:rPr>
            <w:sz w:val="22"/>
            <w:szCs w:val="28"/>
          </w:rPr>
          <w:fldChar w:fldCharType="separate"/>
        </w:r>
        <w:r w:rsidRPr="00773570">
          <w:rPr>
            <w:noProof/>
            <w:sz w:val="22"/>
            <w:szCs w:val="28"/>
          </w:rPr>
          <w:t>2</w:t>
        </w:r>
        <w:r w:rsidRPr="00773570">
          <w:rPr>
            <w:noProof/>
            <w:sz w:val="22"/>
            <w:szCs w:val="28"/>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5EC0D" w14:textId="77777777" w:rsidR="0082415D" w:rsidRPr="00923415" w:rsidRDefault="00313E99">
    <w:pPr>
      <w:pStyle w:val="Footer"/>
      <w:spacing w:after="120"/>
      <w:jc w:val="center"/>
      <w:rPr>
        <w:sz w:val="22"/>
        <w:szCs w:val="10"/>
      </w:rPr>
    </w:pPr>
    <w:r w:rsidRPr="00923415">
      <w:rPr>
        <w:sz w:val="22"/>
        <w:szCs w:val="22"/>
      </w:rPr>
      <w:fldChar w:fldCharType="begin"/>
    </w:r>
    <w:r w:rsidRPr="00923415">
      <w:rPr>
        <w:sz w:val="22"/>
        <w:szCs w:val="22"/>
      </w:rPr>
      <w:instrText xml:space="preserve"> PAGE   \* MERGEFORMAT </w:instrText>
    </w:r>
    <w:r w:rsidRPr="00923415">
      <w:rPr>
        <w:sz w:val="22"/>
        <w:szCs w:val="22"/>
      </w:rPr>
      <w:fldChar w:fldCharType="separate"/>
    </w:r>
    <w:r w:rsidRPr="00923415">
      <w:rPr>
        <w:sz w:val="22"/>
        <w:szCs w:val="22"/>
      </w:rPr>
      <w:t>2</w:t>
    </w:r>
    <w:r w:rsidRPr="00923415">
      <w:rPr>
        <w:sz w:val="22"/>
        <w:szCs w:val="2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896720"/>
      <w:docPartObj>
        <w:docPartGallery w:val="Page Numbers (Bottom of Page)"/>
        <w:docPartUnique/>
      </w:docPartObj>
    </w:sdtPr>
    <w:sdtEndPr>
      <w:rPr>
        <w:noProof/>
        <w:sz w:val="22"/>
        <w:szCs w:val="28"/>
      </w:rPr>
    </w:sdtEndPr>
    <w:sdtContent>
      <w:p w14:paraId="2C2D288D" w14:textId="77777777" w:rsidR="0082415D" w:rsidRPr="00773570" w:rsidRDefault="00313E99">
        <w:pPr>
          <w:pStyle w:val="Footer"/>
          <w:jc w:val="center"/>
          <w:rPr>
            <w:sz w:val="22"/>
            <w:szCs w:val="28"/>
          </w:rPr>
        </w:pPr>
        <w:r w:rsidRPr="00773570">
          <w:rPr>
            <w:sz w:val="22"/>
            <w:szCs w:val="28"/>
          </w:rPr>
          <w:fldChar w:fldCharType="begin"/>
        </w:r>
        <w:r w:rsidRPr="00773570">
          <w:rPr>
            <w:sz w:val="22"/>
            <w:szCs w:val="28"/>
          </w:rPr>
          <w:instrText xml:space="preserve"> PAGE   \* MERGEFORMAT </w:instrText>
        </w:r>
        <w:r w:rsidRPr="00773570">
          <w:rPr>
            <w:sz w:val="22"/>
            <w:szCs w:val="28"/>
          </w:rPr>
          <w:fldChar w:fldCharType="separate"/>
        </w:r>
        <w:r w:rsidRPr="00773570">
          <w:rPr>
            <w:noProof/>
            <w:sz w:val="22"/>
            <w:szCs w:val="28"/>
          </w:rPr>
          <w:t>2</w:t>
        </w:r>
        <w:r w:rsidRPr="00773570">
          <w:rPr>
            <w:noProof/>
            <w:sz w:val="22"/>
            <w:szCs w:val="28"/>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F4666" w14:textId="77777777" w:rsidR="0082415D" w:rsidRPr="00923415" w:rsidRDefault="00313E99">
    <w:pPr>
      <w:pStyle w:val="Footer"/>
      <w:spacing w:after="120"/>
      <w:jc w:val="center"/>
      <w:rPr>
        <w:sz w:val="22"/>
        <w:szCs w:val="10"/>
      </w:rPr>
    </w:pPr>
    <w:r w:rsidRPr="00923415">
      <w:rPr>
        <w:sz w:val="22"/>
        <w:szCs w:val="22"/>
      </w:rPr>
      <w:fldChar w:fldCharType="begin"/>
    </w:r>
    <w:r w:rsidRPr="00923415">
      <w:rPr>
        <w:sz w:val="22"/>
        <w:szCs w:val="22"/>
      </w:rPr>
      <w:instrText xml:space="preserve"> PAGE   \* MERGEFORMAT </w:instrText>
    </w:r>
    <w:r w:rsidRPr="00923415">
      <w:rPr>
        <w:sz w:val="22"/>
        <w:szCs w:val="22"/>
      </w:rPr>
      <w:fldChar w:fldCharType="separate"/>
    </w:r>
    <w:r w:rsidRPr="00923415">
      <w:rPr>
        <w:sz w:val="22"/>
        <w:szCs w:val="22"/>
      </w:rPr>
      <w:t>2</w:t>
    </w:r>
    <w:r w:rsidRPr="00923415">
      <w:rPr>
        <w:sz w:val="22"/>
        <w:szCs w:val="22"/>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3317569"/>
      <w:docPartObj>
        <w:docPartGallery w:val="Page Numbers (Bottom of Page)"/>
        <w:docPartUnique/>
      </w:docPartObj>
    </w:sdtPr>
    <w:sdtEndPr>
      <w:rPr>
        <w:noProof/>
        <w:sz w:val="22"/>
        <w:szCs w:val="28"/>
      </w:rPr>
    </w:sdtEndPr>
    <w:sdtContent>
      <w:p w14:paraId="0C097B5F" w14:textId="77777777" w:rsidR="0082415D" w:rsidRPr="00773570" w:rsidRDefault="00313E99">
        <w:pPr>
          <w:pStyle w:val="Footer"/>
          <w:jc w:val="center"/>
          <w:rPr>
            <w:sz w:val="22"/>
            <w:szCs w:val="28"/>
          </w:rPr>
        </w:pPr>
        <w:r w:rsidRPr="00773570">
          <w:rPr>
            <w:sz w:val="22"/>
            <w:szCs w:val="28"/>
          </w:rPr>
          <w:fldChar w:fldCharType="begin"/>
        </w:r>
        <w:r w:rsidRPr="00773570">
          <w:rPr>
            <w:sz w:val="22"/>
            <w:szCs w:val="28"/>
          </w:rPr>
          <w:instrText xml:space="preserve"> PAGE   \* MERGEFORMAT </w:instrText>
        </w:r>
        <w:r w:rsidRPr="00773570">
          <w:rPr>
            <w:sz w:val="22"/>
            <w:szCs w:val="28"/>
          </w:rPr>
          <w:fldChar w:fldCharType="separate"/>
        </w:r>
        <w:r w:rsidRPr="00773570">
          <w:rPr>
            <w:noProof/>
            <w:sz w:val="22"/>
            <w:szCs w:val="28"/>
          </w:rPr>
          <w:t>2</w:t>
        </w:r>
        <w:r w:rsidRPr="00773570">
          <w:rPr>
            <w:noProof/>
            <w:sz w:val="22"/>
            <w:szCs w:val="28"/>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281AD" w14:textId="45861BEB" w:rsidR="00CB14B2" w:rsidRDefault="00CB14B2" w:rsidP="000E308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9CE2C" w14:textId="5D70B60A" w:rsidR="00CB14B2" w:rsidRDefault="00CB14B2" w:rsidP="00F92EAE">
    <w:pPr>
      <w:pStyle w:val="Footer"/>
      <w:jc w:val="center"/>
    </w:pPr>
    <w:r>
      <w:fldChar w:fldCharType="begin"/>
    </w:r>
    <w:r>
      <w:instrText>PAGE</w:instrText>
    </w:r>
    <w:r>
      <w:fldChar w:fldCharType="separate"/>
    </w:r>
    <w:r w:rsidR="000517E9">
      <w:rPr>
        <w:noProof/>
      </w:rPr>
      <w:t>7</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8399700"/>
      <w:docPartObj>
        <w:docPartGallery w:val="Page Numbers (Bottom of Page)"/>
        <w:docPartUnique/>
      </w:docPartObj>
    </w:sdtPr>
    <w:sdtEndPr>
      <w:rPr>
        <w:noProof/>
      </w:rPr>
    </w:sdtEndPr>
    <w:sdtContent>
      <w:p w14:paraId="23BC81F8" w14:textId="369FE6AF" w:rsidR="00CB14B2" w:rsidRDefault="00CB14B2" w:rsidP="000E3086">
        <w:pPr>
          <w:pStyle w:val="Footer"/>
        </w:pPr>
        <w:r>
          <w:fldChar w:fldCharType="begin"/>
        </w:r>
        <w:r>
          <w:instrText xml:space="preserve"> PAGE   \* MERGEFORMAT </w:instrText>
        </w:r>
        <w:r>
          <w:fldChar w:fldCharType="separate"/>
        </w:r>
        <w:r w:rsidR="000517E9">
          <w:rPr>
            <w:noProof/>
          </w:rPr>
          <w:t>1</w:t>
        </w:r>
        <w:r>
          <w:rPr>
            <w:noProof/>
          </w:rPr>
          <w:fldChar w:fldCharType="end"/>
        </w:r>
      </w:p>
    </w:sdtContent>
  </w:sdt>
  <w:p w14:paraId="11D2BDDF" w14:textId="77777777" w:rsidR="00CB14B2" w:rsidRDefault="00CB14B2" w:rsidP="000E308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44CD6" w14:textId="77777777" w:rsidR="00CB14B2" w:rsidRDefault="00CB14B2" w:rsidP="000E308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090344"/>
      <w:docPartObj>
        <w:docPartGallery w:val="Page Numbers (Bottom of Page)"/>
        <w:docPartUnique/>
      </w:docPartObj>
    </w:sdtPr>
    <w:sdtEndPr>
      <w:rPr>
        <w:noProof/>
      </w:rPr>
    </w:sdtEndPr>
    <w:sdtContent>
      <w:p w14:paraId="24897D4D" w14:textId="018C6C10" w:rsidR="008F2068" w:rsidRDefault="008F20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515927" w14:textId="77777777" w:rsidR="00CB14B2" w:rsidRPr="00CD516A" w:rsidRDefault="00CB14B2" w:rsidP="000E308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35B24" w14:textId="77777777" w:rsidR="00CB14B2" w:rsidRDefault="00CB14B2" w:rsidP="000E3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DC649C" w14:textId="77777777" w:rsidR="00025A31" w:rsidRDefault="00025A31" w:rsidP="000E3086">
      <w:r>
        <w:separator/>
      </w:r>
    </w:p>
  </w:footnote>
  <w:footnote w:type="continuationSeparator" w:id="0">
    <w:p w14:paraId="1553974A" w14:textId="77777777" w:rsidR="00025A31" w:rsidRDefault="00025A31" w:rsidP="000E3086">
      <w:r>
        <w:continuationSeparator/>
      </w:r>
    </w:p>
  </w:footnote>
  <w:footnote w:type="continuationNotice" w:id="1">
    <w:p w14:paraId="192AFF59" w14:textId="77777777" w:rsidR="00025A31" w:rsidRDefault="00025A31">
      <w:pPr>
        <w:spacing w:after="0"/>
      </w:pPr>
    </w:p>
  </w:footnote>
  <w:footnote w:id="2">
    <w:p w14:paraId="148B2AE8" w14:textId="542BC124" w:rsidR="00ED5909" w:rsidRPr="00ED5909" w:rsidRDefault="00ED5909">
      <w:pPr>
        <w:pStyle w:val="FootnoteText"/>
      </w:pPr>
      <w:r>
        <w:rPr>
          <w:rStyle w:val="FootnoteReference"/>
        </w:rPr>
        <w:footnoteRef/>
      </w:r>
      <w:r>
        <w:t xml:space="preserve"> See </w:t>
      </w:r>
      <w:r w:rsidR="007978EB">
        <w:t xml:space="preserve">Article 2 of </w:t>
      </w:r>
      <w:r>
        <w:t xml:space="preserve"> </w:t>
      </w:r>
      <w:r w:rsidR="00387C7A">
        <w:t xml:space="preserve">Chips Act 2.0. </w:t>
      </w:r>
    </w:p>
  </w:footnote>
  <w:footnote w:id="3">
    <w:p w14:paraId="1ABF8A24" w14:textId="76E71277" w:rsidR="00F13AD7" w:rsidRPr="00F13AD7" w:rsidRDefault="00F13AD7">
      <w:pPr>
        <w:pStyle w:val="FootnoteText"/>
      </w:pPr>
      <w:r>
        <w:rPr>
          <w:rStyle w:val="FootnoteReference"/>
        </w:rPr>
        <w:footnoteRef/>
      </w:r>
      <w:r>
        <w:t xml:space="preserve"> </w:t>
      </w:r>
      <w:r w:rsidRPr="00FE376D">
        <w:t>Full Time Equivalents (FTEs</w:t>
      </w:r>
      <w:r>
        <w:t>)</w:t>
      </w:r>
      <w:r w:rsidRPr="00FE376D">
        <w:t xml:space="preserve"> were established based on internal Commission analysis. The hourly wage for Member States and businesses was estimated at EUR 29.4 /h. The European Commission costs per FTE are EUR 194 000/year.</w:t>
      </w:r>
    </w:p>
  </w:footnote>
  <w:footnote w:id="4">
    <w:p w14:paraId="4299F6F9" w14:textId="5FDA51B1" w:rsidR="00086CCA" w:rsidRPr="0067577B" w:rsidRDefault="00086CCA">
      <w:pPr>
        <w:pStyle w:val="FootnoteText"/>
        <w:rPr>
          <w:sz w:val="18"/>
          <w:szCs w:val="18"/>
          <w:lang w:val="en-IE"/>
        </w:rPr>
      </w:pPr>
      <w:r w:rsidRPr="0067577B">
        <w:rPr>
          <w:sz w:val="18"/>
          <w:szCs w:val="18"/>
          <w:vertAlign w:val="superscript"/>
        </w:rPr>
        <w:t>(</w:t>
      </w:r>
      <w:r w:rsidRPr="0067577B">
        <w:rPr>
          <w:rStyle w:val="FootnoteReference"/>
          <w:sz w:val="18"/>
          <w:szCs w:val="18"/>
        </w:rPr>
        <w:footnoteRef/>
      </w:r>
      <w:r w:rsidRPr="0067577B">
        <w:rPr>
          <w:sz w:val="18"/>
          <w:szCs w:val="18"/>
          <w:vertAlign w:val="superscript"/>
        </w:rPr>
        <w:t>)</w:t>
      </w:r>
      <w:r w:rsidRPr="0067577B">
        <w:rPr>
          <w:sz w:val="18"/>
          <w:szCs w:val="18"/>
        </w:rPr>
        <w:t xml:space="preserve"> Assuming public support of EUR 15 billion from the Union and Member States</w:t>
      </w:r>
    </w:p>
  </w:footnote>
  <w:footnote w:id="5">
    <w:p w14:paraId="7653353F" w14:textId="78815068" w:rsidR="00BA5F12" w:rsidRPr="0067577B" w:rsidRDefault="00BA5F12" w:rsidP="00BA5F12">
      <w:pPr>
        <w:pStyle w:val="FootnoteText"/>
        <w:rPr>
          <w:sz w:val="18"/>
          <w:szCs w:val="18"/>
        </w:rPr>
      </w:pPr>
      <w:r w:rsidRPr="0067577B">
        <w:rPr>
          <w:sz w:val="18"/>
          <w:szCs w:val="18"/>
        </w:rPr>
        <w:t>(</w:t>
      </w:r>
      <w:r w:rsidRPr="0067577B">
        <w:rPr>
          <w:rStyle w:val="FootnoteReference"/>
          <w:sz w:val="18"/>
          <w:szCs w:val="18"/>
        </w:rPr>
        <w:footnoteRef/>
      </w:r>
      <w:r w:rsidRPr="0067577B">
        <w:rPr>
          <w:sz w:val="18"/>
          <w:szCs w:val="18"/>
        </w:rPr>
        <w:t xml:space="preserve">) </w:t>
      </w:r>
      <w:r w:rsidRPr="008A5380">
        <w:rPr>
          <w:sz w:val="18"/>
          <w:szCs w:val="18"/>
          <w:lang w:val="en-IE"/>
        </w:rPr>
        <w:t>Estimation from the Supply chain Working Group of the Industrial Alliance</w:t>
      </w:r>
      <w:r w:rsidR="00E2592C">
        <w:rPr>
          <w:sz w:val="18"/>
          <w:szCs w:val="18"/>
          <w:lang w:val="en-IE"/>
        </w:rPr>
        <w:t xml:space="preserve"> on Processors and Semiconductor Technologies</w:t>
      </w:r>
    </w:p>
  </w:footnote>
  <w:footnote w:id="6">
    <w:p w14:paraId="712EA858" w14:textId="1D01D4F2" w:rsidR="00BA5F12" w:rsidRPr="008A5380" w:rsidRDefault="00BA5F12" w:rsidP="00BA5F12">
      <w:pPr>
        <w:spacing w:after="0"/>
        <w:rPr>
          <w:sz w:val="18"/>
          <w:szCs w:val="18"/>
        </w:rPr>
      </w:pPr>
      <w:r w:rsidRPr="0067577B">
        <w:rPr>
          <w:sz w:val="18"/>
          <w:szCs w:val="18"/>
        </w:rPr>
        <w:t>(</w:t>
      </w:r>
      <w:r w:rsidRPr="00C0771B">
        <w:rPr>
          <w:sz w:val="18"/>
          <w:szCs w:val="18"/>
          <w:vertAlign w:val="superscript"/>
        </w:rPr>
        <w:footnoteRef/>
      </w:r>
      <w:r w:rsidRPr="0067577B">
        <w:rPr>
          <w:sz w:val="18"/>
          <w:szCs w:val="18"/>
        </w:rPr>
        <w:t>)</w:t>
      </w:r>
      <w:r w:rsidRPr="008A5380">
        <w:rPr>
          <w:sz w:val="18"/>
          <w:szCs w:val="18"/>
          <w:vertAlign w:val="superscript"/>
        </w:rPr>
        <w:t xml:space="preserve"> </w:t>
      </w:r>
      <w:hyperlink r:id="rId1" w:history="1">
        <w:r w:rsidRPr="008A5380">
          <w:rPr>
            <w:rStyle w:val="Hyperlink"/>
            <w:sz w:val="18"/>
            <w:szCs w:val="18"/>
          </w:rPr>
          <w:t>Reporting obligations</w:t>
        </w:r>
      </w:hyperlink>
    </w:p>
  </w:footnote>
  <w:footnote w:id="7">
    <w:p w14:paraId="25FD3EEB" w14:textId="4B4B124B" w:rsidR="00BA5F12" w:rsidRPr="008A5380" w:rsidRDefault="00BA5F12" w:rsidP="00BA5F12">
      <w:pPr>
        <w:pStyle w:val="FootnoteText"/>
        <w:rPr>
          <w:sz w:val="18"/>
          <w:szCs w:val="18"/>
          <w:lang w:val="en-US"/>
        </w:rPr>
      </w:pPr>
      <w:r w:rsidRPr="008A5380">
        <w:rPr>
          <w:sz w:val="18"/>
          <w:szCs w:val="18"/>
          <w:vertAlign w:val="superscript"/>
        </w:rPr>
        <w:t>(6)</w:t>
      </w:r>
      <w:r w:rsidRPr="008A5380">
        <w:rPr>
          <w:sz w:val="18"/>
          <w:szCs w:val="18"/>
        </w:rPr>
        <w:t xml:space="preserve"> </w:t>
      </w:r>
      <w:r w:rsidRPr="008A5380">
        <w:rPr>
          <w:sz w:val="18"/>
          <w:szCs w:val="18"/>
          <w:lang w:val="en-US"/>
        </w:rPr>
        <w:t>Assuming an annual salary of a supply chain analyst of EUR 60k</w:t>
      </w:r>
      <w:r w:rsidR="004F0CEF">
        <w:rPr>
          <w:sz w:val="18"/>
          <w:szCs w:val="18"/>
          <w:lang w:val="en-US"/>
        </w:rPr>
        <w:t>.</w:t>
      </w:r>
      <w:r w:rsidRPr="008A5380">
        <w:rPr>
          <w:sz w:val="18"/>
          <w:szCs w:val="18"/>
          <w:lang w:val="en-US"/>
        </w:rPr>
        <w:t xml:space="preserve"> </w:t>
      </w:r>
    </w:p>
  </w:footnote>
  <w:footnote w:id="8">
    <w:p w14:paraId="25B63D74" w14:textId="7363F61C" w:rsidR="00BA5F12" w:rsidRPr="00C0771B" w:rsidRDefault="00BA5F12" w:rsidP="00BA5F12">
      <w:pPr>
        <w:pStyle w:val="FootnoteText"/>
        <w:rPr>
          <w:sz w:val="18"/>
          <w:szCs w:val="18"/>
        </w:rPr>
      </w:pPr>
      <w:r w:rsidRPr="00C0771B">
        <w:rPr>
          <w:sz w:val="18"/>
          <w:szCs w:val="18"/>
        </w:rPr>
        <w:t>(</w:t>
      </w:r>
      <w:r w:rsidRPr="00C0771B">
        <w:rPr>
          <w:rStyle w:val="FootnoteReference"/>
          <w:sz w:val="18"/>
          <w:szCs w:val="18"/>
        </w:rPr>
        <w:footnoteRef/>
      </w:r>
      <w:r w:rsidRPr="00C0771B">
        <w:rPr>
          <w:sz w:val="18"/>
          <w:szCs w:val="18"/>
        </w:rPr>
        <w:t xml:space="preserve">) </w:t>
      </w:r>
      <w:r w:rsidRPr="00C0771B">
        <w:rPr>
          <w:sz w:val="18"/>
          <w:szCs w:val="18"/>
          <w:lang w:val="en-IE"/>
        </w:rPr>
        <w:t>Estimation from the Supply chain Working Group of the Industrial Alliance</w:t>
      </w:r>
      <w:r w:rsidR="00DC198D">
        <w:rPr>
          <w:sz w:val="18"/>
          <w:szCs w:val="18"/>
          <w:lang w:val="en-IE"/>
        </w:rPr>
        <w:t xml:space="preserve"> on Processors and Semiconductor Technologies</w:t>
      </w:r>
    </w:p>
  </w:footnote>
  <w:footnote w:id="9">
    <w:p w14:paraId="5B605099" w14:textId="1A09AFD9" w:rsidR="00BA5F12" w:rsidRPr="00C0771B" w:rsidRDefault="00BA5F12" w:rsidP="00BA5F12">
      <w:pPr>
        <w:pStyle w:val="FootnoteText"/>
        <w:rPr>
          <w:sz w:val="18"/>
          <w:szCs w:val="18"/>
          <w:lang w:val="en-US"/>
        </w:rPr>
      </w:pPr>
      <w:r w:rsidRPr="00C0771B">
        <w:rPr>
          <w:sz w:val="18"/>
          <w:szCs w:val="18"/>
        </w:rPr>
        <w:t>(</w:t>
      </w:r>
      <w:r w:rsidRPr="00C0771B">
        <w:rPr>
          <w:rStyle w:val="FootnoteReference"/>
          <w:sz w:val="18"/>
          <w:szCs w:val="18"/>
        </w:rPr>
        <w:footnoteRef/>
      </w:r>
      <w:r w:rsidRPr="00C0771B">
        <w:rPr>
          <w:sz w:val="18"/>
          <w:szCs w:val="18"/>
        </w:rPr>
        <w:t>) The administrative burden observed in Horizon Europe projects (typically estimated at 6–10% of project budgets) is used as a reference point; this roughly corresponds to approximately 0.5–1 full-time equivalent (FTE) of administrative effort per project per year. IPCEI reporting and compliance obligations are assumed to require approximately two to three times higher effort than Horizon Europe projects, reflecting additional State aid requirements, dual reporting to national and EU authorities, and longer monitoring periods. This implies an estimated administrative effort in the order of 1–3 FTE per year for a typical IPCEI participant. When scaled to the substantially larger investment volumes of IPCEI projects, this level of effort corresponds to only a small fraction of total project budgets (typically around or below 1–2%). These figures should be interpreted as indicative.</w:t>
      </w:r>
    </w:p>
  </w:footnote>
  <w:footnote w:id="10">
    <w:p w14:paraId="1900E609" w14:textId="12FD4083" w:rsidR="00BA5F12" w:rsidRPr="00C0771B" w:rsidRDefault="00BA5F12" w:rsidP="00BA5F12">
      <w:pPr>
        <w:pStyle w:val="FootnoteText"/>
        <w:rPr>
          <w:sz w:val="18"/>
          <w:szCs w:val="18"/>
          <w:lang w:val="en-US"/>
        </w:rPr>
      </w:pPr>
      <w:r w:rsidRPr="00C0771B">
        <w:rPr>
          <w:sz w:val="18"/>
          <w:szCs w:val="18"/>
        </w:rPr>
        <w:t>(</w:t>
      </w:r>
      <w:r w:rsidRPr="00C0771B">
        <w:rPr>
          <w:rStyle w:val="FootnoteReference"/>
          <w:sz w:val="18"/>
          <w:szCs w:val="18"/>
        </w:rPr>
        <w:footnoteRef/>
      </w:r>
      <w:r w:rsidRPr="00C0771B">
        <w:rPr>
          <w:sz w:val="18"/>
          <w:szCs w:val="18"/>
        </w:rPr>
        <w:t>) PwC, London Economics, &amp; Ecorys. (2011). Public procurement in Europe: Cost and effectiveness. European Commission, Directorate-General for Enterprise and Industry.</w:t>
      </w:r>
    </w:p>
  </w:footnote>
  <w:footnote w:id="11">
    <w:p w14:paraId="5285A2B0" w14:textId="7E4AF1BC" w:rsidR="00BA5F12" w:rsidRPr="00C0771B" w:rsidRDefault="00BA5F12" w:rsidP="00BA5F12">
      <w:pPr>
        <w:pStyle w:val="FootnoteText"/>
        <w:rPr>
          <w:sz w:val="18"/>
          <w:szCs w:val="18"/>
          <w:lang w:val="en-US"/>
        </w:rPr>
      </w:pPr>
      <w:r w:rsidRPr="00C0771B">
        <w:rPr>
          <w:sz w:val="18"/>
          <w:szCs w:val="18"/>
        </w:rPr>
        <w:t>(</w:t>
      </w:r>
      <w:r w:rsidRPr="00C0771B">
        <w:rPr>
          <w:rStyle w:val="FootnoteReference"/>
          <w:sz w:val="18"/>
          <w:szCs w:val="18"/>
        </w:rPr>
        <w:footnoteRef/>
      </w:r>
      <w:r w:rsidRPr="00C0771B">
        <w:rPr>
          <w:sz w:val="18"/>
          <w:szCs w:val="18"/>
        </w:rPr>
        <w:t>) Rodionova, Y., Balaeva, O., Yakovlev, A., &amp; Esaulov, D. (2018). Public procurement transaction costs: A country-level assessment. Public Sector Studies, 20(4), 66–81.</w:t>
      </w:r>
    </w:p>
  </w:footnote>
  <w:footnote w:id="12">
    <w:p w14:paraId="6BBF1559" w14:textId="00ABE131" w:rsidR="00BA5F12" w:rsidRPr="00257B5B" w:rsidRDefault="00BA5F12" w:rsidP="00BA5F12">
      <w:pPr>
        <w:pStyle w:val="FootnoteText"/>
      </w:pPr>
      <w:r w:rsidRPr="00C0771B">
        <w:rPr>
          <w:sz w:val="18"/>
          <w:szCs w:val="18"/>
        </w:rPr>
        <w:t>(</w:t>
      </w:r>
      <w:r w:rsidRPr="00C0771B">
        <w:rPr>
          <w:rStyle w:val="FootnoteReference"/>
          <w:sz w:val="18"/>
          <w:szCs w:val="18"/>
        </w:rPr>
        <w:footnoteRef/>
      </w:r>
      <w:r w:rsidRPr="00C0771B">
        <w:rPr>
          <w:sz w:val="18"/>
          <w:szCs w:val="18"/>
        </w:rPr>
        <w:t>)</w:t>
      </w:r>
      <w:r w:rsidRPr="00C0771B">
        <w:rPr>
          <w:sz w:val="18"/>
          <w:szCs w:val="18"/>
          <w:lang w:val="en-IE"/>
        </w:rPr>
        <w:t>In the current Chips JU, 18 FTE</w:t>
      </w:r>
      <w:r w:rsidR="00703442">
        <w:rPr>
          <w:sz w:val="18"/>
          <w:szCs w:val="18"/>
          <w:lang w:val="en-IE"/>
        </w:rPr>
        <w:t>s</w:t>
      </w:r>
      <w:r w:rsidRPr="00C0771B">
        <w:rPr>
          <w:sz w:val="18"/>
          <w:szCs w:val="18"/>
          <w:lang w:val="en-IE"/>
        </w:rPr>
        <w:t xml:space="preserve"> supervise a budget of around </w:t>
      </w:r>
      <w:r w:rsidRPr="00C0771B">
        <w:rPr>
          <w:sz w:val="18"/>
          <w:szCs w:val="18"/>
        </w:rPr>
        <w:t>EUR 4.175 billion EU funding.</w:t>
      </w:r>
      <w:r>
        <w:t xml:space="preserve"> </w:t>
      </w:r>
    </w:p>
  </w:footnote>
  <w:footnote w:id="13">
    <w:p w14:paraId="1CA2E840" w14:textId="351248FA" w:rsidR="00BA5F12" w:rsidRPr="001F1529" w:rsidRDefault="00BA5F12" w:rsidP="00BA5F12">
      <w:pPr>
        <w:pStyle w:val="FootnoteText"/>
        <w:rPr>
          <w:sz w:val="18"/>
          <w:szCs w:val="18"/>
          <w:lang w:val="en-US"/>
        </w:rPr>
      </w:pPr>
      <w:r>
        <w:rPr>
          <w:sz w:val="18"/>
          <w:szCs w:val="18"/>
        </w:rPr>
        <w:t>(</w:t>
      </w:r>
      <w:r w:rsidRPr="001F1529">
        <w:rPr>
          <w:rStyle w:val="FootnoteReference"/>
          <w:sz w:val="18"/>
          <w:szCs w:val="18"/>
        </w:rPr>
        <w:footnoteRef/>
      </w:r>
      <w:r>
        <w:rPr>
          <w:sz w:val="18"/>
          <w:szCs w:val="18"/>
        </w:rPr>
        <w:t>)</w:t>
      </w:r>
      <w:r w:rsidRPr="001F1529">
        <w:rPr>
          <w:sz w:val="18"/>
          <w:szCs w:val="18"/>
        </w:rPr>
        <w:t xml:space="preserve"> </w:t>
      </w:r>
      <w:r w:rsidRPr="001F1529">
        <w:rPr>
          <w:sz w:val="18"/>
          <w:szCs w:val="18"/>
          <w:lang w:val="en-US"/>
        </w:rPr>
        <w:t>Assuming an annual salary of a supply chain analyst of EUR 60k</w:t>
      </w:r>
      <w:r w:rsidR="00333077">
        <w:rPr>
          <w:sz w:val="18"/>
          <w:szCs w:val="18"/>
          <w:lang w:val="en-US"/>
        </w:rPr>
        <w:t>.</w:t>
      </w:r>
      <w:r w:rsidRPr="001F1529">
        <w:rPr>
          <w:sz w:val="18"/>
          <w:szCs w:val="18"/>
          <w:lang w:val="en-US"/>
        </w:rPr>
        <w:t xml:space="preserve"> </w:t>
      </w:r>
    </w:p>
  </w:footnote>
  <w:footnote w:id="14">
    <w:p w14:paraId="30B4AEE6" w14:textId="6162E1FC" w:rsidR="00BA5F12" w:rsidRPr="00D96BF4" w:rsidRDefault="00BA5F12" w:rsidP="00BA5F12">
      <w:pPr>
        <w:pStyle w:val="FootnoteText"/>
        <w:rPr>
          <w:lang w:val="lt-LT"/>
        </w:rPr>
      </w:pPr>
      <w:r>
        <w:rPr>
          <w:sz w:val="18"/>
          <w:szCs w:val="18"/>
        </w:rPr>
        <w:t>(</w:t>
      </w:r>
      <w:r w:rsidRPr="001F1529">
        <w:rPr>
          <w:rStyle w:val="FootnoteReference"/>
          <w:sz w:val="18"/>
          <w:szCs w:val="18"/>
        </w:rPr>
        <w:footnoteRef/>
      </w:r>
      <w:r>
        <w:rPr>
          <w:sz w:val="18"/>
          <w:szCs w:val="18"/>
        </w:rPr>
        <w:t>)</w:t>
      </w:r>
      <w:r w:rsidRPr="001F1529">
        <w:rPr>
          <w:sz w:val="18"/>
          <w:szCs w:val="18"/>
        </w:rPr>
        <w:t xml:space="preserve"> Figure 16 - Average duration of projects for building wafer fabs (Source: Exyte, 2025)</w:t>
      </w:r>
    </w:p>
  </w:footnote>
  <w:footnote w:id="15">
    <w:p w14:paraId="1EA68A9E" w14:textId="15D4ACE3" w:rsidR="00BA5F12" w:rsidRPr="001F1529" w:rsidRDefault="00BA5F12" w:rsidP="00BA5F12">
      <w:pPr>
        <w:pStyle w:val="FootnoteText"/>
        <w:rPr>
          <w:sz w:val="18"/>
          <w:szCs w:val="18"/>
        </w:rPr>
      </w:pPr>
      <w:r>
        <w:rPr>
          <w:sz w:val="18"/>
          <w:szCs w:val="18"/>
        </w:rPr>
        <w:t>(</w:t>
      </w:r>
      <w:r w:rsidRPr="001F1529">
        <w:rPr>
          <w:rStyle w:val="FootnoteReference"/>
          <w:sz w:val="18"/>
          <w:szCs w:val="18"/>
        </w:rPr>
        <w:footnoteRef/>
      </w:r>
      <w:r>
        <w:rPr>
          <w:sz w:val="18"/>
          <w:szCs w:val="18"/>
        </w:rPr>
        <w:t>)</w:t>
      </w:r>
      <w:r w:rsidRPr="001F1529">
        <w:rPr>
          <w:sz w:val="18"/>
          <w:szCs w:val="18"/>
        </w:rPr>
        <w:t xml:space="preserve"> Around 9.5 months for Taiwan and 17 months for the EU</w:t>
      </w:r>
    </w:p>
  </w:footnote>
  <w:footnote w:id="16">
    <w:p w14:paraId="762099CD" w14:textId="65CEB046" w:rsidR="00BA5F12" w:rsidRPr="00562C9F" w:rsidRDefault="00BA5F12" w:rsidP="00BA5F12">
      <w:pPr>
        <w:pStyle w:val="FootnoteText"/>
      </w:pPr>
      <w:r>
        <w:rPr>
          <w:sz w:val="18"/>
          <w:szCs w:val="18"/>
        </w:rPr>
        <w:t>(</w:t>
      </w:r>
      <w:r w:rsidRPr="001F1529">
        <w:rPr>
          <w:rStyle w:val="FootnoteReference"/>
          <w:sz w:val="18"/>
          <w:szCs w:val="18"/>
        </w:rPr>
        <w:footnoteRef/>
      </w:r>
      <w:r>
        <w:rPr>
          <w:sz w:val="18"/>
          <w:szCs w:val="18"/>
        </w:rPr>
        <w:t>)</w:t>
      </w:r>
      <w:r w:rsidRPr="001F1529">
        <w:rPr>
          <w:sz w:val="18"/>
          <w:szCs w:val="18"/>
        </w:rPr>
        <w:t xml:space="preserve"> </w:t>
      </w:r>
      <w:hyperlink r:id="rId2" w:history="1">
        <w:r w:rsidRPr="001F1529">
          <w:rPr>
            <w:rStyle w:val="Hyperlink"/>
            <w:sz w:val="18"/>
            <w:szCs w:val="18"/>
            <w:lang w:eastAsia="en-GB"/>
          </w:rPr>
          <w:t>https://www.csis.org/analysis/streamlining-permitting-process-fab-construction</w:t>
        </w:r>
      </w:hyperlink>
    </w:p>
  </w:footnote>
  <w:footnote w:id="17">
    <w:p w14:paraId="47F57A9A" w14:textId="5DDA1777" w:rsidR="00EC49AF" w:rsidRPr="00F5084F" w:rsidRDefault="00EC49AF" w:rsidP="00EC49AF">
      <w:pPr>
        <w:pStyle w:val="FootnoteText"/>
        <w:rPr>
          <w:sz w:val="18"/>
          <w:szCs w:val="18"/>
          <w:lang w:val="mt-MT"/>
        </w:rPr>
      </w:pPr>
      <w:r>
        <w:rPr>
          <w:sz w:val="18"/>
          <w:szCs w:val="18"/>
        </w:rPr>
        <w:t>(</w:t>
      </w:r>
      <w:r w:rsidRPr="00923415">
        <w:rPr>
          <w:rStyle w:val="FootnoteReference"/>
          <w:sz w:val="18"/>
          <w:szCs w:val="18"/>
        </w:rPr>
        <w:footnoteRef/>
      </w:r>
      <w:r>
        <w:rPr>
          <w:sz w:val="18"/>
          <w:szCs w:val="18"/>
        </w:rPr>
        <w:t>)</w:t>
      </w:r>
      <w:r w:rsidRPr="00F5084F">
        <w:rPr>
          <w:sz w:val="18"/>
          <w:szCs w:val="18"/>
        </w:rPr>
        <w:t xml:space="preserve"> </w:t>
      </w:r>
      <w:r w:rsidRPr="00F5084F">
        <w:rPr>
          <w:sz w:val="18"/>
          <w:szCs w:val="18"/>
          <w:lang w:val="mt-MT"/>
        </w:rPr>
        <w:t xml:space="preserve">Includes revenues generated in production capacity outside the EU by European semiconductor firms. </w:t>
      </w:r>
    </w:p>
  </w:footnote>
  <w:footnote w:id="18">
    <w:p w14:paraId="3C64385F" w14:textId="3C3D5F37" w:rsidR="00DC65C5" w:rsidRPr="00BD008E" w:rsidRDefault="00DC65C5">
      <w:pPr>
        <w:pStyle w:val="FootnoteText"/>
        <w:rPr>
          <w:lang w:val="mt-MT"/>
        </w:rPr>
      </w:pPr>
      <w:r>
        <w:t>(</w:t>
      </w:r>
      <w:r>
        <w:rPr>
          <w:rStyle w:val="FootnoteReference"/>
        </w:rPr>
        <w:footnoteRef/>
      </w:r>
      <w:r>
        <w:t>) IDC, Semiconductors market data by feature size, sector and region, CNECT/2022/MVP/0084 – Second Interim Report</w:t>
      </w:r>
    </w:p>
  </w:footnote>
  <w:footnote w:id="19">
    <w:p w14:paraId="2F6D4A6D" w14:textId="0EE0F8AD" w:rsidR="00EC49AF" w:rsidRPr="005F6175" w:rsidRDefault="00EC49AF" w:rsidP="00EC49AF">
      <w:pPr>
        <w:pStyle w:val="FootnoteText"/>
        <w:rPr>
          <w:sz w:val="18"/>
          <w:szCs w:val="18"/>
          <w:lang w:val="mt-MT"/>
        </w:rPr>
      </w:pPr>
      <w:r>
        <w:rPr>
          <w:sz w:val="18"/>
          <w:szCs w:val="18"/>
        </w:rPr>
        <w:t>(</w:t>
      </w:r>
      <w:r w:rsidRPr="00923415">
        <w:rPr>
          <w:rStyle w:val="FootnoteReference"/>
          <w:sz w:val="18"/>
          <w:szCs w:val="18"/>
        </w:rPr>
        <w:footnoteRef/>
      </w:r>
      <w:r>
        <w:rPr>
          <w:sz w:val="18"/>
          <w:szCs w:val="18"/>
        </w:rPr>
        <w:t>)</w:t>
      </w:r>
      <w:r w:rsidRPr="00F5084F">
        <w:rPr>
          <w:sz w:val="18"/>
          <w:szCs w:val="18"/>
        </w:rPr>
        <w:t xml:space="preserve"> </w:t>
      </w:r>
      <w:r w:rsidRPr="005F6175">
        <w:rPr>
          <w:sz w:val="18"/>
          <w:szCs w:val="18"/>
          <w:lang w:val="mt-MT"/>
        </w:rPr>
        <w:t>IBS Global Semiconductor Industry Service, May 2025</w:t>
      </w:r>
    </w:p>
  </w:footnote>
  <w:footnote w:id="20">
    <w:p w14:paraId="0ECD0155" w14:textId="7E0CFD25" w:rsidR="00EC49AF" w:rsidRPr="005F6175" w:rsidRDefault="00EC49AF" w:rsidP="00EC49AF">
      <w:pPr>
        <w:pStyle w:val="FootnoteText"/>
        <w:rPr>
          <w:sz w:val="18"/>
          <w:szCs w:val="18"/>
          <w:lang w:val="mt-MT"/>
        </w:rPr>
      </w:pPr>
      <w:r>
        <w:rPr>
          <w:sz w:val="18"/>
          <w:szCs w:val="18"/>
        </w:rPr>
        <w:t>(</w:t>
      </w:r>
      <w:r w:rsidRPr="005F6175">
        <w:rPr>
          <w:rStyle w:val="FootnoteReference"/>
          <w:sz w:val="18"/>
          <w:szCs w:val="18"/>
        </w:rPr>
        <w:footnoteRef/>
      </w:r>
      <w:r>
        <w:rPr>
          <w:sz w:val="18"/>
          <w:szCs w:val="18"/>
        </w:rPr>
        <w:t>)</w:t>
      </w:r>
      <w:r w:rsidRPr="005F6175">
        <w:rPr>
          <w:sz w:val="18"/>
          <w:szCs w:val="18"/>
        </w:rPr>
        <w:t xml:space="preserve"> Future Horizons - The Global Semiconductor Monthly Report December 2025</w:t>
      </w:r>
    </w:p>
  </w:footnote>
  <w:footnote w:id="21">
    <w:p w14:paraId="69B8C32A" w14:textId="4D845C72" w:rsidR="00EC49AF" w:rsidRPr="005F6175" w:rsidRDefault="00EC49AF" w:rsidP="00EC49AF">
      <w:pPr>
        <w:pStyle w:val="FootnoteText"/>
        <w:ind w:left="284" w:hanging="284"/>
        <w:rPr>
          <w:sz w:val="18"/>
          <w:szCs w:val="18"/>
        </w:rPr>
      </w:pPr>
      <w:r>
        <w:rPr>
          <w:sz w:val="18"/>
          <w:szCs w:val="18"/>
        </w:rPr>
        <w:t>(</w:t>
      </w:r>
      <w:r w:rsidRPr="005F6175">
        <w:rPr>
          <w:rStyle w:val="FootnoteReference"/>
          <w:sz w:val="18"/>
          <w:szCs w:val="18"/>
        </w:rPr>
        <w:footnoteRef/>
      </w:r>
      <w:r>
        <w:rPr>
          <w:sz w:val="18"/>
          <w:szCs w:val="18"/>
        </w:rPr>
        <w:t>)</w:t>
      </w:r>
      <w:r w:rsidRPr="005F6175">
        <w:rPr>
          <w:sz w:val="18"/>
          <w:szCs w:val="18"/>
        </w:rPr>
        <w:t xml:space="preserve"> EE Times Europe (2025), “The Recovery Base Is Fragile, Future Horizons’ Penn Says”, 15 April 2025, available at </w:t>
      </w:r>
      <w:hyperlink r:id="rId3" w:history="1">
        <w:r w:rsidRPr="005F6175">
          <w:rPr>
            <w:rStyle w:val="Hyperlink"/>
            <w:sz w:val="18"/>
            <w:szCs w:val="18"/>
          </w:rPr>
          <w:t>https://www.eetimes.eu/the-recovery-base-is-fragile-future-horizons-penn-says/</w:t>
        </w:r>
      </w:hyperlink>
      <w:r w:rsidRPr="005F6175">
        <w:rPr>
          <w:sz w:val="18"/>
          <w:szCs w:val="18"/>
        </w:rPr>
        <w:t xml:space="preserve">. </w:t>
      </w:r>
    </w:p>
  </w:footnote>
  <w:footnote w:id="22">
    <w:p w14:paraId="7023FF51" w14:textId="0088745D" w:rsidR="00EC49AF" w:rsidRPr="00F5084F" w:rsidRDefault="00EC49AF" w:rsidP="00EC49AF">
      <w:pPr>
        <w:pStyle w:val="FootnoteText"/>
        <w:rPr>
          <w:sz w:val="18"/>
          <w:szCs w:val="18"/>
          <w:lang w:val="mt-MT"/>
        </w:rPr>
      </w:pPr>
      <w:r>
        <w:rPr>
          <w:sz w:val="18"/>
          <w:szCs w:val="18"/>
        </w:rPr>
        <w:t>(</w:t>
      </w:r>
      <w:r w:rsidRPr="005F6175">
        <w:rPr>
          <w:rStyle w:val="FootnoteReference"/>
          <w:sz w:val="18"/>
          <w:szCs w:val="18"/>
        </w:rPr>
        <w:footnoteRef/>
      </w:r>
      <w:r>
        <w:rPr>
          <w:sz w:val="18"/>
          <w:szCs w:val="18"/>
        </w:rPr>
        <w:t>)</w:t>
      </w:r>
      <w:r w:rsidRPr="005F6175">
        <w:rPr>
          <w:sz w:val="18"/>
          <w:szCs w:val="18"/>
        </w:rPr>
        <w:t xml:space="preserve"> </w:t>
      </w:r>
      <w:r>
        <w:t>IDC, Semiconductors market data by feature size, sector and region, CNECT/2022/MVP/0084 – Second Interim Report</w:t>
      </w:r>
    </w:p>
  </w:footnote>
  <w:footnote w:id="23">
    <w:p w14:paraId="3006B732" w14:textId="3A2B4246" w:rsidR="00EC49AF" w:rsidRPr="00F5084F" w:rsidRDefault="00EC49AF" w:rsidP="00EC49AF">
      <w:pPr>
        <w:pStyle w:val="FootnoteText"/>
        <w:rPr>
          <w:sz w:val="18"/>
          <w:szCs w:val="18"/>
          <w:lang w:val="en-US"/>
        </w:rPr>
      </w:pPr>
      <w:r>
        <w:rPr>
          <w:sz w:val="18"/>
          <w:szCs w:val="18"/>
        </w:rPr>
        <w:t>(</w:t>
      </w:r>
      <w:r w:rsidRPr="00923415">
        <w:rPr>
          <w:rStyle w:val="FootnoteReference"/>
          <w:sz w:val="18"/>
          <w:szCs w:val="18"/>
        </w:rPr>
        <w:footnoteRef/>
      </w:r>
      <w:r>
        <w:rPr>
          <w:sz w:val="18"/>
          <w:szCs w:val="18"/>
        </w:rPr>
        <w:t>)</w:t>
      </w:r>
      <w:r w:rsidRPr="00F5084F">
        <w:rPr>
          <w:sz w:val="18"/>
          <w:szCs w:val="18"/>
        </w:rPr>
        <w:t xml:space="preserve"> IBS</w:t>
      </w:r>
      <w:r>
        <w:rPr>
          <w:sz w:val="18"/>
          <w:szCs w:val="18"/>
        </w:rPr>
        <w:t xml:space="preserve">, </w:t>
      </w:r>
      <w:r>
        <w:t>Global Semiconductor Industry Service</w:t>
      </w:r>
      <w:r>
        <w:rPr>
          <w:sz w:val="18"/>
          <w:szCs w:val="18"/>
        </w:rPr>
        <w:t>,</w:t>
      </w:r>
      <w:r w:rsidRPr="00F5084F">
        <w:rPr>
          <w:sz w:val="18"/>
          <w:szCs w:val="18"/>
        </w:rPr>
        <w:t xml:space="preserve"> Analysis of Foundry Market, December 2025.</w:t>
      </w:r>
    </w:p>
  </w:footnote>
  <w:footnote w:id="24">
    <w:p w14:paraId="0CAEBAE1" w14:textId="43F866C6"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F5084F">
        <w:rPr>
          <w:sz w:val="18"/>
          <w:szCs w:val="18"/>
        </w:rPr>
        <w:t xml:space="preserve"> Europe’s recent revenue share has shown short-term volatility due to downturns in automotive and industrial semiconductors, although its medium-term structural share typically remains within the 10–12 % range. </w:t>
      </w:r>
    </w:p>
  </w:footnote>
  <w:footnote w:id="25">
    <w:p w14:paraId="264408AE" w14:textId="0CAD3305"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F5084F">
        <w:rPr>
          <w:sz w:val="18"/>
          <w:szCs w:val="18"/>
        </w:rPr>
        <w:t xml:space="preserve"> </w:t>
      </w:r>
      <w:r w:rsidRPr="00F5084F">
        <w:rPr>
          <w:rStyle w:val="Strong"/>
          <w:sz w:val="18"/>
          <w:szCs w:val="18"/>
        </w:rPr>
        <w:t>SEMI (2024).</w:t>
      </w:r>
      <w:r w:rsidRPr="00F5084F">
        <w:rPr>
          <w:sz w:val="18"/>
          <w:szCs w:val="18"/>
        </w:rPr>
        <w:t xml:space="preserve"> </w:t>
      </w:r>
      <w:r w:rsidRPr="00F5084F">
        <w:rPr>
          <w:rStyle w:val="Emphasis"/>
          <w:sz w:val="18"/>
          <w:szCs w:val="18"/>
        </w:rPr>
        <w:t>Global Semiconductor Capacity Projected to Reach Record-High 30 Million Wafers per Month in 2024, SEMI Reports.</w:t>
      </w:r>
      <w:r w:rsidRPr="00F5084F">
        <w:rPr>
          <w:sz w:val="18"/>
          <w:szCs w:val="18"/>
        </w:rPr>
        <w:t xml:space="preserve"> Press release, 2 January 2024. SEMI, Milpitas, CA. Available at: </w:t>
      </w:r>
      <w:hyperlink r:id="rId4" w:history="1">
        <w:r w:rsidRPr="00F5084F">
          <w:rPr>
            <w:rStyle w:val="Hyperlink"/>
            <w:sz w:val="18"/>
            <w:szCs w:val="18"/>
          </w:rPr>
          <w:t>https://www.semi.org/en/news-media-press-releases/semi-press-releases/global-semiconductor-capacity-projected-to-reach-record-high-30-million-wafers-per-month-in-2</w:t>
        </w:r>
        <w:bookmarkStart w:id="141" w:name="_Hlt213408942"/>
        <w:bookmarkStart w:id="142" w:name="_Hlt213408943"/>
        <w:r w:rsidRPr="00F5084F">
          <w:rPr>
            <w:rStyle w:val="Hyperlink"/>
            <w:sz w:val="18"/>
            <w:szCs w:val="18"/>
          </w:rPr>
          <w:t>0</w:t>
        </w:r>
        <w:bookmarkEnd w:id="141"/>
        <w:bookmarkEnd w:id="142"/>
        <w:r w:rsidRPr="00F5084F">
          <w:rPr>
            <w:rStyle w:val="Hyperlink"/>
            <w:sz w:val="18"/>
            <w:szCs w:val="18"/>
          </w:rPr>
          <w:t>24-semi-reports</w:t>
        </w:r>
      </w:hyperlink>
      <w:r w:rsidRPr="00F5084F">
        <w:rPr>
          <w:sz w:val="18"/>
          <w:szCs w:val="18"/>
        </w:rPr>
        <w:t xml:space="preserve"> [Accessed: October 2, 2025].</w:t>
      </w:r>
    </w:p>
  </w:footnote>
  <w:footnote w:id="26">
    <w:p w14:paraId="1B0DC4DE" w14:textId="07B232C3"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F5084F">
        <w:rPr>
          <w:sz w:val="18"/>
          <w:szCs w:val="18"/>
        </w:rPr>
        <w:t xml:space="preserve"> </w:t>
      </w:r>
      <w:r w:rsidRPr="0058447F">
        <w:rPr>
          <w:sz w:val="18"/>
          <w:szCs w:val="18"/>
        </w:rPr>
        <w:t>IDC, Semiconductors market data by feature size, sector and region, CNECT/2022/MVP/0084 – Second Interim Report</w:t>
      </w:r>
    </w:p>
  </w:footnote>
  <w:footnote w:id="27">
    <w:p w14:paraId="4B04BF96" w14:textId="47B4EFB9" w:rsidR="0018124A" w:rsidRPr="0018124A" w:rsidRDefault="0018124A">
      <w:pPr>
        <w:pStyle w:val="FootnoteText"/>
      </w:pPr>
      <w:r>
        <w:t>(</w:t>
      </w:r>
      <w:r>
        <w:rPr>
          <w:rStyle w:val="FootnoteReference"/>
        </w:rPr>
        <w:footnoteRef/>
      </w:r>
      <w:r>
        <w:t xml:space="preserve">) </w:t>
      </w:r>
      <w:r w:rsidRPr="0058447F">
        <w:rPr>
          <w:sz w:val="18"/>
          <w:szCs w:val="18"/>
        </w:rPr>
        <w:t>IDC, Semiconductors market data by feature size, sector and region, CNECT/2022/MVP/0084 – Second Interim Report</w:t>
      </w:r>
    </w:p>
  </w:footnote>
  <w:footnote w:id="28">
    <w:p w14:paraId="0FC4A18F" w14:textId="22385AB1" w:rsidR="00EC49AF" w:rsidRPr="00EC0AD7" w:rsidRDefault="00EC49AF" w:rsidP="00EC49AF">
      <w:pPr>
        <w:pStyle w:val="FootnoteTextEP-LC1"/>
        <w:rPr>
          <w:szCs w:val="18"/>
          <w:lang w:val="mt-MT"/>
        </w:rPr>
      </w:pPr>
      <w:r>
        <w:rPr>
          <w:szCs w:val="18"/>
        </w:rPr>
        <w:t>(</w:t>
      </w:r>
      <w:r w:rsidRPr="00EA6934">
        <w:rPr>
          <w:rStyle w:val="FootnoteReference"/>
          <w:szCs w:val="18"/>
        </w:rPr>
        <w:footnoteRef/>
      </w:r>
      <w:r w:rsidRPr="00490722">
        <w:rPr>
          <w:rFonts w:ascii="Times New Roman" w:hAnsi="Times New Roman" w:cs="Times New Roman"/>
          <w:szCs w:val="18"/>
        </w:rPr>
        <w:t xml:space="preserve">) </w:t>
      </w:r>
      <w:hyperlink r:id="rId5" w:history="1">
        <w:r w:rsidRPr="00490722">
          <w:rPr>
            <w:rStyle w:val="Hyperlink1"/>
            <w:rFonts w:ascii="Times New Roman" w:hAnsi="Times New Roman" w:cs="Times New Roman"/>
            <w:szCs w:val="18"/>
          </w:rPr>
          <w:t>Chip Production’s Ecological Footprint: Mapping Climate and Environmental Impact</w:t>
        </w:r>
      </w:hyperlink>
    </w:p>
  </w:footnote>
  <w:footnote w:id="29">
    <w:p w14:paraId="05769404" w14:textId="0107BB57" w:rsidR="00EC49AF" w:rsidRPr="00014FFE" w:rsidRDefault="00EC49AF" w:rsidP="00EC49AF">
      <w:pPr>
        <w:pStyle w:val="FootnoteText"/>
        <w:rPr>
          <w:sz w:val="18"/>
          <w:szCs w:val="18"/>
        </w:rPr>
      </w:pPr>
      <w:r w:rsidRPr="00014FFE">
        <w:rPr>
          <w:sz w:val="18"/>
          <w:szCs w:val="18"/>
        </w:rPr>
        <w:t>(</w:t>
      </w:r>
      <w:r w:rsidRPr="00014FFE">
        <w:rPr>
          <w:rStyle w:val="FootnoteReference"/>
          <w:sz w:val="18"/>
          <w:szCs w:val="18"/>
        </w:rPr>
        <w:footnoteRef/>
      </w:r>
      <w:r w:rsidRPr="00014FFE">
        <w:rPr>
          <w:sz w:val="18"/>
          <w:szCs w:val="18"/>
        </w:rPr>
        <w:t>) Cerutti, I. and Nardo, M., Semiconductors in the EU, Publications Office of the European Union, Luxembourg, 2023, doi:10.2760/038299, JRC133850.</w:t>
      </w:r>
    </w:p>
  </w:footnote>
  <w:footnote w:id="30">
    <w:p w14:paraId="3118FF3F" w14:textId="4BCF6E72" w:rsidR="00EC49AF" w:rsidRPr="00014FFE" w:rsidRDefault="00EC49AF" w:rsidP="00EC49AF">
      <w:pPr>
        <w:pStyle w:val="FootnoteText"/>
        <w:rPr>
          <w:sz w:val="18"/>
          <w:szCs w:val="18"/>
          <w:lang w:val="mt-MT"/>
        </w:rPr>
      </w:pPr>
      <w:r w:rsidRPr="00014FFE">
        <w:rPr>
          <w:sz w:val="18"/>
          <w:szCs w:val="18"/>
          <w:lang w:val="mt-MT"/>
        </w:rPr>
        <w:t>(</w:t>
      </w:r>
      <w:r w:rsidRPr="00014FFE">
        <w:rPr>
          <w:rStyle w:val="FootnoteReference"/>
          <w:sz w:val="18"/>
          <w:szCs w:val="18"/>
        </w:rPr>
        <w:footnoteRef/>
      </w:r>
      <w:r w:rsidRPr="00014FFE">
        <w:rPr>
          <w:sz w:val="18"/>
          <w:szCs w:val="18"/>
          <w:lang w:val="mt-MT"/>
        </w:rPr>
        <w:t xml:space="preserve">) </w:t>
      </w:r>
      <w:hyperlink r:id="rId6" w:history="1">
        <w:r w:rsidRPr="00014FFE">
          <w:rPr>
            <w:rStyle w:val="Hyperlink"/>
            <w:sz w:val="18"/>
            <w:szCs w:val="18"/>
            <w:lang w:val="mt-MT"/>
          </w:rPr>
          <w:t>https://www.oecd.org/content/dam/oecd/en/publications/reports/2025/12/the-chip-landscape_27ef5d87/02dbd028-en.pdf</w:t>
        </w:r>
      </w:hyperlink>
      <w:r w:rsidRPr="00014FFE">
        <w:rPr>
          <w:sz w:val="18"/>
          <w:szCs w:val="18"/>
          <w:lang w:val="mt-MT"/>
        </w:rPr>
        <w:t xml:space="preserve"> </w:t>
      </w:r>
    </w:p>
  </w:footnote>
  <w:footnote w:id="31">
    <w:p w14:paraId="2704EAA8" w14:textId="69FC5F21" w:rsidR="00EC49AF" w:rsidRPr="00014FFE" w:rsidRDefault="00EC49AF" w:rsidP="00EC49AF">
      <w:pPr>
        <w:pStyle w:val="FootnoteText"/>
        <w:rPr>
          <w:sz w:val="18"/>
          <w:szCs w:val="18"/>
        </w:rPr>
      </w:pPr>
      <w:r w:rsidRPr="00014FFE">
        <w:rPr>
          <w:sz w:val="18"/>
          <w:szCs w:val="18"/>
        </w:rPr>
        <w:t>(</w:t>
      </w:r>
      <w:r w:rsidRPr="00014FFE">
        <w:rPr>
          <w:rStyle w:val="FootnoteReference"/>
          <w:sz w:val="18"/>
          <w:szCs w:val="18"/>
        </w:rPr>
        <w:footnoteRef/>
      </w:r>
      <w:r w:rsidRPr="00014FFE">
        <w:rPr>
          <w:sz w:val="18"/>
          <w:szCs w:val="18"/>
        </w:rPr>
        <w:t xml:space="preserve">) </w:t>
      </w:r>
      <w:hyperlink r:id="rId7" w:history="1">
        <w:r w:rsidRPr="00014FFE">
          <w:rPr>
            <w:rStyle w:val="Hyperlink"/>
            <w:sz w:val="18"/>
            <w:szCs w:val="18"/>
          </w:rPr>
          <w:t>TSMC begins producing 4-nanometer chips in Arizona, Raimondo says | Reuters</w:t>
        </w:r>
      </w:hyperlink>
    </w:p>
  </w:footnote>
  <w:footnote w:id="32">
    <w:p w14:paraId="02AAEF8C" w14:textId="15708909" w:rsidR="00EC49AF" w:rsidRPr="00EC0AD7" w:rsidRDefault="00EC49AF" w:rsidP="00EC49AF">
      <w:pPr>
        <w:pStyle w:val="FootnoteText"/>
        <w:rPr>
          <w:sz w:val="18"/>
          <w:szCs w:val="18"/>
        </w:rPr>
      </w:pPr>
      <w:r w:rsidRPr="00014FFE">
        <w:rPr>
          <w:sz w:val="18"/>
          <w:szCs w:val="18"/>
        </w:rPr>
        <w:t>(</w:t>
      </w:r>
      <w:r w:rsidRPr="00014FFE">
        <w:rPr>
          <w:rStyle w:val="FootnoteReference"/>
          <w:sz w:val="18"/>
          <w:szCs w:val="18"/>
        </w:rPr>
        <w:footnoteRef/>
      </w:r>
      <w:r w:rsidRPr="00014FFE">
        <w:rPr>
          <w:sz w:val="18"/>
          <w:szCs w:val="18"/>
        </w:rPr>
        <w:t xml:space="preserve">) </w:t>
      </w:r>
      <w:hyperlink r:id="rId8" w:history="1">
        <w:r w:rsidRPr="00014FFE">
          <w:rPr>
            <w:rStyle w:val="Hyperlink"/>
            <w:sz w:val="18"/>
            <w:szCs w:val="18"/>
          </w:rPr>
          <w:t>Rapidus Achieves Significant Milestone at its State-of-the-Art Foundry with Prototyping of Leading-Edge 2nm GAA Transistors First prototypes successfully demonstrate electrical characteristics as the company continues to hit targets leading up to 2027 mass-production - Rapidus</w:t>
        </w:r>
        <w:r w:rsidRPr="00014FFE">
          <w:rPr>
            <w:rStyle w:val="Hyperlink"/>
            <w:rFonts w:eastAsia="MS Gothic" w:hint="eastAsia"/>
            <w:sz w:val="18"/>
            <w:szCs w:val="18"/>
          </w:rPr>
          <w:t>株式会社</w:t>
        </w:r>
      </w:hyperlink>
    </w:p>
  </w:footnote>
  <w:footnote w:id="33">
    <w:p w14:paraId="72B49065" w14:textId="5711F34D"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F5084F">
        <w:rPr>
          <w:sz w:val="18"/>
          <w:szCs w:val="18"/>
        </w:rPr>
        <w:t xml:space="preserve"> OECD. (2025). </w:t>
      </w:r>
      <w:r w:rsidRPr="00F5084F">
        <w:rPr>
          <w:rStyle w:val="Emphasis"/>
          <w:sz w:val="18"/>
          <w:szCs w:val="18"/>
        </w:rPr>
        <w:t>Mapping the semiconductor value chain: Working towards identifying dependencies and vulnerabilities</w:t>
      </w:r>
      <w:r w:rsidRPr="00F5084F">
        <w:rPr>
          <w:sz w:val="18"/>
          <w:szCs w:val="18"/>
        </w:rPr>
        <w:t xml:space="preserve"> (OECD Science, Technology and Industry Policy Papers No. 182). OECD Publishing. </w:t>
      </w:r>
    </w:p>
  </w:footnote>
  <w:footnote w:id="34">
    <w:p w14:paraId="45817ADA" w14:textId="4AB40C30" w:rsidR="002D364B" w:rsidRPr="006B73A0" w:rsidRDefault="002D364B" w:rsidP="002D364B">
      <w:pPr>
        <w:pStyle w:val="FootnoteText"/>
      </w:pPr>
      <w:r>
        <w:t>(</w:t>
      </w:r>
      <w:r w:rsidRPr="006B73A0">
        <w:rPr>
          <w:rStyle w:val="FootnoteReference"/>
        </w:rPr>
        <w:footnoteRef/>
      </w:r>
      <w:r>
        <w:t>)</w:t>
      </w:r>
      <w:r w:rsidRPr="006B73A0">
        <w:t xml:space="preserve"> </w:t>
      </w:r>
      <w:r w:rsidRPr="00F20F63">
        <w:rPr>
          <w:sz w:val="18"/>
          <w:szCs w:val="18"/>
        </w:rPr>
        <w:t xml:space="preserve">Market share also considers revenues generated from simulation software. </w:t>
      </w:r>
    </w:p>
  </w:footnote>
  <w:footnote w:id="35">
    <w:p w14:paraId="6B470EFE" w14:textId="6B5B85B8" w:rsidR="002D364B" w:rsidRPr="001D297E" w:rsidRDefault="002D364B" w:rsidP="002D364B">
      <w:pPr>
        <w:pStyle w:val="FootnoteText"/>
        <w:rPr>
          <w:sz w:val="18"/>
          <w:szCs w:val="18"/>
          <w:lang w:val="en-IE"/>
        </w:rPr>
      </w:pPr>
      <w:r w:rsidRPr="001D297E">
        <w:rPr>
          <w:sz w:val="18"/>
          <w:szCs w:val="18"/>
        </w:rPr>
        <w:t>(</w:t>
      </w:r>
      <w:r w:rsidRPr="001D297E">
        <w:rPr>
          <w:rStyle w:val="FootnoteReference"/>
          <w:sz w:val="18"/>
          <w:szCs w:val="18"/>
        </w:rPr>
        <w:footnoteRef/>
      </w:r>
      <w:r w:rsidRPr="001D297E">
        <w:rPr>
          <w:sz w:val="18"/>
          <w:szCs w:val="18"/>
        </w:rPr>
        <w:t xml:space="preserve">) </w:t>
      </w:r>
      <w:hyperlink r:id="rId9" w:history="1">
        <w:r w:rsidRPr="001D297E">
          <w:rPr>
            <w:rStyle w:val="Hyperlink"/>
            <w:sz w:val="18"/>
            <w:szCs w:val="18"/>
          </w:rPr>
          <w:t>Semiconductor-Strategy-for-Germany-and-Europe.pdf</w:t>
        </w:r>
      </w:hyperlink>
    </w:p>
  </w:footnote>
  <w:footnote w:id="36">
    <w:p w14:paraId="00EACB49" w14:textId="3D331848" w:rsidR="00DB6AF1" w:rsidRPr="00BD008E" w:rsidRDefault="00E361B9">
      <w:pPr>
        <w:pStyle w:val="FootnoteText"/>
        <w:rPr>
          <w:lang w:val="mt-MT"/>
        </w:rPr>
      </w:pPr>
      <w:r>
        <w:t>(</w:t>
      </w:r>
      <w:r w:rsidR="00DB6AF1">
        <w:rPr>
          <w:rStyle w:val="FootnoteReference"/>
        </w:rPr>
        <w:footnoteRef/>
      </w:r>
      <w:r>
        <w:t>)</w:t>
      </w:r>
      <w:r w:rsidR="00DB6AF1">
        <w:t xml:space="preserve"> </w:t>
      </w:r>
      <w:hyperlink r:id="rId10" w:history="1">
        <w:r w:rsidR="00DB6AF1" w:rsidRPr="00BD008E">
          <w:rPr>
            <w:rStyle w:val="Hyperlink"/>
            <w:sz w:val="18"/>
            <w:szCs w:val="18"/>
          </w:rPr>
          <w:t>Semiconductor-Strategy-for-Germany-and-Europe | ZVEI</w:t>
        </w:r>
      </w:hyperlink>
      <w:r w:rsidR="00DB6AF1" w:rsidRPr="00BD008E">
        <w:rPr>
          <w:sz w:val="18"/>
          <w:szCs w:val="18"/>
        </w:rPr>
        <w:t xml:space="preserve"> Light blue indicate</w:t>
      </w:r>
      <w:r w:rsidRPr="00BD008E">
        <w:rPr>
          <w:sz w:val="18"/>
          <w:szCs w:val="18"/>
        </w:rPr>
        <w:t>s</w:t>
      </w:r>
      <w:r w:rsidR="00DB6AF1" w:rsidRPr="00BD008E">
        <w:rPr>
          <w:sz w:val="18"/>
          <w:szCs w:val="18"/>
        </w:rPr>
        <w:t xml:space="preserve"> elements </w:t>
      </w:r>
      <w:r w:rsidRPr="00BD008E">
        <w:rPr>
          <w:sz w:val="18"/>
          <w:szCs w:val="18"/>
        </w:rPr>
        <w:t xml:space="preserve">in use in the 1980s; Dark blue indicates elements in use in the 1990s; Light red indicates elements in use in the 2000s; Dark red indicates elements in use in the 2010s. </w:t>
      </w:r>
    </w:p>
  </w:footnote>
  <w:footnote w:id="37">
    <w:p w14:paraId="20171399" w14:textId="1C5AE4FF" w:rsidR="002D364B" w:rsidRDefault="002D364B" w:rsidP="002D364B">
      <w:pPr>
        <w:pStyle w:val="FootnoteText"/>
        <w:rPr>
          <w:sz w:val="18"/>
          <w:szCs w:val="18"/>
        </w:rPr>
      </w:pPr>
      <w:r w:rsidRPr="001D297E">
        <w:rPr>
          <w:sz w:val="18"/>
          <w:szCs w:val="18"/>
        </w:rPr>
        <w:t>(</w:t>
      </w:r>
      <w:r w:rsidRPr="001D297E">
        <w:rPr>
          <w:rStyle w:val="FootnoteReference"/>
          <w:sz w:val="18"/>
          <w:szCs w:val="18"/>
        </w:rPr>
        <w:footnoteRef/>
      </w:r>
      <w:r w:rsidRPr="001D297E">
        <w:rPr>
          <w:sz w:val="18"/>
          <w:szCs w:val="18"/>
        </w:rPr>
        <w:t xml:space="preserve">) Cerutti, I., &amp; Nardo, M. (2023). </w:t>
      </w:r>
      <w:r w:rsidRPr="001D297E">
        <w:rPr>
          <w:rStyle w:val="Emphasis"/>
          <w:sz w:val="18"/>
          <w:szCs w:val="18"/>
        </w:rPr>
        <w:t>Semiconductors in the EU: State of play, future trends and vulnerabilities of the semiconductor supply chain</w:t>
      </w:r>
      <w:r w:rsidRPr="001D297E">
        <w:rPr>
          <w:sz w:val="18"/>
          <w:szCs w:val="18"/>
        </w:rPr>
        <w:t xml:space="preserve"> (JRC133850, EUR 31625 EN). Luxembourg: Publications Office of the European Union. </w:t>
      </w:r>
      <w:hyperlink r:id="rId11" w:history="1">
        <w:r w:rsidRPr="001D297E">
          <w:rPr>
            <w:rStyle w:val="Hyperlink"/>
            <w:sz w:val="18"/>
            <w:szCs w:val="18"/>
          </w:rPr>
          <w:t>https://doi.org/10.2760/038299</w:t>
        </w:r>
      </w:hyperlink>
    </w:p>
  </w:footnote>
  <w:footnote w:id="38">
    <w:p w14:paraId="305788A9" w14:textId="049BD331" w:rsidR="002D364B" w:rsidRPr="001D297E" w:rsidRDefault="002D364B" w:rsidP="002D364B">
      <w:pPr>
        <w:pStyle w:val="FootnoteText"/>
        <w:rPr>
          <w:lang w:val="en-IE"/>
        </w:rPr>
      </w:pPr>
      <w:r>
        <w:t>(</w:t>
      </w:r>
      <w:r>
        <w:rPr>
          <w:rStyle w:val="FootnoteReference"/>
        </w:rPr>
        <w:footnoteRef/>
      </w:r>
      <w:r>
        <w:t xml:space="preserve">) The channel is the “active” part of a transistor and this was the first time a channel was not made in pure Silicon. </w:t>
      </w:r>
      <w:hyperlink r:id="rId12" w:history="1">
        <w:r w:rsidRPr="00E96778">
          <w:rPr>
            <w:rStyle w:val="Hyperlink"/>
          </w:rPr>
          <w:t>https://fuse.wikichip.org/news/3398/tsmc-details-5-nm/</w:t>
        </w:r>
      </w:hyperlink>
      <w:r>
        <w:t xml:space="preserve"> </w:t>
      </w:r>
    </w:p>
  </w:footnote>
  <w:footnote w:id="39">
    <w:p w14:paraId="29227817" w14:textId="79B87DC7" w:rsidR="002D364B" w:rsidRPr="007147A2" w:rsidRDefault="002D364B" w:rsidP="002D364B">
      <w:pPr>
        <w:pStyle w:val="FootnoteText"/>
      </w:pPr>
      <w:r>
        <w:t>(</w:t>
      </w:r>
      <w:r>
        <w:rPr>
          <w:rStyle w:val="FootnoteReference"/>
        </w:rPr>
        <w:footnoteRef/>
      </w:r>
      <w:r>
        <w:t xml:space="preserve">) </w:t>
      </w:r>
      <w:r w:rsidRPr="00130A54">
        <w:t>Yole, Status of the Compound Semiconductor Industry 2024</w:t>
      </w:r>
    </w:p>
  </w:footnote>
  <w:footnote w:id="40">
    <w:p w14:paraId="2A65C2C7" w14:textId="7F258C5A" w:rsidR="002D364B" w:rsidRPr="007147A2" w:rsidRDefault="002D364B" w:rsidP="002D364B">
      <w:pPr>
        <w:pStyle w:val="FootnoteText"/>
      </w:pPr>
      <w:r>
        <w:t>(</w:t>
      </w:r>
      <w:r>
        <w:rPr>
          <w:rStyle w:val="FootnoteReference"/>
        </w:rPr>
        <w:footnoteRef/>
      </w:r>
      <w:r>
        <w:t xml:space="preserve">) </w:t>
      </w:r>
      <w:r w:rsidRPr="00130A54">
        <w:t>Yole, Status of the Compound Semiconductor Industry 2024</w:t>
      </w:r>
    </w:p>
  </w:footnote>
  <w:footnote w:id="41">
    <w:p w14:paraId="1CEE1D85" w14:textId="77E49ED4" w:rsidR="002D364B" w:rsidRPr="001D297E" w:rsidRDefault="002D364B" w:rsidP="002D364B">
      <w:pPr>
        <w:pStyle w:val="FootnoteText"/>
        <w:rPr>
          <w:sz w:val="18"/>
          <w:szCs w:val="18"/>
        </w:rPr>
      </w:pPr>
      <w:r w:rsidRPr="001D297E">
        <w:rPr>
          <w:sz w:val="18"/>
          <w:szCs w:val="18"/>
        </w:rPr>
        <w:t>(</w:t>
      </w:r>
      <w:r w:rsidRPr="001D297E">
        <w:rPr>
          <w:rStyle w:val="FootnoteReference"/>
          <w:sz w:val="18"/>
          <w:szCs w:val="18"/>
        </w:rPr>
        <w:footnoteRef/>
      </w:r>
      <w:r w:rsidRPr="001D297E">
        <w:rPr>
          <w:sz w:val="18"/>
          <w:szCs w:val="18"/>
        </w:rPr>
        <w:t>) Yole, Status of the Compound Semiconductor Industry 2024</w:t>
      </w:r>
    </w:p>
  </w:footnote>
  <w:footnote w:id="42">
    <w:p w14:paraId="75EF26E5" w14:textId="6D2319D6" w:rsidR="002D364B" w:rsidRPr="001D297E" w:rsidRDefault="002D364B" w:rsidP="002D364B">
      <w:pPr>
        <w:pStyle w:val="FootnoteText"/>
        <w:rPr>
          <w:sz w:val="18"/>
          <w:szCs w:val="18"/>
          <w:lang w:val="mt-MT"/>
        </w:rPr>
      </w:pPr>
      <w:r w:rsidRPr="001D297E">
        <w:rPr>
          <w:sz w:val="18"/>
          <w:szCs w:val="18"/>
        </w:rPr>
        <w:t>(</w:t>
      </w:r>
      <w:r w:rsidRPr="001D297E">
        <w:rPr>
          <w:rStyle w:val="FootnoteReference"/>
          <w:sz w:val="18"/>
          <w:szCs w:val="18"/>
        </w:rPr>
        <w:footnoteRef/>
      </w:r>
      <w:r w:rsidRPr="001D297E">
        <w:rPr>
          <w:sz w:val="18"/>
          <w:szCs w:val="18"/>
        </w:rPr>
        <w:t xml:space="preserve">) </w:t>
      </w:r>
      <w:hyperlink r:id="rId13" w:history="1">
        <w:r w:rsidRPr="001D297E">
          <w:rPr>
            <w:rStyle w:val="Hyperlink"/>
            <w:sz w:val="18"/>
            <w:szCs w:val="18"/>
          </w:rPr>
          <w:t>Commission approves €450 million Czech State aid for Onsemi</w:t>
        </w:r>
        <w:r w:rsidR="00497125">
          <w:rPr>
            <w:rStyle w:val="Hyperlink"/>
            <w:sz w:val="18"/>
            <w:szCs w:val="18"/>
          </w:rPr>
          <w:t>’</w:t>
        </w:r>
        <w:r w:rsidRPr="001D297E">
          <w:rPr>
            <w:rStyle w:val="Hyperlink"/>
            <w:sz w:val="18"/>
            <w:szCs w:val="18"/>
          </w:rPr>
          <w:t>s new semiconductor manufacturing facili</w:t>
        </w:r>
      </w:hyperlink>
    </w:p>
  </w:footnote>
  <w:footnote w:id="43">
    <w:p w14:paraId="7F5C8318" w14:textId="32082A06" w:rsidR="002D364B" w:rsidRPr="00130A54" w:rsidRDefault="002D364B" w:rsidP="002D364B">
      <w:pPr>
        <w:pStyle w:val="FootnoteText"/>
      </w:pPr>
      <w:r w:rsidRPr="001D297E">
        <w:rPr>
          <w:sz w:val="18"/>
          <w:szCs w:val="18"/>
        </w:rPr>
        <w:t>(</w:t>
      </w:r>
      <w:r w:rsidRPr="001D297E">
        <w:rPr>
          <w:rStyle w:val="FootnoteReference"/>
          <w:sz w:val="18"/>
          <w:szCs w:val="18"/>
        </w:rPr>
        <w:footnoteRef/>
      </w:r>
      <w:r w:rsidRPr="001D297E">
        <w:rPr>
          <w:sz w:val="18"/>
          <w:szCs w:val="18"/>
        </w:rPr>
        <w:t>) Yole, Status of the Compound Semiconductor Industry 2024</w:t>
      </w:r>
    </w:p>
  </w:footnote>
  <w:footnote w:id="44">
    <w:p w14:paraId="1B1E1ED7" w14:textId="198672D1" w:rsidR="002D364B" w:rsidRPr="001D297E" w:rsidRDefault="002D364B" w:rsidP="002D364B">
      <w:pPr>
        <w:pStyle w:val="FootnoteText"/>
        <w:rPr>
          <w:sz w:val="18"/>
          <w:szCs w:val="18"/>
          <w:lang w:val="mt-MT"/>
        </w:rPr>
      </w:pPr>
      <w:r w:rsidRPr="001D297E">
        <w:rPr>
          <w:sz w:val="18"/>
          <w:szCs w:val="18"/>
          <w:lang w:val="mt-MT"/>
        </w:rPr>
        <w:t>(</w:t>
      </w:r>
      <w:r w:rsidRPr="001D297E">
        <w:rPr>
          <w:rStyle w:val="FootnoteReference"/>
          <w:sz w:val="18"/>
          <w:szCs w:val="18"/>
        </w:rPr>
        <w:footnoteRef/>
      </w:r>
      <w:r w:rsidRPr="001D297E">
        <w:rPr>
          <w:sz w:val="18"/>
          <w:szCs w:val="18"/>
          <w:lang w:val="mt-MT"/>
        </w:rPr>
        <w:t>)</w:t>
      </w:r>
      <w:hyperlink r:id="rId14" w:history="1">
        <w:r w:rsidR="003B2FC7">
          <w:rPr>
            <w:rStyle w:val="Hyperlink"/>
            <w:sz w:val="18"/>
            <w:szCs w:val="18"/>
          </w:rPr>
          <w:t>Chemicals Used in the Electronics Industry | OECD</w:t>
        </w:r>
      </w:hyperlink>
      <w:r w:rsidR="003B2FC7" w:rsidRPr="003B2FC7" w:rsidDel="001F70E5">
        <w:rPr>
          <w:sz w:val="18"/>
          <w:szCs w:val="18"/>
          <w:lang w:val="mt-MT"/>
        </w:rPr>
        <w:t xml:space="preserve"> </w:t>
      </w:r>
    </w:p>
  </w:footnote>
  <w:footnote w:id="45">
    <w:p w14:paraId="6D91DFF7" w14:textId="55EF8727" w:rsidR="002D364B" w:rsidRPr="001D297E" w:rsidRDefault="002D364B" w:rsidP="002D364B">
      <w:pPr>
        <w:pStyle w:val="FootnoteText"/>
        <w:rPr>
          <w:sz w:val="18"/>
          <w:szCs w:val="18"/>
          <w:lang w:val="mt-MT"/>
        </w:rPr>
      </w:pPr>
      <w:r w:rsidRPr="00BD008E">
        <w:rPr>
          <w:sz w:val="18"/>
          <w:szCs w:val="18"/>
          <w:lang w:val="mt-MT"/>
        </w:rPr>
        <w:t>(</w:t>
      </w:r>
      <w:r w:rsidRPr="001D297E">
        <w:rPr>
          <w:rStyle w:val="FootnoteReference"/>
          <w:sz w:val="18"/>
          <w:szCs w:val="18"/>
        </w:rPr>
        <w:footnoteRef/>
      </w:r>
      <w:r w:rsidRPr="00BD008E">
        <w:rPr>
          <w:sz w:val="18"/>
          <w:szCs w:val="18"/>
          <w:lang w:val="mt-MT"/>
        </w:rPr>
        <w:t xml:space="preserve">) </w:t>
      </w:r>
      <w:hyperlink r:id="rId15" w:history="1">
        <w:r w:rsidR="003B2FC7">
          <w:rPr>
            <w:rStyle w:val="Hyperlink"/>
            <w:sz w:val="18"/>
            <w:szCs w:val="18"/>
          </w:rPr>
          <w:t>Silane | Air Liquide</w:t>
        </w:r>
      </w:hyperlink>
      <w:r w:rsidR="001F70E5" w:rsidRPr="001F70E5" w:rsidDel="00A80E93">
        <w:rPr>
          <w:sz w:val="18"/>
          <w:szCs w:val="18"/>
          <w:lang w:val="mt-MT"/>
        </w:rPr>
        <w:t xml:space="preserve"> </w:t>
      </w:r>
    </w:p>
  </w:footnote>
  <w:footnote w:id="46">
    <w:p w14:paraId="1049F9F9" w14:textId="0A697DB3" w:rsidR="002D364B" w:rsidRPr="001D297E" w:rsidRDefault="002D364B" w:rsidP="002D364B">
      <w:pPr>
        <w:pStyle w:val="FootnoteText"/>
        <w:rPr>
          <w:sz w:val="18"/>
          <w:szCs w:val="18"/>
          <w:lang w:val="en-IE"/>
        </w:rPr>
      </w:pPr>
      <w:r w:rsidRPr="001D297E">
        <w:rPr>
          <w:sz w:val="18"/>
          <w:szCs w:val="18"/>
        </w:rPr>
        <w:t>(</w:t>
      </w:r>
      <w:r w:rsidRPr="001D297E">
        <w:rPr>
          <w:rStyle w:val="FootnoteReference"/>
          <w:sz w:val="18"/>
          <w:szCs w:val="18"/>
        </w:rPr>
        <w:footnoteRef/>
      </w:r>
      <w:r w:rsidRPr="001D297E">
        <w:rPr>
          <w:sz w:val="18"/>
          <w:szCs w:val="18"/>
        </w:rPr>
        <w:t xml:space="preserve">) </w:t>
      </w:r>
      <w:r w:rsidRPr="001D297E">
        <w:rPr>
          <w:sz w:val="18"/>
          <w:szCs w:val="18"/>
          <w:lang w:val="en-IE"/>
        </w:rPr>
        <w:t>For semiconductor process gases, the applicable</w:t>
      </w:r>
      <w:r w:rsidR="00F274DD">
        <w:rPr>
          <w:sz w:val="18"/>
          <w:szCs w:val="18"/>
          <w:lang w:val="en-IE"/>
        </w:rPr>
        <w:t xml:space="preserve"> </w:t>
      </w:r>
      <w:r w:rsidRPr="001D297E">
        <w:rPr>
          <w:sz w:val="18"/>
          <w:szCs w:val="18"/>
          <w:lang w:val="en-IE"/>
        </w:rPr>
        <w:t>specification</w:t>
      </w:r>
      <w:r w:rsidR="00F274DD">
        <w:rPr>
          <w:sz w:val="18"/>
          <w:szCs w:val="18"/>
          <w:lang w:val="en-IE"/>
        </w:rPr>
        <w:t xml:space="preserve"> </w:t>
      </w:r>
      <w:r w:rsidRPr="001D297E">
        <w:rPr>
          <w:sz w:val="18"/>
          <w:szCs w:val="18"/>
          <w:lang w:val="en-IE"/>
        </w:rPr>
        <w:t xml:space="preserve">extends well beyond a nominal purity value (for example, 99.9999%). In practice, device manufacturers and equipment suppliers jointly qualify the gas as an integrated package, encompassing its detailed impurity profile, cylinder and valve materials, packaging configuration, and the performance of the associated delivery hardware. Any change in supplier, production site, or even cylinder type typically necessitates requalification, a process that can require several weeks to months and entails significant engineering effort and test-wafer consumption. </w:t>
      </w:r>
    </w:p>
  </w:footnote>
  <w:footnote w:id="47">
    <w:p w14:paraId="01078706" w14:textId="4E4730E3" w:rsidR="002D364B" w:rsidRPr="001D297E" w:rsidRDefault="002D364B" w:rsidP="002D364B">
      <w:pPr>
        <w:pStyle w:val="FootnoteText"/>
        <w:rPr>
          <w:sz w:val="18"/>
          <w:szCs w:val="18"/>
        </w:rPr>
      </w:pPr>
      <w:r w:rsidRPr="001D297E">
        <w:rPr>
          <w:sz w:val="18"/>
          <w:szCs w:val="18"/>
        </w:rPr>
        <w:t>(</w:t>
      </w:r>
      <w:r w:rsidRPr="001D297E">
        <w:rPr>
          <w:rStyle w:val="FootnoteReference"/>
          <w:sz w:val="18"/>
          <w:szCs w:val="18"/>
        </w:rPr>
        <w:footnoteRef/>
      </w:r>
      <w:r w:rsidRPr="001D297E">
        <w:rPr>
          <w:sz w:val="18"/>
          <w:szCs w:val="18"/>
        </w:rPr>
        <w:t xml:space="preserve">) </w:t>
      </w:r>
      <w:r w:rsidR="00875B99">
        <w:rPr>
          <w:sz w:val="18"/>
          <w:szCs w:val="18"/>
        </w:rPr>
        <w:t xml:space="preserve"> </w:t>
      </w:r>
      <w:hyperlink r:id="rId16" w:history="1">
        <w:r w:rsidR="00C46CC7">
          <w:rPr>
            <w:rStyle w:val="Hyperlink"/>
            <w:sz w:val="18"/>
            <w:szCs w:val="18"/>
          </w:rPr>
          <w:t xml:space="preserve">Japan - Semiconductors | U.S. International Trade Administration </w:t>
        </w:r>
      </w:hyperlink>
    </w:p>
  </w:footnote>
  <w:footnote w:id="48">
    <w:p w14:paraId="18D3A22F" w14:textId="77ED8A44" w:rsidR="002D364B" w:rsidRPr="001D297E" w:rsidRDefault="002D364B" w:rsidP="002D364B">
      <w:pPr>
        <w:pStyle w:val="FootnoteText"/>
        <w:rPr>
          <w:sz w:val="18"/>
          <w:szCs w:val="18"/>
          <w:lang w:val="mt-MT"/>
        </w:rPr>
      </w:pPr>
      <w:r w:rsidRPr="001D297E">
        <w:rPr>
          <w:sz w:val="18"/>
          <w:szCs w:val="18"/>
        </w:rPr>
        <w:t>(</w:t>
      </w:r>
      <w:r w:rsidRPr="001D297E">
        <w:rPr>
          <w:rStyle w:val="FootnoteReference"/>
          <w:sz w:val="18"/>
          <w:szCs w:val="18"/>
        </w:rPr>
        <w:footnoteRef/>
      </w:r>
      <w:r w:rsidRPr="001D297E">
        <w:rPr>
          <w:sz w:val="18"/>
          <w:szCs w:val="18"/>
        </w:rPr>
        <w:t>)</w:t>
      </w:r>
      <w:r w:rsidR="00875B99">
        <w:rPr>
          <w:sz w:val="18"/>
          <w:szCs w:val="18"/>
        </w:rPr>
        <w:t xml:space="preserve"> </w:t>
      </w:r>
      <w:hyperlink r:id="rId17" w:history="1">
        <w:r w:rsidR="00875B99">
          <w:rPr>
            <w:rStyle w:val="Hyperlink"/>
            <w:sz w:val="18"/>
            <w:szCs w:val="18"/>
          </w:rPr>
          <w:t>The South Korea-Japan Trade Dispute in Context: Semiconductor Manufacturing, Chemicals, and Concentrated Supply Chains | U.S. International Trade Commission</w:t>
        </w:r>
      </w:hyperlink>
    </w:p>
  </w:footnote>
  <w:footnote w:id="49">
    <w:p w14:paraId="0A01B6FA" w14:textId="04BCFB93" w:rsidR="002D364B" w:rsidRPr="00C5523C" w:rsidRDefault="002D364B" w:rsidP="002D364B">
      <w:pPr>
        <w:pStyle w:val="FootnoteText"/>
        <w:rPr>
          <w:lang w:val="mt-MT"/>
        </w:rPr>
      </w:pPr>
      <w:r w:rsidRPr="001D297E">
        <w:rPr>
          <w:sz w:val="18"/>
          <w:szCs w:val="18"/>
        </w:rPr>
        <w:t>(</w:t>
      </w:r>
      <w:r w:rsidRPr="001D297E">
        <w:rPr>
          <w:rStyle w:val="FootnoteReference"/>
          <w:sz w:val="18"/>
          <w:szCs w:val="18"/>
        </w:rPr>
        <w:footnoteRef/>
      </w:r>
      <w:r w:rsidRPr="001D297E">
        <w:rPr>
          <w:sz w:val="18"/>
          <w:szCs w:val="18"/>
        </w:rPr>
        <w:t xml:space="preserve">) </w:t>
      </w:r>
      <w:hyperlink r:id="rId18" w:history="1">
        <w:r w:rsidRPr="001D297E">
          <w:rPr>
            <w:rStyle w:val="Hyperlink"/>
            <w:sz w:val="18"/>
            <w:szCs w:val="18"/>
          </w:rPr>
          <w:t>Japan-backed fund to buy chip materials maker JSR for $6.4 billion | Reuters</w:t>
        </w:r>
      </w:hyperlink>
    </w:p>
  </w:footnote>
  <w:footnote w:id="50">
    <w:p w14:paraId="43481AB4" w14:textId="0DE7CBD5" w:rsidR="001449E6" w:rsidRPr="00BD008E" w:rsidRDefault="001449E6">
      <w:pPr>
        <w:pStyle w:val="FootnoteText"/>
        <w:rPr>
          <w:lang w:val="en-US"/>
        </w:rPr>
      </w:pPr>
      <w:r>
        <w:rPr>
          <w:lang w:val="mt-MT"/>
        </w:rPr>
        <w:t>(</w:t>
      </w:r>
      <w:r>
        <w:rPr>
          <w:rStyle w:val="FootnoteReference"/>
        </w:rPr>
        <w:footnoteRef/>
      </w:r>
      <w:r>
        <w:t>)</w:t>
      </w:r>
      <w:hyperlink r:id="rId19" w:history="1">
        <w:r w:rsidRPr="00BD008E">
          <w:rPr>
            <w:rStyle w:val="Hyperlink"/>
            <w:sz w:val="18"/>
            <w:szCs w:val="18"/>
          </w:rPr>
          <w:t>The Outlook For The Precursor Market Remains Strong | Semiconductor Digest</w:t>
        </w:r>
      </w:hyperlink>
    </w:p>
  </w:footnote>
  <w:footnote w:id="51">
    <w:p w14:paraId="7ED541E3" w14:textId="06A88809" w:rsidR="002D364B" w:rsidRPr="001D297E" w:rsidRDefault="002D364B" w:rsidP="002D364B">
      <w:pPr>
        <w:pStyle w:val="FootnoteText"/>
        <w:rPr>
          <w:sz w:val="18"/>
          <w:szCs w:val="18"/>
        </w:rPr>
      </w:pPr>
      <w:r w:rsidRPr="001D297E">
        <w:rPr>
          <w:sz w:val="18"/>
          <w:szCs w:val="18"/>
        </w:rPr>
        <w:t>(</w:t>
      </w:r>
      <w:r w:rsidRPr="001D297E">
        <w:rPr>
          <w:rStyle w:val="FootnoteReference"/>
          <w:sz w:val="18"/>
          <w:szCs w:val="18"/>
        </w:rPr>
        <w:footnoteRef/>
      </w:r>
      <w:r w:rsidRPr="001D297E">
        <w:rPr>
          <w:sz w:val="18"/>
          <w:szCs w:val="18"/>
        </w:rPr>
        <w:t xml:space="preserve">) </w:t>
      </w:r>
      <w:hyperlink r:id="rId20" w:anchor="B64" w:history="1">
        <w:r w:rsidRPr="001D297E">
          <w:rPr>
            <w:rStyle w:val="Hyperlink"/>
            <w:sz w:val="18"/>
            <w:szCs w:val="18"/>
          </w:rPr>
          <w:t>EUV mask technologies: evolution and ecosystem for devices</w:t>
        </w:r>
      </w:hyperlink>
    </w:p>
  </w:footnote>
  <w:footnote w:id="52">
    <w:p w14:paraId="564D9856" w14:textId="45B5C7E3" w:rsidR="002D364B" w:rsidRPr="001D297E" w:rsidRDefault="002D364B" w:rsidP="002D364B">
      <w:pPr>
        <w:pStyle w:val="FootnoteText"/>
        <w:rPr>
          <w:sz w:val="18"/>
          <w:szCs w:val="18"/>
        </w:rPr>
      </w:pPr>
      <w:r w:rsidRPr="001D297E">
        <w:rPr>
          <w:sz w:val="18"/>
          <w:szCs w:val="18"/>
        </w:rPr>
        <w:t>(</w:t>
      </w:r>
      <w:r w:rsidRPr="001D297E">
        <w:rPr>
          <w:rStyle w:val="FootnoteReference"/>
          <w:sz w:val="18"/>
          <w:szCs w:val="18"/>
        </w:rPr>
        <w:footnoteRef/>
      </w:r>
      <w:r w:rsidRPr="001D297E">
        <w:rPr>
          <w:sz w:val="18"/>
          <w:szCs w:val="18"/>
        </w:rPr>
        <w:t xml:space="preserve">) </w:t>
      </w:r>
      <w:hyperlink r:id="rId21" w:history="1">
        <w:r w:rsidRPr="004B3FBF">
          <w:rPr>
            <w:rStyle w:val="Hyperlink"/>
            <w:sz w:val="18"/>
            <w:szCs w:val="18"/>
          </w:rPr>
          <w:t>ASML Holding Before Q4 Earnings: How Should Investors Play the Stock?</w:t>
        </w:r>
      </w:hyperlink>
    </w:p>
  </w:footnote>
  <w:footnote w:id="53">
    <w:p w14:paraId="79DA0F01" w14:textId="538F2366" w:rsidR="002D364B" w:rsidRPr="001D297E" w:rsidRDefault="002D364B" w:rsidP="002D364B">
      <w:pPr>
        <w:pStyle w:val="FootnoteText"/>
        <w:rPr>
          <w:sz w:val="18"/>
          <w:szCs w:val="18"/>
          <w:lang w:val="mt-MT"/>
        </w:rPr>
      </w:pPr>
      <w:r w:rsidRPr="001D297E">
        <w:rPr>
          <w:sz w:val="18"/>
          <w:szCs w:val="18"/>
          <w:lang w:val="mt-MT"/>
        </w:rPr>
        <w:t>(</w:t>
      </w:r>
      <w:r w:rsidRPr="001D297E">
        <w:rPr>
          <w:rStyle w:val="FootnoteReference"/>
          <w:sz w:val="18"/>
          <w:szCs w:val="18"/>
        </w:rPr>
        <w:footnoteRef/>
      </w:r>
      <w:r w:rsidRPr="001D297E">
        <w:rPr>
          <w:sz w:val="18"/>
          <w:szCs w:val="18"/>
          <w:lang w:val="mt-MT"/>
        </w:rPr>
        <w:t xml:space="preserve">) </w:t>
      </w:r>
      <w:hyperlink r:id="rId22" w:history="1">
        <w:r w:rsidRPr="001D297E">
          <w:rPr>
            <w:rStyle w:val="Hyperlink"/>
            <w:sz w:val="18"/>
            <w:szCs w:val="18"/>
          </w:rPr>
          <w:t>A Critical AI Niche Is Dominated by One Little-Known Japanese Company - WSJ</w:t>
        </w:r>
      </w:hyperlink>
    </w:p>
  </w:footnote>
  <w:footnote w:id="54">
    <w:p w14:paraId="3D7E8B8E" w14:textId="095EEFD5" w:rsidR="002D364B" w:rsidRPr="001D297E" w:rsidRDefault="002D364B" w:rsidP="002D364B">
      <w:pPr>
        <w:pStyle w:val="FootnoteText"/>
        <w:rPr>
          <w:sz w:val="18"/>
          <w:szCs w:val="18"/>
          <w:lang w:val="mt-MT"/>
        </w:rPr>
      </w:pPr>
      <w:r w:rsidRPr="001D297E">
        <w:rPr>
          <w:sz w:val="18"/>
          <w:szCs w:val="18"/>
          <w:lang w:val="mt-MT"/>
        </w:rPr>
        <w:t>(</w:t>
      </w:r>
      <w:r w:rsidRPr="001D297E">
        <w:rPr>
          <w:rStyle w:val="FootnoteReference"/>
          <w:sz w:val="18"/>
          <w:szCs w:val="18"/>
        </w:rPr>
        <w:footnoteRef/>
      </w:r>
      <w:r w:rsidRPr="001D297E">
        <w:rPr>
          <w:sz w:val="18"/>
          <w:szCs w:val="18"/>
          <w:lang w:val="mt-MT"/>
        </w:rPr>
        <w:t>) https://www.nittobo.co.jp/eng/business/electronicmaterials/index.htm</w:t>
      </w:r>
    </w:p>
  </w:footnote>
  <w:footnote w:id="55">
    <w:p w14:paraId="3ABC9988" w14:textId="5CA8922B" w:rsidR="002D364B" w:rsidRPr="001D297E" w:rsidRDefault="002D364B" w:rsidP="002D364B">
      <w:pPr>
        <w:pStyle w:val="FootnoteText"/>
        <w:rPr>
          <w:sz w:val="18"/>
          <w:szCs w:val="18"/>
          <w:lang w:val="mt-MT"/>
        </w:rPr>
      </w:pPr>
      <w:r w:rsidRPr="001D297E">
        <w:rPr>
          <w:sz w:val="18"/>
          <w:szCs w:val="18"/>
          <w:lang w:val="mt-MT"/>
        </w:rPr>
        <w:t>(</w:t>
      </w:r>
      <w:r w:rsidRPr="001D297E">
        <w:rPr>
          <w:rStyle w:val="FootnoteReference"/>
          <w:sz w:val="18"/>
          <w:szCs w:val="18"/>
        </w:rPr>
        <w:footnoteRef/>
      </w:r>
      <w:r w:rsidRPr="001D297E">
        <w:rPr>
          <w:sz w:val="18"/>
          <w:szCs w:val="18"/>
          <w:lang w:val="mt-MT"/>
        </w:rPr>
        <w:t>) https://www.digitimes.com/news/a20260204PD225/nittobo-nikkei-2028-launch-materials.html</w:t>
      </w:r>
    </w:p>
  </w:footnote>
  <w:footnote w:id="56">
    <w:p w14:paraId="705AD32A" w14:textId="6B1CEF0A" w:rsidR="002D364B" w:rsidRPr="001D297E" w:rsidRDefault="002D364B" w:rsidP="002D364B">
      <w:pPr>
        <w:pStyle w:val="FootnoteText"/>
        <w:rPr>
          <w:sz w:val="18"/>
          <w:szCs w:val="18"/>
          <w:lang w:val="mt-MT"/>
        </w:rPr>
      </w:pPr>
      <w:r w:rsidRPr="001D297E">
        <w:rPr>
          <w:sz w:val="18"/>
          <w:szCs w:val="18"/>
        </w:rPr>
        <w:t>(</w:t>
      </w:r>
      <w:r w:rsidRPr="001D297E">
        <w:rPr>
          <w:rStyle w:val="FootnoteReference"/>
          <w:sz w:val="18"/>
          <w:szCs w:val="18"/>
        </w:rPr>
        <w:footnoteRef/>
      </w:r>
      <w:r w:rsidRPr="001D297E">
        <w:rPr>
          <w:sz w:val="18"/>
          <w:szCs w:val="18"/>
        </w:rPr>
        <w:t xml:space="preserve">) </w:t>
      </w:r>
      <w:hyperlink r:id="rId23" w:history="1">
        <w:r w:rsidRPr="001D297E">
          <w:rPr>
            <w:rStyle w:val="Hyperlink"/>
            <w:sz w:val="18"/>
            <w:szCs w:val="18"/>
          </w:rPr>
          <w:t>Ajinomoto pledges to invest millions to produce material that</w:t>
        </w:r>
        <w:r w:rsidR="00497125">
          <w:rPr>
            <w:rStyle w:val="Hyperlink"/>
            <w:sz w:val="18"/>
            <w:szCs w:val="18"/>
          </w:rPr>
          <w:t>’</w:t>
        </w:r>
        <w:r w:rsidRPr="001D297E">
          <w:rPr>
            <w:rStyle w:val="Hyperlink"/>
            <w:sz w:val="18"/>
            <w:szCs w:val="18"/>
          </w:rPr>
          <w:t>s vital to semiconductor packaging | TechRadar</w:t>
        </w:r>
      </w:hyperlink>
    </w:p>
  </w:footnote>
  <w:footnote w:id="57">
    <w:p w14:paraId="6763ED83" w14:textId="2C14321D" w:rsidR="002D364B" w:rsidRPr="00D234F6" w:rsidRDefault="002D364B" w:rsidP="002D364B">
      <w:pPr>
        <w:pStyle w:val="FootnoteText"/>
        <w:rPr>
          <w:lang w:val="mt-MT"/>
        </w:rPr>
      </w:pPr>
      <w:r w:rsidRPr="001D297E">
        <w:rPr>
          <w:sz w:val="18"/>
          <w:szCs w:val="18"/>
        </w:rPr>
        <w:t>(</w:t>
      </w:r>
      <w:r w:rsidRPr="001D297E">
        <w:rPr>
          <w:rStyle w:val="FootnoteReference"/>
          <w:sz w:val="18"/>
          <w:szCs w:val="18"/>
        </w:rPr>
        <w:footnoteRef/>
      </w:r>
      <w:r w:rsidRPr="001D297E">
        <w:rPr>
          <w:sz w:val="18"/>
          <w:szCs w:val="18"/>
        </w:rPr>
        <w:t xml:space="preserve">) </w:t>
      </w:r>
      <w:hyperlink r:id="rId24" w:history="1">
        <w:r w:rsidRPr="001D297E">
          <w:rPr>
            <w:rStyle w:val="Hyperlink"/>
            <w:sz w:val="18"/>
            <w:szCs w:val="18"/>
          </w:rPr>
          <w:t>Ajinomoto Build-up Film (ABF) | Innovation Story | Innovation | The Ajinomoto Group Global Website - Eat Well, Live Well.</w:t>
        </w:r>
      </w:hyperlink>
    </w:p>
  </w:footnote>
  <w:footnote w:id="58">
    <w:p w14:paraId="183B39AB" w14:textId="77777777" w:rsidR="00D34A81" w:rsidRPr="001D297E" w:rsidRDefault="00D34A81" w:rsidP="00D34A81">
      <w:pPr>
        <w:pStyle w:val="FootnoteText"/>
        <w:rPr>
          <w:sz w:val="18"/>
          <w:szCs w:val="18"/>
          <w:lang w:val="mt-MT"/>
        </w:rPr>
      </w:pPr>
      <w:r w:rsidRPr="001D297E">
        <w:rPr>
          <w:sz w:val="18"/>
          <w:szCs w:val="18"/>
          <w:lang w:val="es-ES"/>
        </w:rPr>
        <w:t>(</w:t>
      </w:r>
      <w:r w:rsidRPr="001D297E">
        <w:rPr>
          <w:rStyle w:val="FootnoteReference"/>
          <w:sz w:val="18"/>
          <w:szCs w:val="18"/>
        </w:rPr>
        <w:footnoteRef/>
      </w:r>
      <w:r w:rsidRPr="001D297E">
        <w:rPr>
          <w:sz w:val="18"/>
          <w:szCs w:val="18"/>
          <w:lang w:val="es-ES"/>
        </w:rPr>
        <w:t>)</w:t>
      </w:r>
      <w:r w:rsidRPr="0067577B">
        <w:rPr>
          <w:sz w:val="18"/>
          <w:szCs w:val="18"/>
          <w:lang w:val="es-ES"/>
        </w:rPr>
        <w:t xml:space="preserve"> </w:t>
      </w:r>
      <w:r w:rsidRPr="001D297E">
        <w:rPr>
          <w:sz w:val="18"/>
          <w:szCs w:val="18"/>
          <w:lang w:val="pl-PL"/>
        </w:rPr>
        <w:t xml:space="preserve">Bonnet, P., Ciani, A., Molnar, J., &amp; Nardo, M. (2025). </w:t>
      </w:r>
      <w:r w:rsidRPr="001D297E">
        <w:rPr>
          <w:sz w:val="18"/>
          <w:szCs w:val="18"/>
        </w:rPr>
        <w:t>EU’s strengths and weaknesses in the global semiconductor sector (JRC141323, EUR 40253). Luxembourg: Publications Office of the European Union. https://doi.org/10.2760/6302476</w:t>
      </w:r>
    </w:p>
  </w:footnote>
  <w:footnote w:id="59">
    <w:p w14:paraId="7F9BB325" w14:textId="5B4DC651" w:rsidR="002D364B" w:rsidRPr="001D297E" w:rsidRDefault="002D364B" w:rsidP="002D364B">
      <w:pPr>
        <w:pStyle w:val="FootnoteText"/>
        <w:rPr>
          <w:sz w:val="18"/>
          <w:szCs w:val="18"/>
          <w:lang w:val="mt-MT"/>
        </w:rPr>
      </w:pPr>
      <w:r w:rsidRPr="001D297E">
        <w:rPr>
          <w:sz w:val="18"/>
          <w:szCs w:val="18"/>
          <w:lang w:val="es-ES"/>
        </w:rPr>
        <w:t>(</w:t>
      </w:r>
      <w:r w:rsidRPr="001D297E">
        <w:rPr>
          <w:rStyle w:val="FootnoteReference"/>
          <w:sz w:val="18"/>
          <w:szCs w:val="18"/>
        </w:rPr>
        <w:footnoteRef/>
      </w:r>
      <w:r w:rsidRPr="001D297E">
        <w:rPr>
          <w:sz w:val="18"/>
          <w:szCs w:val="18"/>
          <w:lang w:val="es-ES"/>
        </w:rPr>
        <w:t>)</w:t>
      </w:r>
      <w:r w:rsidRPr="0067577B">
        <w:rPr>
          <w:sz w:val="18"/>
          <w:szCs w:val="18"/>
          <w:lang w:val="es-ES"/>
        </w:rPr>
        <w:t xml:space="preserve"> </w:t>
      </w:r>
      <w:r w:rsidRPr="001D297E">
        <w:rPr>
          <w:sz w:val="18"/>
          <w:szCs w:val="18"/>
          <w:lang w:val="pl-PL"/>
        </w:rPr>
        <w:t xml:space="preserve">Bonnet, P., Ciani, A., Molnar, J., &amp; Nardo, M. (2025). </w:t>
      </w:r>
      <w:r w:rsidRPr="001D297E">
        <w:rPr>
          <w:sz w:val="18"/>
          <w:szCs w:val="18"/>
        </w:rPr>
        <w:t>EU’s strengths and weaknesses in the global semiconductor sector (JRC141323, EUR 40253). Luxembourg: Publications Office of the European Union. https://doi.org/10.2760/6302476</w:t>
      </w:r>
    </w:p>
  </w:footnote>
  <w:footnote w:id="60">
    <w:p w14:paraId="13349C9D" w14:textId="02894CBE" w:rsidR="002D364B" w:rsidRPr="00BD766D" w:rsidRDefault="002D364B" w:rsidP="002D364B">
      <w:pPr>
        <w:pStyle w:val="FootnoteText"/>
        <w:rPr>
          <w:lang w:val="mt-MT"/>
        </w:rPr>
      </w:pPr>
      <w:r w:rsidRPr="001D297E">
        <w:rPr>
          <w:sz w:val="18"/>
          <w:szCs w:val="18"/>
          <w:lang w:val="es-ES"/>
        </w:rPr>
        <w:t>(</w:t>
      </w:r>
      <w:r w:rsidRPr="001D297E">
        <w:rPr>
          <w:rStyle w:val="FootnoteReference"/>
          <w:sz w:val="18"/>
          <w:szCs w:val="18"/>
        </w:rPr>
        <w:footnoteRef/>
      </w:r>
      <w:r w:rsidRPr="001D297E">
        <w:rPr>
          <w:sz w:val="18"/>
          <w:szCs w:val="18"/>
          <w:lang w:val="es-ES"/>
        </w:rPr>
        <w:t>)</w:t>
      </w:r>
      <w:r w:rsidRPr="0067577B">
        <w:rPr>
          <w:sz w:val="18"/>
          <w:szCs w:val="18"/>
          <w:lang w:val="es-ES"/>
        </w:rPr>
        <w:t xml:space="preserve"> </w:t>
      </w:r>
      <w:r w:rsidRPr="001D297E">
        <w:rPr>
          <w:sz w:val="18"/>
          <w:szCs w:val="18"/>
          <w:lang w:val="pl-PL"/>
        </w:rPr>
        <w:t xml:space="preserve">Bonnet, P., Ciani, A., Molnar, J., &amp; Nardo, M. (2025). </w:t>
      </w:r>
      <w:r w:rsidRPr="001D297E">
        <w:rPr>
          <w:sz w:val="18"/>
          <w:szCs w:val="18"/>
        </w:rPr>
        <w:t>EU’s strengths and weaknesses in the global semiconductor sector (JRC141323, EUR 40253). Luxembourg: Publications Office of the European Union. https://doi.org/10.2760/6302476</w:t>
      </w:r>
    </w:p>
  </w:footnote>
  <w:footnote w:id="61">
    <w:p w14:paraId="6468E469" w14:textId="260F7675" w:rsidR="002D364B" w:rsidRPr="001D297E" w:rsidRDefault="002D364B" w:rsidP="002D364B">
      <w:pPr>
        <w:pStyle w:val="FootnoteText"/>
        <w:rPr>
          <w:sz w:val="18"/>
          <w:szCs w:val="18"/>
          <w:lang w:val="mt-MT"/>
        </w:rPr>
      </w:pPr>
      <w:r w:rsidRPr="001D297E">
        <w:rPr>
          <w:sz w:val="18"/>
          <w:szCs w:val="18"/>
          <w:lang w:val="pl-PL"/>
        </w:rPr>
        <w:t>(</w:t>
      </w:r>
      <w:r w:rsidRPr="001D297E">
        <w:rPr>
          <w:rStyle w:val="FootnoteReference"/>
          <w:sz w:val="18"/>
          <w:szCs w:val="18"/>
        </w:rPr>
        <w:footnoteRef/>
      </w:r>
      <w:r w:rsidRPr="001D297E">
        <w:rPr>
          <w:sz w:val="18"/>
          <w:szCs w:val="18"/>
          <w:lang w:val="pl-PL"/>
        </w:rPr>
        <w:t xml:space="preserve">)   Bonnet, P., Ciani, A., Molnar, J., &amp; Nardo, M. (2025). </w:t>
      </w:r>
      <w:r w:rsidRPr="001D297E">
        <w:rPr>
          <w:sz w:val="18"/>
          <w:szCs w:val="18"/>
        </w:rPr>
        <w:t>EU’s strengths and weaknesses in the global semiconductor sector (JRC141323, EUR 40253). Luxembourg: Publications Office of the European Union. https://doi.org/10.2760/6302476</w:t>
      </w:r>
    </w:p>
  </w:footnote>
  <w:footnote w:id="62">
    <w:p w14:paraId="270F84E2" w14:textId="4D338A2D" w:rsidR="002D364B" w:rsidRPr="001D297E" w:rsidRDefault="002D364B" w:rsidP="002D364B">
      <w:pPr>
        <w:pStyle w:val="FootnoteText"/>
        <w:rPr>
          <w:sz w:val="18"/>
          <w:szCs w:val="18"/>
          <w:lang w:val="mt-MT"/>
        </w:rPr>
      </w:pPr>
      <w:r w:rsidRPr="001D297E">
        <w:rPr>
          <w:sz w:val="18"/>
          <w:szCs w:val="18"/>
          <w:lang w:val="pl-PL"/>
        </w:rPr>
        <w:t>(</w:t>
      </w:r>
      <w:r w:rsidRPr="001D297E">
        <w:rPr>
          <w:rStyle w:val="FootnoteReference"/>
          <w:sz w:val="18"/>
          <w:szCs w:val="18"/>
        </w:rPr>
        <w:footnoteRef/>
      </w:r>
      <w:r w:rsidRPr="001D297E">
        <w:rPr>
          <w:sz w:val="18"/>
          <w:szCs w:val="18"/>
          <w:lang w:val="pl-PL"/>
        </w:rPr>
        <w:t xml:space="preserve">)   Bonnet, P., Ciani, A., Molnar, J., &amp; Nardo, M. (2025). </w:t>
      </w:r>
      <w:r w:rsidRPr="001D297E">
        <w:rPr>
          <w:sz w:val="18"/>
          <w:szCs w:val="18"/>
        </w:rPr>
        <w:t>EU’s strengths and weaknesses in the global semiconductor sector (JRC141323, EUR 40253). Luxembourg: Publications Office of the European Union. https://doi.org/10.2760/6302476</w:t>
      </w:r>
    </w:p>
  </w:footnote>
  <w:footnote w:id="63">
    <w:p w14:paraId="1969ABCB" w14:textId="7A8E8FEF" w:rsidR="002D364B" w:rsidRPr="001D297E" w:rsidRDefault="002D364B" w:rsidP="002D364B">
      <w:pPr>
        <w:pStyle w:val="FootnoteText"/>
        <w:rPr>
          <w:sz w:val="18"/>
          <w:szCs w:val="18"/>
          <w:lang w:val="mt-MT"/>
        </w:rPr>
      </w:pPr>
      <w:r w:rsidRPr="001D297E">
        <w:rPr>
          <w:sz w:val="18"/>
          <w:szCs w:val="18"/>
          <w:lang w:val="pl-PL"/>
        </w:rPr>
        <w:t>(</w:t>
      </w:r>
      <w:r w:rsidRPr="001D297E">
        <w:rPr>
          <w:rStyle w:val="FootnoteReference"/>
          <w:sz w:val="18"/>
          <w:szCs w:val="18"/>
        </w:rPr>
        <w:footnoteRef/>
      </w:r>
      <w:r w:rsidRPr="001D297E">
        <w:rPr>
          <w:sz w:val="18"/>
          <w:szCs w:val="18"/>
          <w:lang w:val="pl-PL"/>
        </w:rPr>
        <w:t xml:space="preserve">)   Bonnet, P., Ciani, A., Molnar, J., &amp; Nardo, M. (2025). </w:t>
      </w:r>
      <w:r w:rsidRPr="001D297E">
        <w:rPr>
          <w:sz w:val="18"/>
          <w:szCs w:val="18"/>
        </w:rPr>
        <w:t>EU’s strengths and weaknesses in the global semiconductor sector (JRC141323, EUR 40253). Luxembourg: Publications Office of the European Union. https://doi.org/10.2760/6302476</w:t>
      </w:r>
    </w:p>
  </w:footnote>
  <w:footnote w:id="64">
    <w:p w14:paraId="05F04E7C" w14:textId="638AE6B9" w:rsidR="002D364B" w:rsidRPr="00C46F37" w:rsidRDefault="002D364B" w:rsidP="002D364B">
      <w:pPr>
        <w:pStyle w:val="FootnoteText"/>
        <w:rPr>
          <w:lang w:val="mt-MT"/>
        </w:rPr>
      </w:pPr>
      <w:r w:rsidRPr="001D297E">
        <w:rPr>
          <w:sz w:val="18"/>
          <w:szCs w:val="18"/>
          <w:lang w:val="mt-MT"/>
        </w:rPr>
        <w:t>(</w:t>
      </w:r>
      <w:r w:rsidRPr="001D297E">
        <w:rPr>
          <w:rStyle w:val="FootnoteReference"/>
          <w:sz w:val="18"/>
          <w:szCs w:val="18"/>
        </w:rPr>
        <w:footnoteRef/>
      </w:r>
      <w:r w:rsidRPr="001D297E">
        <w:rPr>
          <w:sz w:val="18"/>
          <w:szCs w:val="18"/>
          <w:lang w:val="mt-MT"/>
        </w:rPr>
        <w:t>) Bonnet, P., Ciani, A., Molnar, J., &amp; Nardo, M. (2025). EU’s strengths and weaknesses in the global semiconductor sector (JRC141323, EUR 40253). Luxembourg: Publications Office of the European Union. https://doi.org/10.2760/6302476</w:t>
      </w:r>
    </w:p>
  </w:footnote>
  <w:footnote w:id="65">
    <w:p w14:paraId="141457ED" w14:textId="6EDE3A7A"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F5084F">
        <w:rPr>
          <w:sz w:val="18"/>
          <w:szCs w:val="18"/>
        </w:rPr>
        <w:t xml:space="preserve">  DECISION Études &amp; Conseil. (2024). </w:t>
      </w:r>
      <w:r w:rsidRPr="00F5084F">
        <w:rPr>
          <w:rStyle w:val="Emphasis"/>
          <w:sz w:val="18"/>
          <w:szCs w:val="18"/>
        </w:rPr>
        <w:t>Economic analysis of the EU and global chips ecosystem</w:t>
      </w:r>
    </w:p>
  </w:footnote>
  <w:footnote w:id="66">
    <w:p w14:paraId="6B7DD26C" w14:textId="4D4C7197" w:rsidR="00EC49AF" w:rsidRPr="00761AA3" w:rsidRDefault="00EC49AF" w:rsidP="00EC49AF">
      <w:pPr>
        <w:pStyle w:val="FootnoteText"/>
        <w:rPr>
          <w:sz w:val="18"/>
          <w:szCs w:val="18"/>
          <w:lang w:val="fr-BE"/>
        </w:rPr>
      </w:pPr>
      <w:r>
        <w:rPr>
          <w:sz w:val="18"/>
          <w:szCs w:val="18"/>
        </w:rPr>
        <w:t>(</w:t>
      </w:r>
      <w:r w:rsidRPr="00923415">
        <w:rPr>
          <w:rStyle w:val="FootnoteReference"/>
          <w:sz w:val="18"/>
          <w:szCs w:val="18"/>
        </w:rPr>
        <w:footnoteRef/>
      </w:r>
      <w:r>
        <w:rPr>
          <w:sz w:val="18"/>
          <w:szCs w:val="18"/>
        </w:rPr>
        <w:t>)</w:t>
      </w:r>
      <w:r w:rsidRPr="00F5084F">
        <w:rPr>
          <w:sz w:val="18"/>
          <w:szCs w:val="18"/>
        </w:rPr>
        <w:t xml:space="preserve"> Ebrahimi, A. (2024). </w:t>
      </w:r>
      <w:r w:rsidRPr="00F5084F">
        <w:rPr>
          <w:rStyle w:val="Emphasis"/>
          <w:sz w:val="18"/>
          <w:szCs w:val="18"/>
        </w:rPr>
        <w:t>Groundbreaking chip sovereignty: Europe’s strategic push in the semiconductor race.</w:t>
      </w:r>
      <w:r w:rsidRPr="00F5084F">
        <w:rPr>
          <w:sz w:val="18"/>
          <w:szCs w:val="18"/>
        </w:rPr>
        <w:t xml:space="preserve"> </w:t>
      </w:r>
      <w:r w:rsidRPr="00761AA3">
        <w:rPr>
          <w:sz w:val="18"/>
          <w:szCs w:val="18"/>
          <w:lang w:val="fr-BE"/>
        </w:rPr>
        <w:t>Ifri Memos, Institut français des relations internationales (IFRI). ISBN 979-10-373-0874-0.</w:t>
      </w:r>
    </w:p>
  </w:footnote>
  <w:footnote w:id="67">
    <w:p w14:paraId="54FE6355" w14:textId="5E764A30" w:rsidR="00EC49AF" w:rsidRPr="00F5084F" w:rsidRDefault="00EC49AF" w:rsidP="00EC49AF">
      <w:pPr>
        <w:pStyle w:val="FootnoteText"/>
        <w:rPr>
          <w:sz w:val="18"/>
          <w:szCs w:val="18"/>
        </w:rPr>
      </w:pPr>
      <w:r>
        <w:rPr>
          <w:sz w:val="18"/>
          <w:szCs w:val="18"/>
          <w:lang w:val="fr-BE"/>
        </w:rPr>
        <w:t>(</w:t>
      </w:r>
      <w:r w:rsidRPr="00923415">
        <w:rPr>
          <w:rStyle w:val="FootnoteReference"/>
          <w:sz w:val="18"/>
          <w:szCs w:val="18"/>
        </w:rPr>
        <w:footnoteRef/>
      </w:r>
      <w:r>
        <w:rPr>
          <w:sz w:val="18"/>
          <w:szCs w:val="18"/>
          <w:lang w:val="fr-BE"/>
        </w:rPr>
        <w:t>)</w:t>
      </w:r>
      <w:r w:rsidRPr="00761AA3">
        <w:rPr>
          <w:sz w:val="18"/>
          <w:szCs w:val="18"/>
          <w:lang w:val="fr-BE"/>
        </w:rPr>
        <w:t xml:space="preserve"> </w:t>
      </w:r>
      <w:r>
        <w:rPr>
          <w:sz w:val="18"/>
          <w:szCs w:val="18"/>
          <w:lang w:val="fr-BE"/>
        </w:rPr>
        <w:t xml:space="preserve"> </w:t>
      </w:r>
      <w:r w:rsidRPr="00761AA3">
        <w:rPr>
          <w:sz w:val="18"/>
          <w:szCs w:val="18"/>
          <w:lang w:val="fr-BE"/>
        </w:rPr>
        <w:t xml:space="preserve">DECISION Études &amp; Conseil. </w:t>
      </w:r>
      <w:r w:rsidRPr="00F5084F">
        <w:rPr>
          <w:sz w:val="18"/>
          <w:szCs w:val="18"/>
        </w:rPr>
        <w:t xml:space="preserve">(2024). </w:t>
      </w:r>
      <w:r w:rsidRPr="00F5084F">
        <w:rPr>
          <w:rStyle w:val="Emphasis"/>
          <w:sz w:val="18"/>
          <w:szCs w:val="18"/>
        </w:rPr>
        <w:t>Economic analysis of the EU and global chips ecosystem</w:t>
      </w:r>
    </w:p>
  </w:footnote>
  <w:footnote w:id="68">
    <w:p w14:paraId="3E359583" w14:textId="7B08F49E"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F5084F">
        <w:rPr>
          <w:sz w:val="18"/>
          <w:szCs w:val="18"/>
        </w:rPr>
        <w:t xml:space="preserve">  DECISION Études &amp; Conseil. (2024). </w:t>
      </w:r>
      <w:r w:rsidRPr="00F5084F">
        <w:rPr>
          <w:rStyle w:val="Emphasis"/>
          <w:sz w:val="18"/>
          <w:szCs w:val="18"/>
        </w:rPr>
        <w:t>Economic analysis of the EU and global chips ecosystem</w:t>
      </w:r>
    </w:p>
  </w:footnote>
  <w:footnote w:id="69">
    <w:p w14:paraId="28B59011" w14:textId="44BBBAC2"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F5084F">
        <w:rPr>
          <w:sz w:val="18"/>
          <w:szCs w:val="18"/>
        </w:rPr>
        <w:t xml:space="preserve"> IDC (2025). Semiconductors D3: Second interim study report (Version 3.0). Prepared for the European Commission.</w:t>
      </w:r>
    </w:p>
  </w:footnote>
  <w:footnote w:id="70">
    <w:p w14:paraId="5864AEF8" w14:textId="219D41CB"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F5084F">
        <w:rPr>
          <w:sz w:val="18"/>
          <w:szCs w:val="18"/>
        </w:rPr>
        <w:t xml:space="preserve"> </w:t>
      </w:r>
      <w:r>
        <w:rPr>
          <w:sz w:val="18"/>
          <w:szCs w:val="18"/>
        </w:rPr>
        <w:t xml:space="preserve"> </w:t>
      </w:r>
      <w:r w:rsidRPr="00F5084F">
        <w:rPr>
          <w:sz w:val="18"/>
          <w:szCs w:val="18"/>
        </w:rPr>
        <w:t>IDC. (2025). Semiconductors D3: Second interim study report (Version 3.0)</w:t>
      </w:r>
    </w:p>
  </w:footnote>
  <w:footnote w:id="71">
    <w:p w14:paraId="29995549" w14:textId="62FA289F" w:rsidR="00EC49AF" w:rsidRPr="00202285" w:rsidRDefault="00EC49AF" w:rsidP="00EC49AF">
      <w:pPr>
        <w:pStyle w:val="FootnoteText"/>
        <w:rPr>
          <w:sz w:val="18"/>
          <w:szCs w:val="18"/>
        </w:rPr>
      </w:pPr>
      <w:r>
        <w:rPr>
          <w:sz w:val="18"/>
          <w:szCs w:val="18"/>
        </w:rPr>
        <w:t>(</w:t>
      </w:r>
      <w:r w:rsidRPr="00202285">
        <w:rPr>
          <w:rStyle w:val="FootnoteReference"/>
          <w:sz w:val="18"/>
          <w:szCs w:val="18"/>
        </w:rPr>
        <w:footnoteRef/>
      </w:r>
      <w:r>
        <w:rPr>
          <w:sz w:val="18"/>
          <w:szCs w:val="18"/>
        </w:rPr>
        <w:t>)</w:t>
      </w:r>
      <w:r w:rsidRPr="00202285">
        <w:rPr>
          <w:sz w:val="18"/>
          <w:szCs w:val="18"/>
        </w:rPr>
        <w:t xml:space="preserve"> DECISION Études &amp; Conseil. (2024). </w:t>
      </w:r>
      <w:r w:rsidRPr="00202285">
        <w:rPr>
          <w:rStyle w:val="Emphasis"/>
          <w:sz w:val="18"/>
          <w:szCs w:val="18"/>
        </w:rPr>
        <w:t>Economic analysis of the EU and global chips ecosystem.</w:t>
      </w:r>
      <w:r w:rsidRPr="00202285">
        <w:rPr>
          <w:sz w:val="18"/>
          <w:szCs w:val="18"/>
        </w:rPr>
        <w:t xml:space="preserve"> Study for the European Commission, Directorate-General for Communications Networks, Content and Technology (DG CNECT).</w:t>
      </w:r>
    </w:p>
  </w:footnote>
  <w:footnote w:id="72">
    <w:p w14:paraId="7A69884A" w14:textId="2B701FA3" w:rsidR="00EC49AF" w:rsidRPr="00202285" w:rsidRDefault="00EC49AF" w:rsidP="00EC49AF">
      <w:pPr>
        <w:pStyle w:val="FootnoteText"/>
        <w:rPr>
          <w:sz w:val="18"/>
          <w:szCs w:val="18"/>
        </w:rPr>
      </w:pPr>
      <w:r>
        <w:rPr>
          <w:sz w:val="18"/>
          <w:szCs w:val="18"/>
          <w:lang w:val="sv-SE"/>
        </w:rPr>
        <w:t>(</w:t>
      </w:r>
      <w:r w:rsidRPr="00202285">
        <w:rPr>
          <w:rStyle w:val="FootnoteReference"/>
          <w:sz w:val="18"/>
          <w:szCs w:val="18"/>
        </w:rPr>
        <w:footnoteRef/>
      </w:r>
      <w:r>
        <w:rPr>
          <w:sz w:val="18"/>
          <w:szCs w:val="18"/>
          <w:lang w:val="sv-SE"/>
        </w:rPr>
        <w:t>)</w:t>
      </w:r>
      <w:r w:rsidRPr="00202285">
        <w:rPr>
          <w:sz w:val="18"/>
          <w:szCs w:val="18"/>
          <w:lang w:val="sv-SE"/>
        </w:rPr>
        <w:t xml:space="preserve"> Bonnet, P., Ciani, A., Molnar, J., &amp; Nardo, M. (2025). </w:t>
      </w:r>
      <w:r w:rsidRPr="00202285">
        <w:rPr>
          <w:rStyle w:val="Emphasis"/>
          <w:sz w:val="18"/>
          <w:szCs w:val="18"/>
        </w:rPr>
        <w:t>EU’s strengths and weaknesses in the global semiconductor sector</w:t>
      </w:r>
      <w:r w:rsidRPr="00202285">
        <w:rPr>
          <w:sz w:val="18"/>
          <w:szCs w:val="18"/>
        </w:rPr>
        <w:t xml:space="preserve"> (JRC141323, EUR 40253). Luxembourg: Publications Office of the European Union. </w:t>
      </w:r>
      <w:hyperlink r:id="rId25" w:history="1">
        <w:r w:rsidRPr="00202285">
          <w:rPr>
            <w:rStyle w:val="Hyperlink"/>
            <w:sz w:val="18"/>
            <w:szCs w:val="18"/>
          </w:rPr>
          <w:t>https://doi.org/10.2760/6302476</w:t>
        </w:r>
      </w:hyperlink>
      <w:r w:rsidRPr="00202285">
        <w:rPr>
          <w:sz w:val="18"/>
          <w:szCs w:val="18"/>
        </w:rPr>
        <w:t xml:space="preserve"> </w:t>
      </w:r>
    </w:p>
  </w:footnote>
  <w:footnote w:id="73">
    <w:p w14:paraId="3D9E769E" w14:textId="02AA714A" w:rsidR="00EC49AF" w:rsidRPr="00202285" w:rsidRDefault="00EC49AF" w:rsidP="00EC49AF">
      <w:pPr>
        <w:pStyle w:val="FootnoteText"/>
        <w:rPr>
          <w:sz w:val="18"/>
          <w:szCs w:val="18"/>
        </w:rPr>
      </w:pPr>
      <w:r>
        <w:rPr>
          <w:sz w:val="18"/>
          <w:szCs w:val="18"/>
        </w:rPr>
        <w:t>(</w:t>
      </w:r>
      <w:r w:rsidRPr="00202285">
        <w:rPr>
          <w:rStyle w:val="FootnoteReference"/>
          <w:sz w:val="18"/>
          <w:szCs w:val="18"/>
        </w:rPr>
        <w:footnoteRef/>
      </w:r>
      <w:r>
        <w:rPr>
          <w:sz w:val="18"/>
          <w:szCs w:val="18"/>
        </w:rPr>
        <w:t>)</w:t>
      </w:r>
      <w:r w:rsidRPr="00202285">
        <w:rPr>
          <w:sz w:val="18"/>
          <w:szCs w:val="18"/>
        </w:rPr>
        <w:t xml:space="preserve"> European Court of Auditors. (2025). </w:t>
      </w:r>
      <w:r w:rsidRPr="00202285">
        <w:rPr>
          <w:rStyle w:val="Emphasis"/>
          <w:sz w:val="18"/>
          <w:szCs w:val="18"/>
        </w:rPr>
        <w:t>The EU’s strategy for microchips: Reasonable progress in its implementation, but the Chips Act is very unlikely to be sufficient to reach the overly ambitious Digital Decade target</w:t>
      </w:r>
      <w:r w:rsidRPr="00202285">
        <w:rPr>
          <w:sz w:val="18"/>
          <w:szCs w:val="18"/>
        </w:rPr>
        <w:t xml:space="preserve"> (Special Report No. 12/2025). Publications Office of the European Union. </w:t>
      </w:r>
      <w:hyperlink r:id="rId26" w:history="1">
        <w:r w:rsidRPr="00202285">
          <w:rPr>
            <w:rStyle w:val="Hyperlink"/>
            <w:sz w:val="18"/>
            <w:szCs w:val="18"/>
          </w:rPr>
          <w:t>https://www.eca.europa.eu/en/publications/SR-2025-12</w:t>
        </w:r>
      </w:hyperlink>
      <w:r w:rsidRPr="00202285">
        <w:rPr>
          <w:sz w:val="18"/>
          <w:szCs w:val="18"/>
        </w:rPr>
        <w:t xml:space="preserve"> </w:t>
      </w:r>
    </w:p>
  </w:footnote>
  <w:footnote w:id="74">
    <w:p w14:paraId="03396F6F" w14:textId="25205F99" w:rsidR="00EC49AF" w:rsidRPr="00202285" w:rsidRDefault="00EC49AF" w:rsidP="00EC49AF">
      <w:pPr>
        <w:pStyle w:val="FootnoteText"/>
        <w:rPr>
          <w:sz w:val="18"/>
          <w:szCs w:val="18"/>
        </w:rPr>
      </w:pPr>
      <w:r>
        <w:rPr>
          <w:sz w:val="18"/>
          <w:szCs w:val="18"/>
        </w:rPr>
        <w:t>(</w:t>
      </w:r>
      <w:r w:rsidRPr="00202285">
        <w:rPr>
          <w:rStyle w:val="FootnoteReference"/>
          <w:sz w:val="18"/>
          <w:szCs w:val="18"/>
        </w:rPr>
        <w:footnoteRef/>
      </w:r>
      <w:r>
        <w:rPr>
          <w:sz w:val="18"/>
          <w:szCs w:val="18"/>
        </w:rPr>
        <w:t>)</w:t>
      </w:r>
      <w:r w:rsidRPr="00202285">
        <w:rPr>
          <w:sz w:val="18"/>
          <w:szCs w:val="18"/>
        </w:rPr>
        <w:t xml:space="preserve"> Cerutti, I., &amp; Nardo, M. (2023). </w:t>
      </w:r>
      <w:r w:rsidRPr="00202285">
        <w:rPr>
          <w:rStyle w:val="Emphasis"/>
          <w:sz w:val="18"/>
          <w:szCs w:val="18"/>
        </w:rPr>
        <w:t>Semiconductors in the EU: State of play, future trends and vulnerabilities of the semiconductor supply chain</w:t>
      </w:r>
      <w:r w:rsidRPr="00202285">
        <w:rPr>
          <w:sz w:val="18"/>
          <w:szCs w:val="18"/>
        </w:rPr>
        <w:t xml:space="preserve"> (JRC133850, EUR 31625 EN). Luxembourg: Publications Office of the European Union. </w:t>
      </w:r>
      <w:hyperlink r:id="rId27" w:history="1">
        <w:r w:rsidRPr="00202285">
          <w:rPr>
            <w:rStyle w:val="Hyperlink"/>
            <w:sz w:val="18"/>
            <w:szCs w:val="18"/>
          </w:rPr>
          <w:t>https://doi.org/10.2760/038299</w:t>
        </w:r>
      </w:hyperlink>
    </w:p>
  </w:footnote>
  <w:footnote w:id="75">
    <w:p w14:paraId="4D74953E" w14:textId="28F1CDE8" w:rsidR="00EC49AF" w:rsidRPr="00202285" w:rsidRDefault="00EC49AF" w:rsidP="00EC49AF">
      <w:pPr>
        <w:pStyle w:val="FootnoteText"/>
        <w:rPr>
          <w:sz w:val="18"/>
          <w:szCs w:val="18"/>
        </w:rPr>
      </w:pPr>
      <w:r>
        <w:rPr>
          <w:sz w:val="18"/>
          <w:szCs w:val="18"/>
          <w:lang w:val="it-IT"/>
        </w:rPr>
        <w:t>(</w:t>
      </w:r>
      <w:r w:rsidRPr="00202285">
        <w:rPr>
          <w:rStyle w:val="FootnoteReference"/>
          <w:sz w:val="18"/>
          <w:szCs w:val="18"/>
        </w:rPr>
        <w:footnoteRef/>
      </w:r>
      <w:r>
        <w:rPr>
          <w:sz w:val="18"/>
          <w:szCs w:val="18"/>
          <w:lang w:val="it-IT"/>
        </w:rPr>
        <w:t>)</w:t>
      </w:r>
      <w:r w:rsidRPr="00202285">
        <w:rPr>
          <w:sz w:val="18"/>
          <w:szCs w:val="18"/>
          <w:lang w:val="it-IT"/>
        </w:rPr>
        <w:t xml:space="preserve">  Cerutti, I., &amp; Nardo, M. (2023). </w:t>
      </w:r>
      <w:r w:rsidRPr="00202285">
        <w:rPr>
          <w:rStyle w:val="Emphasis"/>
          <w:sz w:val="18"/>
          <w:szCs w:val="18"/>
        </w:rPr>
        <w:t>Semiconductors in the EU: State of play, future trends and vulnerabilities of the semiconductor supply chain</w:t>
      </w:r>
    </w:p>
  </w:footnote>
  <w:footnote w:id="76">
    <w:p w14:paraId="0C8E53E8" w14:textId="5F7509DB" w:rsidR="00EC49AF" w:rsidRPr="00F5084F" w:rsidRDefault="00EC49AF" w:rsidP="00EC49AF">
      <w:pPr>
        <w:pStyle w:val="FootnoteText"/>
        <w:rPr>
          <w:sz w:val="18"/>
          <w:szCs w:val="18"/>
        </w:rPr>
      </w:pPr>
      <w:r>
        <w:rPr>
          <w:sz w:val="18"/>
          <w:szCs w:val="18"/>
        </w:rPr>
        <w:t>(</w:t>
      </w:r>
      <w:r w:rsidRPr="00202285">
        <w:rPr>
          <w:rStyle w:val="FootnoteReference"/>
          <w:sz w:val="18"/>
          <w:szCs w:val="18"/>
        </w:rPr>
        <w:footnoteRef/>
      </w:r>
      <w:r>
        <w:rPr>
          <w:sz w:val="18"/>
          <w:szCs w:val="18"/>
        </w:rPr>
        <w:t>)</w:t>
      </w:r>
      <w:r w:rsidRPr="00202285">
        <w:rPr>
          <w:sz w:val="18"/>
          <w:szCs w:val="18"/>
        </w:rPr>
        <w:t xml:space="preserve">  DECISION Études &amp; Conseil. (2024). </w:t>
      </w:r>
      <w:r w:rsidRPr="00202285">
        <w:rPr>
          <w:rStyle w:val="Emphasis"/>
          <w:sz w:val="18"/>
          <w:szCs w:val="18"/>
        </w:rPr>
        <w:t>Economic analysis of the EU and global chips ecosystem.</w:t>
      </w:r>
    </w:p>
  </w:footnote>
  <w:footnote w:id="77">
    <w:p w14:paraId="4B35905F" w14:textId="280808D3" w:rsidR="00EC49AF" w:rsidRPr="00EE6CA5" w:rsidRDefault="00EC49AF" w:rsidP="00EC49AF">
      <w:pPr>
        <w:pStyle w:val="FootnoteText"/>
        <w:rPr>
          <w:sz w:val="18"/>
          <w:szCs w:val="18"/>
        </w:rPr>
      </w:pPr>
      <w:r w:rsidRPr="00EE6CA5">
        <w:rPr>
          <w:sz w:val="18"/>
          <w:szCs w:val="18"/>
          <w:lang w:val="it-IT"/>
        </w:rPr>
        <w:t>(</w:t>
      </w:r>
      <w:r w:rsidRPr="00EE6CA5">
        <w:rPr>
          <w:rStyle w:val="FootnoteReference"/>
          <w:sz w:val="18"/>
          <w:szCs w:val="18"/>
        </w:rPr>
        <w:footnoteRef/>
      </w:r>
      <w:r w:rsidRPr="00EE6CA5">
        <w:rPr>
          <w:sz w:val="18"/>
          <w:szCs w:val="18"/>
          <w:lang w:val="it-IT"/>
        </w:rPr>
        <w:t xml:space="preserve">)  Cerutti, I., &amp; Nardo, M. (2023). </w:t>
      </w:r>
      <w:r w:rsidRPr="00EE6CA5">
        <w:rPr>
          <w:rStyle w:val="Emphasis"/>
          <w:sz w:val="18"/>
          <w:szCs w:val="18"/>
        </w:rPr>
        <w:t>Semiconductors in the EU: State of play, future trends and vulnerabilities of the semiconductor supply chain</w:t>
      </w:r>
    </w:p>
  </w:footnote>
  <w:footnote w:id="78">
    <w:p w14:paraId="60F062FA" w14:textId="57476091" w:rsidR="00EC49AF" w:rsidRPr="00EE6CA5" w:rsidRDefault="00EC49AF" w:rsidP="00EC49AF">
      <w:pPr>
        <w:pStyle w:val="FootnoteText"/>
        <w:rPr>
          <w:sz w:val="18"/>
          <w:szCs w:val="18"/>
        </w:rPr>
      </w:pPr>
      <w:r w:rsidRPr="00EE6CA5">
        <w:rPr>
          <w:sz w:val="18"/>
          <w:szCs w:val="18"/>
          <w:lang w:val="it-IT"/>
        </w:rPr>
        <w:t>(</w:t>
      </w:r>
      <w:r w:rsidRPr="00EE6CA5">
        <w:rPr>
          <w:rStyle w:val="FootnoteReference"/>
          <w:sz w:val="18"/>
          <w:szCs w:val="18"/>
        </w:rPr>
        <w:footnoteRef/>
      </w:r>
      <w:r w:rsidRPr="00EE6CA5">
        <w:rPr>
          <w:sz w:val="18"/>
          <w:szCs w:val="18"/>
          <w:lang w:val="it-IT"/>
        </w:rPr>
        <w:t xml:space="preserve">)  Cerutti, I., &amp; Nardo, M. (2023). </w:t>
      </w:r>
      <w:r w:rsidRPr="00EE6CA5">
        <w:rPr>
          <w:rStyle w:val="Emphasis"/>
          <w:sz w:val="18"/>
          <w:szCs w:val="18"/>
        </w:rPr>
        <w:t>Semiconductors in the EU: State of play, future trends and vulnerabilities of the semiconductor supply chain</w:t>
      </w:r>
    </w:p>
  </w:footnote>
  <w:footnote w:id="79">
    <w:p w14:paraId="01120231" w14:textId="68507350" w:rsidR="00EC49AF" w:rsidRPr="00EE6CA5" w:rsidRDefault="00EC49AF" w:rsidP="00EC49AF">
      <w:pPr>
        <w:pStyle w:val="FootnoteText"/>
        <w:rPr>
          <w:sz w:val="18"/>
          <w:szCs w:val="18"/>
        </w:rPr>
      </w:pPr>
      <w:r w:rsidRPr="00EE6CA5">
        <w:rPr>
          <w:sz w:val="18"/>
          <w:szCs w:val="18"/>
          <w:lang w:val="it-IT"/>
        </w:rPr>
        <w:t>(</w:t>
      </w:r>
      <w:r w:rsidRPr="00EE6CA5">
        <w:rPr>
          <w:rStyle w:val="FootnoteReference"/>
          <w:sz w:val="18"/>
          <w:szCs w:val="18"/>
        </w:rPr>
        <w:footnoteRef/>
      </w:r>
      <w:r w:rsidRPr="00EE6CA5">
        <w:rPr>
          <w:sz w:val="18"/>
          <w:szCs w:val="18"/>
          <w:lang w:val="it-IT"/>
        </w:rPr>
        <w:t xml:space="preserve">)  Cerutti, I., &amp; Nardo, M. (2023). </w:t>
      </w:r>
      <w:r w:rsidRPr="00EE6CA5">
        <w:rPr>
          <w:rStyle w:val="Emphasis"/>
          <w:sz w:val="18"/>
          <w:szCs w:val="18"/>
        </w:rPr>
        <w:t>Semiconductors in the EU: State of play, future trends and vulnerabilities of the semiconductor supply chain</w:t>
      </w:r>
    </w:p>
  </w:footnote>
  <w:footnote w:id="80">
    <w:p w14:paraId="2AEABE76" w14:textId="7164BFB1" w:rsidR="00EC49AF" w:rsidRPr="00457CAA" w:rsidRDefault="00EC49AF" w:rsidP="00EC49AF">
      <w:pPr>
        <w:pStyle w:val="FootnoteText"/>
        <w:rPr>
          <w:sz w:val="18"/>
          <w:szCs w:val="18"/>
        </w:rPr>
      </w:pPr>
      <w:r w:rsidRPr="00457CAA">
        <w:rPr>
          <w:sz w:val="18"/>
          <w:szCs w:val="18"/>
        </w:rPr>
        <w:t>(</w:t>
      </w:r>
      <w:r w:rsidRPr="00457CAA">
        <w:rPr>
          <w:rStyle w:val="FootnoteReference"/>
          <w:sz w:val="18"/>
          <w:szCs w:val="18"/>
        </w:rPr>
        <w:footnoteRef/>
      </w:r>
      <w:r w:rsidRPr="00457CAA">
        <w:rPr>
          <w:sz w:val="18"/>
          <w:szCs w:val="18"/>
        </w:rPr>
        <w:t xml:space="preserve">)  DECISION Études &amp; Conseil. (2024). </w:t>
      </w:r>
      <w:r w:rsidRPr="00457CAA">
        <w:rPr>
          <w:rStyle w:val="Emphasis"/>
          <w:sz w:val="18"/>
          <w:szCs w:val="18"/>
        </w:rPr>
        <w:t>Economic analysis of the EU and global chips ecosystem</w:t>
      </w:r>
    </w:p>
  </w:footnote>
  <w:footnote w:id="81">
    <w:p w14:paraId="0A99723D" w14:textId="411ADE44" w:rsidR="00EC49AF" w:rsidRPr="00457CAA" w:rsidRDefault="00EC49AF" w:rsidP="00EC49AF">
      <w:pPr>
        <w:pStyle w:val="FootnoteText"/>
        <w:rPr>
          <w:sz w:val="18"/>
          <w:szCs w:val="18"/>
          <w:lang w:val="en-IE"/>
        </w:rPr>
      </w:pPr>
      <w:r w:rsidRPr="00457CAA">
        <w:rPr>
          <w:sz w:val="18"/>
          <w:szCs w:val="18"/>
        </w:rPr>
        <w:t>(</w:t>
      </w:r>
      <w:r w:rsidRPr="00457CAA">
        <w:rPr>
          <w:rStyle w:val="FootnoteReference"/>
          <w:sz w:val="18"/>
          <w:szCs w:val="18"/>
        </w:rPr>
        <w:footnoteRef/>
      </w:r>
      <w:r w:rsidRPr="00457CAA">
        <w:rPr>
          <w:sz w:val="18"/>
          <w:szCs w:val="18"/>
        </w:rPr>
        <w:t xml:space="preserve">) DECISION Études &amp; Conseil. (2024). </w:t>
      </w:r>
      <w:r w:rsidRPr="00457CAA">
        <w:rPr>
          <w:rStyle w:val="Emphasis"/>
          <w:sz w:val="18"/>
          <w:szCs w:val="18"/>
        </w:rPr>
        <w:t>Economic analysis of the EU and global chips ecosystem</w:t>
      </w:r>
    </w:p>
  </w:footnote>
  <w:footnote w:id="82">
    <w:p w14:paraId="3BC04412" w14:textId="3ECD9F02" w:rsidR="00EC49AF" w:rsidRPr="00457CAA" w:rsidRDefault="00EC49AF" w:rsidP="00EC49AF">
      <w:pPr>
        <w:pStyle w:val="FootnoteText"/>
        <w:rPr>
          <w:sz w:val="18"/>
          <w:szCs w:val="18"/>
          <w:lang w:val="en-IE"/>
        </w:rPr>
      </w:pPr>
      <w:r w:rsidRPr="00457CAA">
        <w:rPr>
          <w:sz w:val="18"/>
          <w:szCs w:val="18"/>
        </w:rPr>
        <w:t>(</w:t>
      </w:r>
      <w:r w:rsidRPr="00457CAA">
        <w:rPr>
          <w:rStyle w:val="FootnoteReference"/>
          <w:sz w:val="18"/>
          <w:szCs w:val="18"/>
        </w:rPr>
        <w:footnoteRef/>
      </w:r>
      <w:r w:rsidRPr="00457CAA">
        <w:rPr>
          <w:sz w:val="18"/>
          <w:szCs w:val="18"/>
        </w:rPr>
        <w:t xml:space="preserve">) DECISION Études &amp; Conseil. (2024). </w:t>
      </w:r>
      <w:r w:rsidRPr="00457CAA">
        <w:rPr>
          <w:rStyle w:val="Emphasis"/>
          <w:sz w:val="18"/>
          <w:szCs w:val="18"/>
        </w:rPr>
        <w:t>Economic analysis of the EU and global chips ecosystem</w:t>
      </w:r>
    </w:p>
  </w:footnote>
  <w:footnote w:id="83">
    <w:p w14:paraId="5A0047AF" w14:textId="7159F46D" w:rsidR="00EC49AF" w:rsidRPr="0010606D" w:rsidRDefault="00EC49AF" w:rsidP="00EC49AF">
      <w:pPr>
        <w:pStyle w:val="FootnoteText"/>
        <w:rPr>
          <w:lang w:val="en-IE"/>
        </w:rPr>
      </w:pPr>
      <w:r w:rsidRPr="00457CAA">
        <w:rPr>
          <w:sz w:val="18"/>
          <w:szCs w:val="18"/>
          <w:lang w:val="pl-PL"/>
        </w:rPr>
        <w:t>(</w:t>
      </w:r>
      <w:r w:rsidRPr="00457CAA">
        <w:rPr>
          <w:rStyle w:val="FootnoteReference"/>
          <w:sz w:val="18"/>
          <w:szCs w:val="18"/>
        </w:rPr>
        <w:footnoteRef/>
      </w:r>
      <w:r w:rsidRPr="00457CAA">
        <w:rPr>
          <w:sz w:val="18"/>
          <w:szCs w:val="18"/>
          <w:lang w:val="pl-PL"/>
        </w:rPr>
        <w:t xml:space="preserve">) </w:t>
      </w:r>
      <w:r w:rsidRPr="00457CAA">
        <w:rPr>
          <w:sz w:val="18"/>
          <w:szCs w:val="18"/>
          <w:lang w:val="sv-SE"/>
        </w:rPr>
        <w:t xml:space="preserve"> Bonnet, P., Ciani, A., Molnar, J., &amp; Nardo, M. (2025). </w:t>
      </w:r>
      <w:r w:rsidRPr="00457CAA">
        <w:rPr>
          <w:rStyle w:val="Emphasis"/>
          <w:sz w:val="18"/>
          <w:szCs w:val="18"/>
        </w:rPr>
        <w:t>EU’s strengths and weaknesses in the global semiconductor sector</w:t>
      </w:r>
      <w:r w:rsidRPr="00457CAA">
        <w:rPr>
          <w:sz w:val="18"/>
          <w:szCs w:val="18"/>
        </w:rPr>
        <w:t xml:space="preserve"> (JRC141323, EUR 40253)</w:t>
      </w:r>
    </w:p>
  </w:footnote>
  <w:footnote w:id="84">
    <w:p w14:paraId="36CFC5DE" w14:textId="2302FE99" w:rsidR="00EC49AF" w:rsidRPr="002E7D05" w:rsidRDefault="00EC49AF" w:rsidP="00EC49AF">
      <w:pPr>
        <w:pStyle w:val="FootnoteText"/>
        <w:rPr>
          <w:sz w:val="18"/>
          <w:szCs w:val="18"/>
        </w:rPr>
      </w:pPr>
      <w:r>
        <w:rPr>
          <w:sz w:val="18"/>
          <w:szCs w:val="18"/>
        </w:rPr>
        <w:t>(</w:t>
      </w:r>
      <w:r w:rsidRPr="002E7D05">
        <w:rPr>
          <w:rStyle w:val="FootnoteReference"/>
          <w:sz w:val="18"/>
          <w:szCs w:val="18"/>
        </w:rPr>
        <w:footnoteRef/>
      </w:r>
      <w:r>
        <w:rPr>
          <w:sz w:val="18"/>
          <w:szCs w:val="18"/>
        </w:rPr>
        <w:t>)</w:t>
      </w:r>
      <w:r w:rsidRPr="002E7D05">
        <w:rPr>
          <w:sz w:val="18"/>
          <w:szCs w:val="18"/>
        </w:rPr>
        <w:t xml:space="preserve">  DECISION Études &amp; Conseil. (2024). </w:t>
      </w:r>
      <w:r w:rsidRPr="002E7D05">
        <w:rPr>
          <w:rStyle w:val="Emphasis"/>
          <w:sz w:val="18"/>
          <w:szCs w:val="18"/>
        </w:rPr>
        <w:t>Economic analysis of the EU and global chips ecosystem</w:t>
      </w:r>
    </w:p>
  </w:footnote>
  <w:footnote w:id="85">
    <w:p w14:paraId="5BE69689" w14:textId="44EDF6F1" w:rsidR="00EC49AF" w:rsidRPr="002E7D05" w:rsidRDefault="00EC49AF" w:rsidP="00EC49AF">
      <w:pPr>
        <w:pStyle w:val="FootnoteText"/>
        <w:rPr>
          <w:sz w:val="18"/>
          <w:szCs w:val="18"/>
        </w:rPr>
      </w:pPr>
      <w:r>
        <w:rPr>
          <w:sz w:val="18"/>
          <w:szCs w:val="18"/>
        </w:rPr>
        <w:t>(</w:t>
      </w:r>
      <w:r w:rsidRPr="002E7D05">
        <w:rPr>
          <w:rStyle w:val="FootnoteReference"/>
          <w:sz w:val="18"/>
          <w:szCs w:val="18"/>
        </w:rPr>
        <w:footnoteRef/>
      </w:r>
      <w:r>
        <w:rPr>
          <w:sz w:val="18"/>
          <w:szCs w:val="18"/>
        </w:rPr>
        <w:t>)</w:t>
      </w:r>
      <w:r w:rsidRPr="002E7D05">
        <w:rPr>
          <w:sz w:val="18"/>
          <w:szCs w:val="18"/>
        </w:rPr>
        <w:t xml:space="preserve">  DECISION Études &amp; Conseil. (2024). </w:t>
      </w:r>
      <w:r w:rsidRPr="002E7D05">
        <w:rPr>
          <w:rStyle w:val="Emphasis"/>
          <w:sz w:val="18"/>
          <w:szCs w:val="18"/>
        </w:rPr>
        <w:t>Economic analysis of the EU and global chips ecosystem</w:t>
      </w:r>
    </w:p>
  </w:footnote>
  <w:footnote w:id="86">
    <w:p w14:paraId="3829EB26" w14:textId="782760B3" w:rsidR="00EC49AF" w:rsidRPr="002E7D05" w:rsidRDefault="00EC49AF" w:rsidP="00EC49AF">
      <w:pPr>
        <w:pStyle w:val="FootnoteText"/>
        <w:rPr>
          <w:sz w:val="18"/>
          <w:szCs w:val="18"/>
        </w:rPr>
      </w:pPr>
      <w:r w:rsidRPr="007F292A">
        <w:rPr>
          <w:sz w:val="18"/>
          <w:szCs w:val="18"/>
        </w:rPr>
        <w:t>(</w:t>
      </w:r>
      <w:r w:rsidRPr="002E7D05">
        <w:rPr>
          <w:rStyle w:val="FootnoteReference"/>
          <w:sz w:val="18"/>
          <w:szCs w:val="18"/>
        </w:rPr>
        <w:footnoteRef/>
      </w:r>
      <w:r w:rsidRPr="007F292A">
        <w:rPr>
          <w:sz w:val="18"/>
          <w:szCs w:val="18"/>
        </w:rPr>
        <w:t xml:space="preserve">)  Cerutti, Isabella &amp; Nardo, Michela (2023). </w:t>
      </w:r>
      <w:r w:rsidRPr="002E7D05">
        <w:rPr>
          <w:rStyle w:val="Emphasis"/>
          <w:sz w:val="18"/>
          <w:szCs w:val="18"/>
        </w:rPr>
        <w:t>Semiconductors in the EU: State of play, future trends and vulnerabilities of the semiconductor supply chain</w:t>
      </w:r>
      <w:r w:rsidRPr="002E7D05">
        <w:rPr>
          <w:sz w:val="18"/>
          <w:szCs w:val="18"/>
        </w:rPr>
        <w:t>. JRC Technical Report, JRC133850.</w:t>
      </w:r>
    </w:p>
  </w:footnote>
  <w:footnote w:id="87">
    <w:p w14:paraId="3B2EE16E" w14:textId="19B5BB79" w:rsidR="00EC49AF" w:rsidRPr="002E7D05" w:rsidRDefault="00EC49AF" w:rsidP="00EC49AF">
      <w:pPr>
        <w:pStyle w:val="FootnoteText"/>
        <w:rPr>
          <w:sz w:val="18"/>
          <w:szCs w:val="18"/>
        </w:rPr>
      </w:pPr>
      <w:r>
        <w:rPr>
          <w:sz w:val="18"/>
          <w:szCs w:val="18"/>
        </w:rPr>
        <w:t>(</w:t>
      </w:r>
      <w:r w:rsidRPr="002E7D05">
        <w:rPr>
          <w:rStyle w:val="FootnoteReference"/>
          <w:sz w:val="18"/>
          <w:szCs w:val="18"/>
        </w:rPr>
        <w:footnoteRef/>
      </w:r>
      <w:r>
        <w:rPr>
          <w:sz w:val="18"/>
          <w:szCs w:val="18"/>
        </w:rPr>
        <w:t>)</w:t>
      </w:r>
      <w:r w:rsidRPr="002E7D05">
        <w:rPr>
          <w:sz w:val="18"/>
          <w:szCs w:val="18"/>
        </w:rPr>
        <w:t xml:space="preserve">  DECISION Études &amp; Conseil. (2024). </w:t>
      </w:r>
      <w:r w:rsidRPr="002E7D05">
        <w:rPr>
          <w:rStyle w:val="Emphasis"/>
          <w:sz w:val="18"/>
          <w:szCs w:val="18"/>
        </w:rPr>
        <w:t>Economic analysis of the EU and global chips ecosystem</w:t>
      </w:r>
    </w:p>
  </w:footnote>
  <w:footnote w:id="88">
    <w:p w14:paraId="108AFD86" w14:textId="6BE5E1F4" w:rsidR="00EC49AF" w:rsidRPr="002E7D05" w:rsidRDefault="00EC49AF" w:rsidP="00EC49AF">
      <w:pPr>
        <w:pStyle w:val="FootnoteText"/>
        <w:rPr>
          <w:sz w:val="18"/>
          <w:szCs w:val="18"/>
        </w:rPr>
      </w:pPr>
      <w:r>
        <w:rPr>
          <w:sz w:val="18"/>
          <w:szCs w:val="18"/>
        </w:rPr>
        <w:t>(</w:t>
      </w:r>
      <w:r w:rsidRPr="002E7D05">
        <w:rPr>
          <w:rStyle w:val="FootnoteReference"/>
          <w:sz w:val="18"/>
          <w:szCs w:val="18"/>
        </w:rPr>
        <w:footnoteRef/>
      </w:r>
      <w:r>
        <w:rPr>
          <w:sz w:val="18"/>
          <w:szCs w:val="18"/>
        </w:rPr>
        <w:t>)</w:t>
      </w:r>
      <w:r w:rsidRPr="002E7D05">
        <w:rPr>
          <w:sz w:val="18"/>
          <w:szCs w:val="18"/>
        </w:rPr>
        <w:t xml:space="preserve">  IDC (2025). Semiconductors D3: Second interim study report (Version 3.0). Prepared for the European Commission.</w:t>
      </w:r>
    </w:p>
  </w:footnote>
  <w:footnote w:id="89">
    <w:p w14:paraId="3F2CB8E0" w14:textId="6D1A350A" w:rsidR="00EC49AF" w:rsidRPr="002E7D05" w:rsidRDefault="00EC49AF" w:rsidP="00EC49AF">
      <w:pPr>
        <w:pStyle w:val="FootnoteText"/>
        <w:rPr>
          <w:sz w:val="18"/>
          <w:szCs w:val="18"/>
        </w:rPr>
      </w:pPr>
      <w:r>
        <w:rPr>
          <w:sz w:val="18"/>
          <w:szCs w:val="18"/>
        </w:rPr>
        <w:t>(</w:t>
      </w:r>
      <w:r w:rsidRPr="002E7D05">
        <w:rPr>
          <w:rStyle w:val="FootnoteReference"/>
          <w:sz w:val="18"/>
          <w:szCs w:val="18"/>
        </w:rPr>
        <w:footnoteRef/>
      </w:r>
      <w:r>
        <w:rPr>
          <w:sz w:val="18"/>
          <w:szCs w:val="18"/>
        </w:rPr>
        <w:t>)</w:t>
      </w:r>
      <w:r w:rsidRPr="002E7D05">
        <w:rPr>
          <w:sz w:val="18"/>
          <w:szCs w:val="18"/>
        </w:rPr>
        <w:t xml:space="preserve">  DECISION Études &amp; Conseil. (2024). </w:t>
      </w:r>
      <w:r w:rsidRPr="002E7D05">
        <w:rPr>
          <w:rStyle w:val="Emphasis"/>
          <w:sz w:val="18"/>
          <w:szCs w:val="18"/>
        </w:rPr>
        <w:t>Economic analysis of the EU and global chips ecosystem.</w:t>
      </w:r>
    </w:p>
  </w:footnote>
  <w:footnote w:id="90">
    <w:p w14:paraId="31BD2FE2" w14:textId="2171B3F3" w:rsidR="00EC49AF" w:rsidRPr="00F5084F" w:rsidRDefault="00EC49AF" w:rsidP="00EC49AF">
      <w:pPr>
        <w:pStyle w:val="FootnoteText"/>
        <w:rPr>
          <w:sz w:val="18"/>
          <w:szCs w:val="18"/>
        </w:rPr>
      </w:pPr>
      <w:r>
        <w:rPr>
          <w:sz w:val="18"/>
          <w:szCs w:val="18"/>
        </w:rPr>
        <w:t>(</w:t>
      </w:r>
      <w:r w:rsidRPr="002E7D05">
        <w:rPr>
          <w:rStyle w:val="FootnoteReference"/>
          <w:sz w:val="18"/>
          <w:szCs w:val="18"/>
        </w:rPr>
        <w:footnoteRef/>
      </w:r>
      <w:r>
        <w:rPr>
          <w:sz w:val="18"/>
          <w:szCs w:val="18"/>
        </w:rPr>
        <w:t>)</w:t>
      </w:r>
      <w:r w:rsidRPr="002E7D05">
        <w:rPr>
          <w:sz w:val="18"/>
          <w:szCs w:val="18"/>
        </w:rPr>
        <w:t xml:space="preserve">  European Court of Auditors. (2025). </w:t>
      </w:r>
      <w:r w:rsidRPr="002E7D05">
        <w:rPr>
          <w:rStyle w:val="Emphasis"/>
          <w:sz w:val="18"/>
          <w:szCs w:val="18"/>
        </w:rPr>
        <w:t>The EU’s strategy for microchips: Reasonable progress in its implementation, but the Chips Act is very unlikely to be sufficient to reach the overly ambitious Digital Decade target</w:t>
      </w:r>
      <w:r w:rsidRPr="002E7D05">
        <w:rPr>
          <w:sz w:val="18"/>
          <w:szCs w:val="18"/>
        </w:rPr>
        <w:t xml:space="preserve"> (Special Report No. 12/2025). Publications Office of the European Union. </w:t>
      </w:r>
      <w:hyperlink r:id="rId28" w:history="1">
        <w:r w:rsidRPr="002E7D05">
          <w:rPr>
            <w:rStyle w:val="Hyperlink"/>
            <w:sz w:val="18"/>
            <w:szCs w:val="18"/>
          </w:rPr>
          <w:t>https://www.eca.europa.eu/en/publications/SR-2025-12</w:t>
        </w:r>
      </w:hyperlink>
    </w:p>
  </w:footnote>
  <w:footnote w:id="91">
    <w:p w14:paraId="41E2C805" w14:textId="221139BC"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F5084F">
        <w:rPr>
          <w:sz w:val="18"/>
          <w:szCs w:val="18"/>
        </w:rPr>
        <w:t xml:space="preserve">  DECISION Études &amp; Conseil. (2024). </w:t>
      </w:r>
      <w:r w:rsidRPr="00F5084F">
        <w:rPr>
          <w:rStyle w:val="Emphasis"/>
          <w:sz w:val="18"/>
          <w:szCs w:val="18"/>
        </w:rPr>
        <w:t>Economic analysis of the EU and global chips ecosystem.</w:t>
      </w:r>
    </w:p>
  </w:footnote>
  <w:footnote w:id="92">
    <w:p w14:paraId="34203644" w14:textId="09E0AD94"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F5084F">
        <w:rPr>
          <w:sz w:val="18"/>
          <w:szCs w:val="18"/>
        </w:rPr>
        <w:t xml:space="preserve">  DECISION Études &amp; Conseil. (2024). </w:t>
      </w:r>
      <w:r w:rsidRPr="00F5084F">
        <w:rPr>
          <w:rStyle w:val="Emphasis"/>
          <w:sz w:val="18"/>
          <w:szCs w:val="18"/>
        </w:rPr>
        <w:t>Economic analysis of the EU and global chips ecosystem.</w:t>
      </w:r>
    </w:p>
  </w:footnote>
  <w:footnote w:id="93">
    <w:p w14:paraId="52CEAF5C" w14:textId="0B6FB6CC"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F5084F">
        <w:rPr>
          <w:sz w:val="18"/>
          <w:szCs w:val="18"/>
        </w:rPr>
        <w:t xml:space="preserve"> </w:t>
      </w:r>
      <w:r>
        <w:rPr>
          <w:sz w:val="18"/>
          <w:szCs w:val="18"/>
        </w:rPr>
        <w:t xml:space="preserve"> </w:t>
      </w:r>
      <w:r w:rsidRPr="00F5084F">
        <w:rPr>
          <w:sz w:val="18"/>
          <w:szCs w:val="18"/>
        </w:rPr>
        <w:t>IDC. (2025). Semiconductors D3: Second interim study report (Version 3.0). Prepared for the European Commission.</w:t>
      </w:r>
    </w:p>
  </w:footnote>
  <w:footnote w:id="94">
    <w:p w14:paraId="5E2A4266" w14:textId="57C47425"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F5084F">
        <w:rPr>
          <w:sz w:val="18"/>
          <w:szCs w:val="18"/>
        </w:rPr>
        <w:t xml:space="preserve"> </w:t>
      </w:r>
      <w:r>
        <w:rPr>
          <w:sz w:val="18"/>
          <w:szCs w:val="18"/>
        </w:rPr>
        <w:t xml:space="preserve"> </w:t>
      </w:r>
      <w:r w:rsidRPr="00F5084F">
        <w:rPr>
          <w:sz w:val="18"/>
          <w:szCs w:val="18"/>
        </w:rPr>
        <w:t>IDC. (2025). Semiconductors D3: Second interim study report (Version 3.0). Prepared for the European Commission.</w:t>
      </w:r>
    </w:p>
  </w:footnote>
  <w:footnote w:id="95">
    <w:p w14:paraId="16422510" w14:textId="26A88696"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F5084F">
        <w:rPr>
          <w:sz w:val="18"/>
          <w:szCs w:val="18"/>
        </w:rPr>
        <w:t xml:space="preserve">  DECISION Études &amp; Conseil. (2024). </w:t>
      </w:r>
      <w:r w:rsidRPr="00F5084F">
        <w:rPr>
          <w:rStyle w:val="Emphasis"/>
          <w:sz w:val="18"/>
          <w:szCs w:val="18"/>
        </w:rPr>
        <w:t>Economic analysis of the EU and global chips ecosystem.</w:t>
      </w:r>
    </w:p>
  </w:footnote>
  <w:footnote w:id="96">
    <w:p w14:paraId="0294A0C5" w14:textId="2A3FE57C"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F5084F">
        <w:rPr>
          <w:sz w:val="18"/>
          <w:szCs w:val="18"/>
        </w:rPr>
        <w:t xml:space="preserve">  DECISION Études &amp; Conseil. (2024). </w:t>
      </w:r>
      <w:r w:rsidRPr="00F5084F">
        <w:rPr>
          <w:rStyle w:val="Emphasis"/>
          <w:sz w:val="18"/>
          <w:szCs w:val="18"/>
        </w:rPr>
        <w:t>Economic analysis of the EU and global chips ecosystem.</w:t>
      </w:r>
    </w:p>
  </w:footnote>
  <w:footnote w:id="97">
    <w:p w14:paraId="1AE863C2" w14:textId="70539A57" w:rsidR="00EC49AF" w:rsidRPr="00F5084F" w:rsidRDefault="00EC49AF" w:rsidP="00EC49AF">
      <w:pPr>
        <w:pStyle w:val="FootnoteText"/>
        <w:rPr>
          <w:sz w:val="18"/>
          <w:szCs w:val="18"/>
        </w:rPr>
      </w:pPr>
      <w:r>
        <w:rPr>
          <w:sz w:val="18"/>
          <w:szCs w:val="18"/>
          <w:lang w:val="it-IT"/>
        </w:rPr>
        <w:t>(</w:t>
      </w:r>
      <w:r w:rsidRPr="00923415">
        <w:rPr>
          <w:rStyle w:val="FootnoteReference"/>
          <w:sz w:val="18"/>
          <w:szCs w:val="18"/>
        </w:rPr>
        <w:footnoteRef/>
      </w:r>
      <w:r>
        <w:rPr>
          <w:sz w:val="18"/>
          <w:szCs w:val="18"/>
          <w:lang w:val="it-IT"/>
        </w:rPr>
        <w:t>)</w:t>
      </w:r>
      <w:r w:rsidRPr="00F5084F">
        <w:rPr>
          <w:sz w:val="18"/>
          <w:szCs w:val="18"/>
          <w:lang w:val="it-IT"/>
        </w:rPr>
        <w:t xml:space="preserve">  Rosati, N., Bonnet, P., Ciani, A., Duch Brown, N., Miguez, S., &amp; Zaurino, E. (2023). </w:t>
      </w:r>
      <w:r w:rsidRPr="00F5084F">
        <w:rPr>
          <w:rStyle w:val="Emphasis"/>
          <w:sz w:val="18"/>
          <w:szCs w:val="18"/>
        </w:rPr>
        <w:t>The EC consultation on the semiconductors’ value chain</w:t>
      </w:r>
      <w:r w:rsidRPr="00F5084F">
        <w:rPr>
          <w:sz w:val="18"/>
          <w:szCs w:val="18"/>
        </w:rPr>
        <w:t xml:space="preserve"> (JRC133892, EUR 31585 EN)</w:t>
      </w:r>
    </w:p>
  </w:footnote>
  <w:footnote w:id="98">
    <w:p w14:paraId="6047DA2D" w14:textId="0E5B3845"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F5084F">
        <w:rPr>
          <w:sz w:val="18"/>
          <w:szCs w:val="18"/>
        </w:rPr>
        <w:t xml:space="preserve"> </w:t>
      </w:r>
      <w:r w:rsidRPr="001F1529">
        <w:rPr>
          <w:rStyle w:val="Strong"/>
          <w:sz w:val="18"/>
          <w:szCs w:val="18"/>
        </w:rPr>
        <w:t>Boston Consulting Group (BCG) &amp; Semiconductor Industry Association (SIA) (2024).</w:t>
      </w:r>
      <w:r w:rsidRPr="00F5084F">
        <w:rPr>
          <w:sz w:val="18"/>
          <w:szCs w:val="18"/>
        </w:rPr>
        <w:t xml:space="preserve"> </w:t>
      </w:r>
      <w:r w:rsidRPr="00F5084F">
        <w:rPr>
          <w:rStyle w:val="Emphasis"/>
          <w:sz w:val="18"/>
          <w:szCs w:val="18"/>
        </w:rPr>
        <w:t>Emerging Resilience in the Semiconductor Supply Chain.</w:t>
      </w:r>
      <w:r w:rsidRPr="00F5084F">
        <w:rPr>
          <w:sz w:val="18"/>
          <w:szCs w:val="18"/>
        </w:rPr>
        <w:t xml:space="preserve"> May 2024.</w:t>
      </w:r>
    </w:p>
  </w:footnote>
  <w:footnote w:id="99">
    <w:p w14:paraId="3F89D2E1" w14:textId="5254E2B5" w:rsidR="00EC49AF" w:rsidRPr="008A5F6A" w:rsidRDefault="00EC49AF" w:rsidP="00EC49AF">
      <w:pPr>
        <w:pStyle w:val="FootnoteText"/>
        <w:rPr>
          <w:sz w:val="18"/>
          <w:szCs w:val="18"/>
          <w:lang w:val="en-IE"/>
        </w:rPr>
      </w:pPr>
      <w:r>
        <w:rPr>
          <w:sz w:val="18"/>
          <w:szCs w:val="18"/>
        </w:rPr>
        <w:t>(</w:t>
      </w:r>
      <w:r w:rsidRPr="00923415">
        <w:rPr>
          <w:rStyle w:val="FootnoteReference"/>
          <w:sz w:val="18"/>
          <w:szCs w:val="18"/>
        </w:rPr>
        <w:footnoteRef/>
      </w:r>
      <w:r>
        <w:rPr>
          <w:sz w:val="18"/>
          <w:szCs w:val="18"/>
        </w:rPr>
        <w:t>)</w:t>
      </w:r>
      <w:r w:rsidRPr="00F5084F">
        <w:rPr>
          <w:sz w:val="18"/>
          <w:szCs w:val="18"/>
        </w:rPr>
        <w:t xml:space="preserve">  Ebrahimi, A. (2024). </w:t>
      </w:r>
      <w:r w:rsidRPr="00F5084F">
        <w:rPr>
          <w:rStyle w:val="Emphasis"/>
          <w:sz w:val="18"/>
          <w:szCs w:val="18"/>
        </w:rPr>
        <w:t>Groundbreaking chip sovereignty: Europe’s strategic push in the semiconductor race.</w:t>
      </w:r>
      <w:r w:rsidRPr="00F5084F">
        <w:rPr>
          <w:sz w:val="18"/>
          <w:szCs w:val="18"/>
        </w:rPr>
        <w:t xml:space="preserve"> </w:t>
      </w:r>
      <w:r w:rsidRPr="008A5F6A">
        <w:rPr>
          <w:sz w:val="18"/>
          <w:szCs w:val="18"/>
          <w:lang w:val="en-IE"/>
        </w:rPr>
        <w:t>Institut français des relations internationales (IFRI). ISBN 979-10-373-0874-0.</w:t>
      </w:r>
    </w:p>
  </w:footnote>
  <w:footnote w:id="100">
    <w:p w14:paraId="256BD61C" w14:textId="1D8A1133" w:rsidR="00EC49AF" w:rsidRPr="00F5084F" w:rsidRDefault="00EC49AF" w:rsidP="00EC49AF">
      <w:pPr>
        <w:pStyle w:val="FootnoteText"/>
        <w:rPr>
          <w:sz w:val="18"/>
          <w:szCs w:val="18"/>
          <w:lang w:val="fr-BE"/>
        </w:rPr>
      </w:pPr>
      <w:r w:rsidRPr="008A5F6A">
        <w:rPr>
          <w:sz w:val="18"/>
          <w:szCs w:val="18"/>
          <w:lang w:val="en-IE"/>
        </w:rPr>
        <w:t>(</w:t>
      </w:r>
      <w:r w:rsidRPr="00923415">
        <w:rPr>
          <w:rStyle w:val="FootnoteReference"/>
          <w:sz w:val="18"/>
          <w:szCs w:val="18"/>
        </w:rPr>
        <w:footnoteRef/>
      </w:r>
      <w:r w:rsidRPr="008A5F6A">
        <w:rPr>
          <w:sz w:val="18"/>
          <w:szCs w:val="18"/>
          <w:lang w:val="en-IE"/>
        </w:rPr>
        <w:t xml:space="preserve">)  Ebrahimi, A. (2024). </w:t>
      </w:r>
      <w:r w:rsidRPr="00F5084F">
        <w:rPr>
          <w:rStyle w:val="Emphasis"/>
          <w:sz w:val="18"/>
          <w:szCs w:val="18"/>
        </w:rPr>
        <w:t>Groundbreaking chip sovereignty: Europe’s strategic push in the semiconductor race.</w:t>
      </w:r>
      <w:r w:rsidRPr="00F5084F">
        <w:rPr>
          <w:sz w:val="18"/>
          <w:szCs w:val="18"/>
        </w:rPr>
        <w:t xml:space="preserve"> </w:t>
      </w:r>
      <w:r w:rsidRPr="00F5084F">
        <w:rPr>
          <w:sz w:val="18"/>
          <w:szCs w:val="18"/>
          <w:lang w:val="fr-BE"/>
        </w:rPr>
        <w:t>Institut français des relations internationales (IFRI). ISBN 979-10-373-0874-0.</w:t>
      </w:r>
    </w:p>
  </w:footnote>
  <w:footnote w:id="101">
    <w:p w14:paraId="3501B7E1" w14:textId="54C28407" w:rsidR="00EC49AF" w:rsidRPr="00F5084F" w:rsidRDefault="00EC49AF" w:rsidP="00EC49AF">
      <w:pPr>
        <w:pStyle w:val="FootnoteText"/>
        <w:rPr>
          <w:sz w:val="18"/>
          <w:szCs w:val="18"/>
        </w:rPr>
      </w:pPr>
      <w:r>
        <w:rPr>
          <w:sz w:val="18"/>
          <w:szCs w:val="18"/>
          <w:lang w:val="fr-BE"/>
        </w:rPr>
        <w:t>(</w:t>
      </w:r>
      <w:r w:rsidRPr="00923415">
        <w:rPr>
          <w:rStyle w:val="FootnoteReference"/>
          <w:sz w:val="18"/>
          <w:szCs w:val="18"/>
        </w:rPr>
        <w:footnoteRef/>
      </w:r>
      <w:r>
        <w:rPr>
          <w:sz w:val="18"/>
          <w:szCs w:val="18"/>
          <w:lang w:val="fr-BE"/>
        </w:rPr>
        <w:t>)</w:t>
      </w:r>
      <w:r w:rsidRPr="00F5084F">
        <w:rPr>
          <w:sz w:val="18"/>
          <w:szCs w:val="18"/>
          <w:lang w:val="fr-BE"/>
        </w:rPr>
        <w:t xml:space="preserve">  DECISION Études &amp; Conseil. </w:t>
      </w:r>
      <w:r w:rsidRPr="00F5084F">
        <w:rPr>
          <w:sz w:val="18"/>
          <w:szCs w:val="18"/>
        </w:rPr>
        <w:t xml:space="preserve">(2024). </w:t>
      </w:r>
      <w:r w:rsidRPr="00F5084F">
        <w:rPr>
          <w:rStyle w:val="Emphasis"/>
          <w:sz w:val="18"/>
          <w:szCs w:val="18"/>
        </w:rPr>
        <w:t>Economic analysis of the EU and global chips ecosystem.</w:t>
      </w:r>
    </w:p>
  </w:footnote>
  <w:footnote w:id="102">
    <w:p w14:paraId="1DF80610" w14:textId="454FEAB7" w:rsidR="00EC49AF" w:rsidRPr="00F5084F" w:rsidRDefault="00EC49AF" w:rsidP="00EC49AF">
      <w:pPr>
        <w:pStyle w:val="FootnoteText"/>
        <w:rPr>
          <w:sz w:val="18"/>
          <w:szCs w:val="18"/>
          <w:lang w:val="fr-BE"/>
        </w:rPr>
      </w:pPr>
      <w:r>
        <w:rPr>
          <w:sz w:val="18"/>
          <w:szCs w:val="18"/>
        </w:rPr>
        <w:t>(</w:t>
      </w:r>
      <w:r w:rsidRPr="00923415">
        <w:rPr>
          <w:rStyle w:val="FootnoteReference"/>
          <w:sz w:val="18"/>
          <w:szCs w:val="18"/>
        </w:rPr>
        <w:footnoteRef/>
      </w:r>
      <w:r>
        <w:rPr>
          <w:sz w:val="18"/>
          <w:szCs w:val="18"/>
        </w:rPr>
        <w:t>)</w:t>
      </w:r>
      <w:r w:rsidRPr="00F5084F">
        <w:rPr>
          <w:sz w:val="18"/>
          <w:szCs w:val="18"/>
        </w:rPr>
        <w:t xml:space="preserve">  Ebrahimi, A. (2024). </w:t>
      </w:r>
      <w:r w:rsidRPr="00F5084F">
        <w:rPr>
          <w:rStyle w:val="Emphasis"/>
          <w:sz w:val="18"/>
          <w:szCs w:val="18"/>
        </w:rPr>
        <w:t>Groundbreaking chip sovereignty: Europe’s strategic push in the semiconductor race.</w:t>
      </w:r>
      <w:r w:rsidRPr="00F5084F">
        <w:rPr>
          <w:sz w:val="18"/>
          <w:szCs w:val="18"/>
        </w:rPr>
        <w:t xml:space="preserve"> </w:t>
      </w:r>
      <w:r w:rsidRPr="00F5084F">
        <w:rPr>
          <w:sz w:val="18"/>
          <w:szCs w:val="18"/>
          <w:lang w:val="fr-BE"/>
        </w:rPr>
        <w:t>Institut français des relations internationales (IFRI). ISBN 979-10-373-0874-0.</w:t>
      </w:r>
    </w:p>
  </w:footnote>
  <w:footnote w:id="103">
    <w:p w14:paraId="4B5DB497" w14:textId="77AF2B02" w:rsidR="00EC49AF" w:rsidRPr="00F5084F" w:rsidRDefault="00EC49AF" w:rsidP="00EC49AF">
      <w:pPr>
        <w:pStyle w:val="FootnoteText"/>
        <w:rPr>
          <w:sz w:val="18"/>
          <w:szCs w:val="18"/>
        </w:rPr>
      </w:pPr>
      <w:r>
        <w:rPr>
          <w:sz w:val="18"/>
          <w:szCs w:val="18"/>
          <w:lang w:val="fr-BE"/>
        </w:rPr>
        <w:t>(</w:t>
      </w:r>
      <w:r w:rsidRPr="00923415">
        <w:rPr>
          <w:rStyle w:val="FootnoteReference"/>
          <w:sz w:val="18"/>
          <w:szCs w:val="18"/>
        </w:rPr>
        <w:footnoteRef/>
      </w:r>
      <w:r>
        <w:rPr>
          <w:sz w:val="18"/>
          <w:szCs w:val="18"/>
          <w:lang w:val="fr-BE"/>
        </w:rPr>
        <w:t>)</w:t>
      </w:r>
      <w:r w:rsidRPr="00F5084F">
        <w:rPr>
          <w:sz w:val="18"/>
          <w:szCs w:val="18"/>
          <w:lang w:val="fr-BE"/>
        </w:rPr>
        <w:t xml:space="preserve"> European Semiconductor Industry Association. </w:t>
      </w:r>
      <w:r w:rsidRPr="00F5084F">
        <w:rPr>
          <w:sz w:val="18"/>
          <w:szCs w:val="18"/>
        </w:rPr>
        <w:t xml:space="preserve">(2025). </w:t>
      </w:r>
      <w:r w:rsidRPr="00F5084F">
        <w:rPr>
          <w:i/>
          <w:sz w:val="18"/>
          <w:szCs w:val="18"/>
        </w:rPr>
        <w:t>Position paper on EU Chips Act 2</w:t>
      </w:r>
      <w:r w:rsidRPr="00F5084F">
        <w:rPr>
          <w:sz w:val="18"/>
          <w:szCs w:val="18"/>
        </w:rPr>
        <w:t>. Brussels: ESIA.</w:t>
      </w:r>
    </w:p>
  </w:footnote>
  <w:footnote w:id="104">
    <w:p w14:paraId="64E5D8D9" w14:textId="19AB9862"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F5084F">
        <w:rPr>
          <w:sz w:val="18"/>
          <w:szCs w:val="18"/>
        </w:rPr>
        <w:t xml:space="preserve"> McKinsey &amp; Company. (2024). McKinsey on semiconductors: </w:t>
      </w:r>
      <w:r w:rsidRPr="00F5084F">
        <w:rPr>
          <w:i/>
          <w:sz w:val="18"/>
          <w:szCs w:val="18"/>
        </w:rPr>
        <w:t>Creating value, pursuing innovation, and optimizing operations</w:t>
      </w:r>
      <w:r w:rsidRPr="00F5084F">
        <w:rPr>
          <w:sz w:val="18"/>
          <w:szCs w:val="18"/>
        </w:rPr>
        <w:t>. New York: McKinsey &amp; Company.</w:t>
      </w:r>
    </w:p>
  </w:footnote>
  <w:footnote w:id="105">
    <w:p w14:paraId="60BCEE6C" w14:textId="25EC5715"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F5084F">
        <w:rPr>
          <w:sz w:val="18"/>
          <w:szCs w:val="18"/>
        </w:rPr>
        <w:t xml:space="preserve">  DECISION Études &amp; Conseil. (2024). </w:t>
      </w:r>
      <w:r w:rsidRPr="00F5084F">
        <w:rPr>
          <w:rStyle w:val="Emphasis"/>
          <w:sz w:val="18"/>
          <w:szCs w:val="18"/>
        </w:rPr>
        <w:t>Economic analysis of the EU and global chips ecosystem.</w:t>
      </w:r>
    </w:p>
  </w:footnote>
  <w:footnote w:id="106">
    <w:p w14:paraId="4B138D29" w14:textId="76D589FB"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F5084F">
        <w:rPr>
          <w:sz w:val="18"/>
          <w:szCs w:val="18"/>
        </w:rPr>
        <w:t xml:space="preserve">  DECISION Études &amp; Conseil. (2024). </w:t>
      </w:r>
      <w:r w:rsidRPr="00F5084F">
        <w:rPr>
          <w:rStyle w:val="Emphasis"/>
          <w:sz w:val="18"/>
          <w:szCs w:val="18"/>
        </w:rPr>
        <w:t>Economic analysis of the EU and global chips ecosystem.</w:t>
      </w:r>
    </w:p>
  </w:footnote>
  <w:footnote w:id="107">
    <w:p w14:paraId="481B3543" w14:textId="791B5BB7"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F5084F">
        <w:rPr>
          <w:sz w:val="18"/>
          <w:szCs w:val="18"/>
        </w:rPr>
        <w:t xml:space="preserve">  DECISION Études &amp; Conseil. (2024). </w:t>
      </w:r>
      <w:r w:rsidRPr="00F5084F">
        <w:rPr>
          <w:rStyle w:val="Emphasis"/>
          <w:sz w:val="18"/>
          <w:szCs w:val="18"/>
        </w:rPr>
        <w:t>Economic analysis of the EU and global chips ecosystem.</w:t>
      </w:r>
    </w:p>
  </w:footnote>
  <w:footnote w:id="108">
    <w:p w14:paraId="56D71D3C" w14:textId="299A6D4C"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F5084F">
        <w:rPr>
          <w:sz w:val="18"/>
          <w:szCs w:val="18"/>
        </w:rPr>
        <w:t xml:space="preserve">  DECISION Études &amp; Conseil. (2024). </w:t>
      </w:r>
      <w:r w:rsidRPr="00F5084F">
        <w:rPr>
          <w:rStyle w:val="Emphasis"/>
          <w:sz w:val="18"/>
          <w:szCs w:val="18"/>
        </w:rPr>
        <w:t>Economic analysis of the EU and global chips ecosystem.</w:t>
      </w:r>
    </w:p>
  </w:footnote>
  <w:footnote w:id="109">
    <w:p w14:paraId="0CBDB002" w14:textId="245FD327" w:rsidR="00EC49AF" w:rsidRPr="00F5084F" w:rsidRDefault="00EC49AF" w:rsidP="00EC49AF">
      <w:pPr>
        <w:pStyle w:val="FootnoteText"/>
        <w:rPr>
          <w:sz w:val="18"/>
          <w:szCs w:val="18"/>
        </w:rPr>
      </w:pPr>
      <w:r>
        <w:rPr>
          <w:sz w:val="18"/>
          <w:szCs w:val="18"/>
          <w:lang w:val="it-IT"/>
        </w:rPr>
        <w:t>(</w:t>
      </w:r>
      <w:r w:rsidRPr="00923415">
        <w:rPr>
          <w:rStyle w:val="FootnoteReference"/>
          <w:sz w:val="18"/>
          <w:szCs w:val="18"/>
        </w:rPr>
        <w:footnoteRef/>
      </w:r>
      <w:r>
        <w:rPr>
          <w:sz w:val="18"/>
          <w:szCs w:val="18"/>
          <w:lang w:val="it-IT"/>
        </w:rPr>
        <w:t>)</w:t>
      </w:r>
      <w:r w:rsidRPr="00923415">
        <w:rPr>
          <w:sz w:val="18"/>
          <w:szCs w:val="18"/>
          <w:lang w:val="it-IT"/>
        </w:rPr>
        <w:t xml:space="preserve">  Cerutti, Isabella &amp; Nardo, Michela (2023). </w:t>
      </w:r>
      <w:r w:rsidRPr="00B04D25">
        <w:rPr>
          <w:rStyle w:val="Emphasis"/>
          <w:sz w:val="18"/>
          <w:szCs w:val="18"/>
        </w:rPr>
        <w:t>Semiconductors in the EU: State of play, future trends and vulnerabilities of the semiconductor supply chain</w:t>
      </w:r>
      <w:r w:rsidRPr="00B04D25">
        <w:rPr>
          <w:sz w:val="18"/>
          <w:szCs w:val="18"/>
        </w:rPr>
        <w:t>. JRC Technical Report, JRC133850.</w:t>
      </w:r>
    </w:p>
  </w:footnote>
  <w:footnote w:id="110">
    <w:p w14:paraId="6415FE23" w14:textId="0B345125" w:rsidR="00EC49AF" w:rsidRPr="00B04D25"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sidRPr="00B04D25">
        <w:rPr>
          <w:sz w:val="18"/>
          <w:szCs w:val="18"/>
        </w:rPr>
        <w:t xml:space="preserve"> Cerutti, Isabella &amp; Nardo, Michela (2023). </w:t>
      </w:r>
      <w:r w:rsidRPr="00B04D25">
        <w:rPr>
          <w:rStyle w:val="Emphasis"/>
          <w:sz w:val="18"/>
          <w:szCs w:val="18"/>
        </w:rPr>
        <w:t>Semiconductors in the EU: State of play, future trends and vulnerabilities of the semiconductor supply chain</w:t>
      </w:r>
      <w:r w:rsidRPr="00B04D25">
        <w:rPr>
          <w:sz w:val="18"/>
          <w:szCs w:val="18"/>
        </w:rPr>
        <w:t>. JRC Technical Report, JRC133850.</w:t>
      </w:r>
    </w:p>
  </w:footnote>
  <w:footnote w:id="111">
    <w:p w14:paraId="3AC37482" w14:textId="7119A0FA" w:rsidR="00EC49AF" w:rsidRPr="00F5084F" w:rsidRDefault="00EC49AF" w:rsidP="00EC49AF">
      <w:pPr>
        <w:pStyle w:val="FootnoteText"/>
        <w:rPr>
          <w:sz w:val="18"/>
          <w:szCs w:val="18"/>
          <w:lang w:val="en-US"/>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sidRPr="00B04D25">
        <w:rPr>
          <w:sz w:val="18"/>
          <w:szCs w:val="18"/>
        </w:rPr>
        <w:t xml:space="preserve"> Cerutti, Isabella &amp; Nardo, Michela (2023). </w:t>
      </w:r>
      <w:r w:rsidRPr="00B04D25">
        <w:rPr>
          <w:rStyle w:val="Emphasis"/>
          <w:sz w:val="18"/>
          <w:szCs w:val="18"/>
        </w:rPr>
        <w:t>Semiconductors in the EU: State of play, future trends and vulnerabilities of the semiconductor supply chain</w:t>
      </w:r>
      <w:r w:rsidRPr="00B04D25">
        <w:rPr>
          <w:sz w:val="18"/>
          <w:szCs w:val="18"/>
        </w:rPr>
        <w:t>. JRC Technical Report, JRC133850.</w:t>
      </w:r>
    </w:p>
  </w:footnote>
  <w:footnote w:id="112">
    <w:p w14:paraId="33BBE17C" w14:textId="1F166BAC" w:rsidR="00EC49AF" w:rsidRPr="00941835"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41835">
        <w:rPr>
          <w:sz w:val="18"/>
          <w:szCs w:val="18"/>
        </w:rPr>
        <w:t xml:space="preserve"> Europe’s recent revenue share has shown short-term volatility due to downturns in automotive and industrial semiconductors, although its medium-term structural share typically remains within the 10–12 % range. </w:t>
      </w:r>
    </w:p>
  </w:footnote>
  <w:footnote w:id="113">
    <w:p w14:paraId="23F5A679" w14:textId="125C94C6" w:rsidR="00AD7339" w:rsidRPr="00AD7339" w:rsidRDefault="00AD7339">
      <w:pPr>
        <w:pStyle w:val="FootnoteText"/>
      </w:pPr>
      <w:r>
        <w:rPr>
          <w:rStyle w:val="FootnoteReference"/>
        </w:rPr>
        <w:footnoteRef/>
      </w:r>
      <w:r>
        <w:t xml:space="preserve"> Foundry here refers to foundry activities by EU headquartered </w:t>
      </w:r>
      <w:r w:rsidR="00294809">
        <w:t xml:space="preserve">companies, which exclusively manufacture mature node semiconductors.  </w:t>
      </w:r>
    </w:p>
  </w:footnote>
  <w:footnote w:id="114">
    <w:p w14:paraId="49C62DFC" w14:textId="7CCE1817" w:rsidR="00EC49AF" w:rsidRPr="00941835"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41835">
        <w:rPr>
          <w:sz w:val="18"/>
          <w:szCs w:val="18"/>
        </w:rPr>
        <w:t xml:space="preserve"> European Commission, Joint Research Centre. (2025). </w:t>
      </w:r>
      <w:r w:rsidRPr="00941835">
        <w:rPr>
          <w:i/>
          <w:sz w:val="18"/>
          <w:szCs w:val="18"/>
        </w:rPr>
        <w:t>EU’s strengths and weaknesses in the global semiconductor sector (JRC141323)</w:t>
      </w:r>
      <w:r w:rsidRPr="00941835">
        <w:rPr>
          <w:sz w:val="18"/>
          <w:szCs w:val="18"/>
        </w:rPr>
        <w:t xml:space="preserve">. Publications Office of the European Union. </w:t>
      </w:r>
      <w:hyperlink r:id="rId29" w:history="1">
        <w:r w:rsidRPr="00941835">
          <w:rPr>
            <w:rStyle w:val="Hyperlink"/>
            <w:sz w:val="18"/>
            <w:szCs w:val="18"/>
          </w:rPr>
          <w:t>https://data.europa.eu/doi/10.2760/6302476</w:t>
        </w:r>
      </w:hyperlink>
    </w:p>
  </w:footnote>
  <w:footnote w:id="115">
    <w:p w14:paraId="52DEF184" w14:textId="01400835" w:rsidR="00EC49AF" w:rsidRPr="00941835"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41835">
        <w:rPr>
          <w:sz w:val="18"/>
          <w:szCs w:val="18"/>
        </w:rPr>
        <w:t xml:space="preserve"> Compound Annual Growth Rate.</w:t>
      </w:r>
    </w:p>
  </w:footnote>
  <w:footnote w:id="116">
    <w:p w14:paraId="4DE42E0B" w14:textId="6E87E202"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41835">
        <w:rPr>
          <w:sz w:val="18"/>
          <w:szCs w:val="18"/>
        </w:rPr>
        <w:t xml:space="preserve"> European Commission, Joint Research Centre. (2025). </w:t>
      </w:r>
      <w:r w:rsidRPr="00941835">
        <w:rPr>
          <w:i/>
          <w:sz w:val="18"/>
          <w:szCs w:val="18"/>
        </w:rPr>
        <w:t>EU’s strengths and weaknesses in the global semiconductor sector (JRC141323)</w:t>
      </w:r>
      <w:r w:rsidRPr="00941835">
        <w:rPr>
          <w:sz w:val="18"/>
          <w:szCs w:val="18"/>
        </w:rPr>
        <w:t xml:space="preserve">. Publications Office of the European Union. </w:t>
      </w:r>
      <w:hyperlink r:id="rId30" w:history="1">
        <w:r w:rsidRPr="00941835">
          <w:rPr>
            <w:rStyle w:val="Hyperlink"/>
            <w:sz w:val="18"/>
            <w:szCs w:val="18"/>
          </w:rPr>
          <w:t>https://data.europa.eu/doi/10.2760/6302476</w:t>
        </w:r>
      </w:hyperlink>
    </w:p>
  </w:footnote>
  <w:footnote w:id="117">
    <w:p w14:paraId="45C734B6" w14:textId="7F417AEC" w:rsidR="00EC49AF" w:rsidRPr="00B04D25"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sidRPr="00F5084F">
        <w:rPr>
          <w:sz w:val="18"/>
          <w:szCs w:val="18"/>
        </w:rPr>
        <w:t xml:space="preserve"> </w:t>
      </w:r>
      <w:r w:rsidRPr="00B04D25">
        <w:rPr>
          <w:sz w:val="18"/>
          <w:szCs w:val="18"/>
        </w:rPr>
        <w:t xml:space="preserve">McKinsey &amp; Company. (2024). </w:t>
      </w:r>
      <w:r w:rsidRPr="00B04D25">
        <w:rPr>
          <w:rStyle w:val="Emphasis"/>
          <w:sz w:val="18"/>
          <w:szCs w:val="18"/>
        </w:rPr>
        <w:t>McKinsey on semiconductors: Creating value, pursuing innovation, and optimizing operations</w:t>
      </w:r>
      <w:r w:rsidRPr="00B04D25">
        <w:rPr>
          <w:sz w:val="18"/>
          <w:szCs w:val="18"/>
        </w:rPr>
        <w:t xml:space="preserve"> (No. 9, March 2024). McKinsey &amp; Company.</w:t>
      </w:r>
    </w:p>
  </w:footnote>
  <w:footnote w:id="118">
    <w:p w14:paraId="063E065C" w14:textId="0E15A35A" w:rsidR="00EC49AF" w:rsidRPr="008A5F6A" w:rsidRDefault="00EC49AF" w:rsidP="00EC49AF">
      <w:pPr>
        <w:pStyle w:val="FootnoteText"/>
        <w:rPr>
          <w:sz w:val="18"/>
          <w:szCs w:val="18"/>
          <w:lang w:val="fr-BE"/>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sidRPr="00F5084F">
        <w:rPr>
          <w:sz w:val="18"/>
          <w:szCs w:val="18"/>
        </w:rPr>
        <w:t xml:space="preserve"> </w:t>
      </w:r>
      <w:r w:rsidRPr="00B04D25">
        <w:rPr>
          <w:sz w:val="18"/>
          <w:szCs w:val="18"/>
        </w:rPr>
        <w:t xml:space="preserve">Ebrahimi, A. (2024). </w:t>
      </w:r>
      <w:r w:rsidRPr="00B04D25">
        <w:rPr>
          <w:rStyle w:val="Emphasis"/>
          <w:sz w:val="18"/>
          <w:szCs w:val="18"/>
        </w:rPr>
        <w:t>Groundbreaking chip sovereignty: Europe’s strategic push in the semiconductor race.</w:t>
      </w:r>
      <w:r w:rsidRPr="00B04D25">
        <w:rPr>
          <w:sz w:val="18"/>
          <w:szCs w:val="18"/>
        </w:rPr>
        <w:t xml:space="preserve"> </w:t>
      </w:r>
      <w:r w:rsidRPr="008A5F6A">
        <w:rPr>
          <w:sz w:val="18"/>
          <w:szCs w:val="18"/>
          <w:lang w:val="fr-BE"/>
        </w:rPr>
        <w:t>Ifri Memos, Institut français des relations internationales (IFRI). ISBN 979-10-373-0874-0.</w:t>
      </w:r>
    </w:p>
  </w:footnote>
  <w:footnote w:id="119">
    <w:p w14:paraId="14869B8A" w14:textId="6F2871A9" w:rsidR="00EC49AF" w:rsidRPr="00B04D25" w:rsidRDefault="00EC49AF" w:rsidP="00EC49AF">
      <w:pPr>
        <w:pStyle w:val="FootnoteText"/>
        <w:rPr>
          <w:sz w:val="18"/>
          <w:szCs w:val="18"/>
        </w:rPr>
      </w:pPr>
      <w:r w:rsidRPr="008A5F6A">
        <w:rPr>
          <w:sz w:val="18"/>
          <w:szCs w:val="18"/>
          <w:lang w:val="fr-BE"/>
        </w:rPr>
        <w:t>(</w:t>
      </w:r>
      <w:r w:rsidRPr="00923415">
        <w:rPr>
          <w:rStyle w:val="FootnoteReference"/>
          <w:sz w:val="18"/>
          <w:szCs w:val="18"/>
        </w:rPr>
        <w:footnoteRef/>
      </w:r>
      <w:r w:rsidRPr="008A5F6A">
        <w:rPr>
          <w:sz w:val="18"/>
          <w:szCs w:val="18"/>
          <w:lang w:val="fr-BE"/>
        </w:rPr>
        <w:t xml:space="preserve">)  </w:t>
      </w:r>
      <w:r w:rsidRPr="008A5F6A">
        <w:rPr>
          <w:rStyle w:val="Strong"/>
          <w:b w:val="0"/>
          <w:sz w:val="18"/>
          <w:szCs w:val="18"/>
          <w:lang w:val="fr-BE"/>
        </w:rPr>
        <w:t>BCG &amp; Semiconductor Industry Association (2024).</w:t>
      </w:r>
      <w:r w:rsidRPr="008A5F6A">
        <w:rPr>
          <w:sz w:val="18"/>
          <w:szCs w:val="18"/>
          <w:lang w:val="fr-BE"/>
        </w:rPr>
        <w:t xml:space="preserve"> </w:t>
      </w:r>
      <w:r w:rsidRPr="0099663F">
        <w:rPr>
          <w:rStyle w:val="Emphasis"/>
          <w:sz w:val="18"/>
          <w:szCs w:val="18"/>
        </w:rPr>
        <w:t>Emerging</w:t>
      </w:r>
      <w:r w:rsidRPr="00B04D25">
        <w:rPr>
          <w:rStyle w:val="Emphasis"/>
          <w:sz w:val="18"/>
          <w:szCs w:val="18"/>
        </w:rPr>
        <w:t xml:space="preserve"> Resilience in the Semiconductor Supply Chain.</w:t>
      </w:r>
      <w:r w:rsidRPr="00B04D25">
        <w:rPr>
          <w:sz w:val="18"/>
          <w:szCs w:val="18"/>
        </w:rPr>
        <w:t xml:space="preserve"> Boston Consulting Group and Semiconductor Industry Association, May 2024.</w:t>
      </w:r>
    </w:p>
  </w:footnote>
  <w:footnote w:id="120">
    <w:p w14:paraId="0B09C5BE" w14:textId="4AE64A53"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41835">
        <w:rPr>
          <w:sz w:val="18"/>
          <w:szCs w:val="18"/>
        </w:rPr>
        <w:t xml:space="preserve"> </w:t>
      </w:r>
      <w:r w:rsidRPr="00B04D25">
        <w:rPr>
          <w:sz w:val="18"/>
          <w:szCs w:val="18"/>
        </w:rPr>
        <w:t xml:space="preserve">Kleinhans, J.-P. (2024), </w:t>
      </w:r>
      <w:r w:rsidRPr="00B04D25">
        <w:rPr>
          <w:rStyle w:val="Emphasis"/>
          <w:sz w:val="18"/>
          <w:szCs w:val="18"/>
        </w:rPr>
        <w:t>The missing strategy in Europe’s chip ambitions: Member States must drive the next steps</w:t>
      </w:r>
      <w:r w:rsidRPr="00B04D25">
        <w:rPr>
          <w:sz w:val="18"/>
          <w:szCs w:val="18"/>
        </w:rPr>
        <w:t>, Interface, July 2024.</w:t>
      </w:r>
    </w:p>
  </w:footnote>
  <w:footnote w:id="121">
    <w:p w14:paraId="10F3BDE1" w14:textId="7D9D428C" w:rsidR="00EC49AF" w:rsidRPr="00B04D25"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sidRPr="00F5084F">
        <w:rPr>
          <w:sz w:val="18"/>
          <w:szCs w:val="18"/>
        </w:rPr>
        <w:t xml:space="preserve"> </w:t>
      </w:r>
      <w:r w:rsidRPr="00B04D25">
        <w:rPr>
          <w:sz w:val="18"/>
          <w:szCs w:val="18"/>
        </w:rPr>
        <w:t xml:space="preserve">McKinsey &amp; Company. (2024). </w:t>
      </w:r>
      <w:r w:rsidRPr="00B04D25">
        <w:rPr>
          <w:rStyle w:val="Emphasis"/>
          <w:sz w:val="18"/>
          <w:szCs w:val="18"/>
        </w:rPr>
        <w:t>McKinsey on semiconductors: Creating value, pursuing innovation, and optimizing operations</w:t>
      </w:r>
      <w:r w:rsidRPr="00B04D25">
        <w:rPr>
          <w:sz w:val="18"/>
          <w:szCs w:val="18"/>
        </w:rPr>
        <w:t xml:space="preserve"> (No. 9, March 2024). McKinsey &amp; Company.</w:t>
      </w:r>
    </w:p>
  </w:footnote>
  <w:footnote w:id="122">
    <w:p w14:paraId="71C80886" w14:textId="150EF344" w:rsidR="00EC49AF" w:rsidRPr="00B04D25"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sidRPr="00B04D25">
        <w:rPr>
          <w:sz w:val="18"/>
          <w:szCs w:val="18"/>
        </w:rPr>
        <w:t xml:space="preserve"> </w:t>
      </w:r>
      <w:r w:rsidRPr="00B04D25">
        <w:rPr>
          <w:rStyle w:val="Strong"/>
          <w:sz w:val="18"/>
          <w:szCs w:val="18"/>
        </w:rPr>
        <w:t>BCG &amp; Semiconductor Industry Association (2024).</w:t>
      </w:r>
      <w:r w:rsidRPr="00B04D25">
        <w:rPr>
          <w:sz w:val="18"/>
          <w:szCs w:val="18"/>
        </w:rPr>
        <w:t xml:space="preserve"> </w:t>
      </w:r>
      <w:r w:rsidRPr="00B04D25">
        <w:rPr>
          <w:rStyle w:val="Emphasis"/>
          <w:sz w:val="18"/>
          <w:szCs w:val="18"/>
        </w:rPr>
        <w:t>Emerging Resilience in the Semiconductor Supply Chain.</w:t>
      </w:r>
      <w:r w:rsidRPr="00B04D25">
        <w:rPr>
          <w:sz w:val="18"/>
          <w:szCs w:val="18"/>
        </w:rPr>
        <w:t xml:space="preserve"> Boston Consulting Group and Semiconductor Industry Association, May 2024.</w:t>
      </w:r>
    </w:p>
  </w:footnote>
  <w:footnote w:id="123">
    <w:p w14:paraId="21FBE7D4" w14:textId="79973BA9" w:rsidR="00EC49AF" w:rsidRPr="00B04D25"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sidRPr="00B04D25">
        <w:rPr>
          <w:sz w:val="18"/>
          <w:szCs w:val="18"/>
        </w:rPr>
        <w:t xml:space="preserve"> Cerutti, Isabella &amp; Nardo, Michela (2023). </w:t>
      </w:r>
      <w:r w:rsidRPr="00B04D25">
        <w:rPr>
          <w:rStyle w:val="Emphasis"/>
          <w:sz w:val="18"/>
          <w:szCs w:val="18"/>
        </w:rPr>
        <w:t>Semiconductors in the EU: State of play, future trends and vulnerabilities of the semiconductor supply chain</w:t>
      </w:r>
      <w:r w:rsidRPr="00B04D25">
        <w:rPr>
          <w:sz w:val="18"/>
          <w:szCs w:val="18"/>
        </w:rPr>
        <w:t xml:space="preserve">. JRC Technical Report, JRC133850. </w:t>
      </w:r>
    </w:p>
  </w:footnote>
  <w:footnote w:id="124">
    <w:p w14:paraId="57F98043" w14:textId="39D8B8EF" w:rsidR="00EC49AF" w:rsidRPr="00B04D25"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sidRPr="00F5084F">
        <w:rPr>
          <w:sz w:val="18"/>
          <w:szCs w:val="18"/>
        </w:rPr>
        <w:t xml:space="preserve"> </w:t>
      </w:r>
      <w:r w:rsidRPr="00B04D25">
        <w:rPr>
          <w:sz w:val="18"/>
          <w:szCs w:val="18"/>
        </w:rPr>
        <w:t xml:space="preserve">McKinsey &amp; Company. (2024). </w:t>
      </w:r>
      <w:r w:rsidRPr="00B04D25">
        <w:rPr>
          <w:rStyle w:val="Emphasis"/>
          <w:sz w:val="18"/>
          <w:szCs w:val="18"/>
        </w:rPr>
        <w:t>McKinsey on semiconductors: Creating value, pursuing innovation, and optimizing operations</w:t>
      </w:r>
      <w:r w:rsidRPr="00B04D25">
        <w:rPr>
          <w:sz w:val="18"/>
          <w:szCs w:val="18"/>
        </w:rPr>
        <w:t xml:space="preserve"> (No. 9, March 2024). McKinsey &amp; Company.</w:t>
      </w:r>
    </w:p>
  </w:footnote>
  <w:footnote w:id="125">
    <w:p w14:paraId="19BA78C9" w14:textId="4A3B6A16" w:rsidR="00EC49AF" w:rsidRPr="008A5F6A" w:rsidRDefault="00EC49AF" w:rsidP="00EC49AF">
      <w:pPr>
        <w:pStyle w:val="FootnoteText"/>
        <w:rPr>
          <w:sz w:val="18"/>
          <w:szCs w:val="18"/>
          <w:lang w:val="fr-BE"/>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sidRPr="00B04D25">
        <w:rPr>
          <w:sz w:val="18"/>
          <w:szCs w:val="18"/>
        </w:rPr>
        <w:t xml:space="preserve"> Ebrahimi, A. (2024). </w:t>
      </w:r>
      <w:r w:rsidRPr="00B04D25">
        <w:rPr>
          <w:rStyle w:val="Emphasis"/>
          <w:sz w:val="18"/>
          <w:szCs w:val="18"/>
        </w:rPr>
        <w:t>Groundbreaking chip sovereignty: Europe’s strategic push in the semiconductor race.</w:t>
      </w:r>
      <w:r w:rsidRPr="00B04D25">
        <w:rPr>
          <w:sz w:val="18"/>
          <w:szCs w:val="18"/>
        </w:rPr>
        <w:t xml:space="preserve"> </w:t>
      </w:r>
      <w:r w:rsidRPr="008A5F6A">
        <w:rPr>
          <w:sz w:val="18"/>
          <w:szCs w:val="18"/>
          <w:lang w:val="fr-BE"/>
        </w:rPr>
        <w:t>Ifri Memos, Institut français des relations internationales (IFRI). ISBN 979-10-373-0874-0.</w:t>
      </w:r>
    </w:p>
  </w:footnote>
  <w:footnote w:id="126">
    <w:p w14:paraId="21B886D2" w14:textId="6461AFD9" w:rsidR="00EC49AF" w:rsidRPr="00B04D25" w:rsidRDefault="00EC49AF" w:rsidP="00EC49AF">
      <w:pPr>
        <w:pStyle w:val="FootnoteText"/>
        <w:rPr>
          <w:sz w:val="18"/>
          <w:szCs w:val="18"/>
        </w:rPr>
      </w:pPr>
      <w:r w:rsidRPr="008A5F6A">
        <w:rPr>
          <w:sz w:val="18"/>
          <w:szCs w:val="18"/>
          <w:lang w:val="fr-BE"/>
        </w:rPr>
        <w:t>(</w:t>
      </w:r>
      <w:r w:rsidRPr="00923415">
        <w:rPr>
          <w:rStyle w:val="FootnoteReference"/>
          <w:sz w:val="18"/>
          <w:szCs w:val="18"/>
        </w:rPr>
        <w:footnoteRef/>
      </w:r>
      <w:r w:rsidRPr="008A5F6A">
        <w:rPr>
          <w:sz w:val="18"/>
          <w:szCs w:val="18"/>
          <w:lang w:val="fr-BE"/>
        </w:rPr>
        <w:t xml:space="preserve">)  </w:t>
      </w:r>
      <w:r w:rsidRPr="008A5F6A">
        <w:rPr>
          <w:rStyle w:val="Strong"/>
          <w:sz w:val="18"/>
          <w:szCs w:val="18"/>
          <w:lang w:val="fr-BE"/>
        </w:rPr>
        <w:t>BCG &amp; Semiconductor Industry Association (2024).</w:t>
      </w:r>
      <w:r w:rsidRPr="008A5F6A">
        <w:rPr>
          <w:sz w:val="18"/>
          <w:szCs w:val="18"/>
          <w:lang w:val="fr-BE"/>
        </w:rPr>
        <w:t xml:space="preserve"> </w:t>
      </w:r>
      <w:r w:rsidRPr="00B04D25">
        <w:rPr>
          <w:rStyle w:val="Emphasis"/>
          <w:sz w:val="18"/>
          <w:szCs w:val="18"/>
        </w:rPr>
        <w:t>Emerging Resilience in the Semiconductor Supply Chain.</w:t>
      </w:r>
      <w:r w:rsidRPr="00B04D25">
        <w:rPr>
          <w:sz w:val="18"/>
          <w:szCs w:val="18"/>
        </w:rPr>
        <w:t xml:space="preserve"> Boston Consulting Group and Semiconductor Industry Association, May 2024.</w:t>
      </w:r>
    </w:p>
  </w:footnote>
  <w:footnote w:id="127">
    <w:p w14:paraId="3F18EAEC" w14:textId="12A3FA37" w:rsidR="00EC49AF" w:rsidRPr="00B04D25"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sidRPr="00B04D25">
        <w:rPr>
          <w:sz w:val="18"/>
          <w:szCs w:val="18"/>
        </w:rPr>
        <w:t xml:space="preserve"> </w:t>
      </w:r>
      <w:r w:rsidRPr="0099663F">
        <w:rPr>
          <w:rStyle w:val="Strong"/>
          <w:sz w:val="18"/>
          <w:szCs w:val="18"/>
        </w:rPr>
        <w:t>McKinsey &amp; Company (2025).</w:t>
      </w:r>
      <w:r w:rsidRPr="00B04D25">
        <w:rPr>
          <w:sz w:val="18"/>
          <w:szCs w:val="18"/>
        </w:rPr>
        <w:t xml:space="preserve"> </w:t>
      </w:r>
      <w:r w:rsidRPr="00B04D25">
        <w:rPr>
          <w:rStyle w:val="Emphasis"/>
          <w:sz w:val="18"/>
          <w:szCs w:val="18"/>
        </w:rPr>
        <w:t>Semiconductors have a big opportunity but barriers to scale remain.</w:t>
      </w:r>
      <w:r w:rsidRPr="00B04D25">
        <w:rPr>
          <w:sz w:val="18"/>
          <w:szCs w:val="18"/>
        </w:rPr>
        <w:t xml:space="preserve"> February 2025.</w:t>
      </w:r>
    </w:p>
  </w:footnote>
  <w:footnote w:id="128">
    <w:p w14:paraId="39F94843" w14:textId="37C2D66A" w:rsidR="00EC49AF" w:rsidRPr="00B04D25"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sidRPr="00B04D25">
        <w:rPr>
          <w:sz w:val="18"/>
          <w:szCs w:val="18"/>
        </w:rPr>
        <w:t xml:space="preserve"> Cerutti, Isabella &amp; Nardo, Michela (2023). </w:t>
      </w:r>
      <w:r w:rsidRPr="00B04D25">
        <w:rPr>
          <w:rStyle w:val="Emphasis"/>
          <w:sz w:val="18"/>
          <w:szCs w:val="18"/>
        </w:rPr>
        <w:t>Semiconductors in the EU: State of play, future trends and vulnerabilities of the semiconductor supply chain</w:t>
      </w:r>
      <w:r w:rsidRPr="00B04D25">
        <w:rPr>
          <w:sz w:val="18"/>
          <w:szCs w:val="18"/>
        </w:rPr>
        <w:t>. JRC Technical Report, JRC133850.</w:t>
      </w:r>
    </w:p>
  </w:footnote>
  <w:footnote w:id="129">
    <w:p w14:paraId="2B55F4BA" w14:textId="00EF0B14"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sidRPr="0099663F">
        <w:rPr>
          <w:b/>
          <w:bCs/>
          <w:sz w:val="18"/>
          <w:szCs w:val="18"/>
        </w:rPr>
        <w:t xml:space="preserve"> </w:t>
      </w:r>
      <w:r w:rsidRPr="0099663F">
        <w:rPr>
          <w:rStyle w:val="Strong"/>
          <w:sz w:val="18"/>
          <w:szCs w:val="18"/>
        </w:rPr>
        <w:t>BCG &amp; Semiconductor Industry Association (2024).</w:t>
      </w:r>
      <w:r w:rsidRPr="00AA4F74">
        <w:rPr>
          <w:sz w:val="18"/>
          <w:szCs w:val="18"/>
        </w:rPr>
        <w:t xml:space="preserve"> </w:t>
      </w:r>
      <w:r w:rsidRPr="00AA4F74">
        <w:rPr>
          <w:rStyle w:val="Emphasis"/>
          <w:sz w:val="18"/>
          <w:szCs w:val="18"/>
        </w:rPr>
        <w:t>Emerging Resilience in the Semiconductor Supply Chain.</w:t>
      </w:r>
      <w:r w:rsidRPr="00AA4F74">
        <w:rPr>
          <w:sz w:val="18"/>
          <w:szCs w:val="18"/>
        </w:rPr>
        <w:t xml:space="preserve"> Boston Consulting Group and Semiconductor Industry Association, May 2024.</w:t>
      </w:r>
    </w:p>
  </w:footnote>
  <w:footnote w:id="130">
    <w:p w14:paraId="1B9A5ADD" w14:textId="6D88B82F"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Pr>
          <w:sz w:val="18"/>
          <w:szCs w:val="18"/>
        </w:rPr>
        <w:t xml:space="preserve"> </w:t>
      </w:r>
      <w:r w:rsidRPr="00AA4F74">
        <w:rPr>
          <w:sz w:val="18"/>
          <w:szCs w:val="18"/>
        </w:rPr>
        <w:t xml:space="preserve">Cerutti, Isabella &amp; Nardo, Michela (2023). </w:t>
      </w:r>
      <w:r w:rsidRPr="00AA4F74">
        <w:rPr>
          <w:rStyle w:val="Emphasis"/>
          <w:sz w:val="18"/>
          <w:szCs w:val="18"/>
        </w:rPr>
        <w:t>Semiconductors in the EU: State of play, future trends and vulnerabilities of the semiconductor supply chain</w:t>
      </w:r>
      <w:r w:rsidRPr="00AA4F74">
        <w:rPr>
          <w:sz w:val="18"/>
          <w:szCs w:val="18"/>
        </w:rPr>
        <w:t>. JRC Technical Report, JRC133850. Publications Office of the European Union. ISBN 978-92-68-06549-5 (online). DOI: 10.2760/038299.</w:t>
      </w:r>
    </w:p>
  </w:footnote>
  <w:footnote w:id="131">
    <w:p w14:paraId="0B9C9B38" w14:textId="310ECC93" w:rsidR="00EC49AF" w:rsidRPr="00AA4F74" w:rsidRDefault="00EC49AF" w:rsidP="00EC49AF">
      <w:pPr>
        <w:pStyle w:val="FootnoteText"/>
        <w:rPr>
          <w:sz w:val="18"/>
          <w:szCs w:val="18"/>
          <w:lang w:val="fr-BE"/>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sidRPr="00AA4F74">
        <w:rPr>
          <w:sz w:val="18"/>
          <w:szCs w:val="18"/>
        </w:rPr>
        <w:t xml:space="preserve"> </w:t>
      </w:r>
      <w:r w:rsidRPr="0099663F">
        <w:rPr>
          <w:rStyle w:val="Strong"/>
          <w:sz w:val="18"/>
          <w:szCs w:val="18"/>
        </w:rPr>
        <w:t>BCG &amp; Semiconductor Industry Association (2024).</w:t>
      </w:r>
      <w:r w:rsidRPr="00AA4F74">
        <w:rPr>
          <w:sz w:val="18"/>
          <w:szCs w:val="18"/>
        </w:rPr>
        <w:t xml:space="preserve"> </w:t>
      </w:r>
      <w:r w:rsidRPr="00AA4F74">
        <w:rPr>
          <w:rStyle w:val="Emphasis"/>
          <w:sz w:val="18"/>
          <w:szCs w:val="18"/>
        </w:rPr>
        <w:t>Emerging Resilience in the Semiconductor Supply Chain.</w:t>
      </w:r>
      <w:r w:rsidRPr="00AA4F74">
        <w:rPr>
          <w:sz w:val="18"/>
          <w:szCs w:val="18"/>
        </w:rPr>
        <w:t xml:space="preserve"> </w:t>
      </w:r>
      <w:r w:rsidRPr="00AA4F74">
        <w:rPr>
          <w:sz w:val="18"/>
          <w:szCs w:val="18"/>
          <w:lang w:val="fr-BE"/>
        </w:rPr>
        <w:t>Boston Consulting Group and Semiconductor Industry Association, May 2024.</w:t>
      </w:r>
    </w:p>
  </w:footnote>
  <w:footnote w:id="132">
    <w:p w14:paraId="11FB5909" w14:textId="427AC270" w:rsidR="00EC49AF" w:rsidRPr="00AA4F74" w:rsidRDefault="00EC49AF" w:rsidP="00EC49AF">
      <w:pPr>
        <w:pStyle w:val="FootnoteText"/>
        <w:rPr>
          <w:sz w:val="18"/>
          <w:szCs w:val="18"/>
          <w:lang w:val="fr-BE"/>
        </w:rPr>
      </w:pPr>
      <w:r>
        <w:rPr>
          <w:sz w:val="18"/>
          <w:szCs w:val="18"/>
          <w:lang w:val="fr-BE"/>
        </w:rPr>
        <w:t>(</w:t>
      </w:r>
      <w:r w:rsidRPr="00923415">
        <w:rPr>
          <w:rStyle w:val="FootnoteReference"/>
          <w:sz w:val="18"/>
          <w:szCs w:val="18"/>
        </w:rPr>
        <w:footnoteRef/>
      </w:r>
      <w:r>
        <w:rPr>
          <w:sz w:val="18"/>
          <w:szCs w:val="18"/>
          <w:lang w:val="fr-BE"/>
        </w:rPr>
        <w:t>)</w:t>
      </w:r>
      <w:r w:rsidRPr="00941835">
        <w:rPr>
          <w:sz w:val="18"/>
          <w:szCs w:val="18"/>
          <w:lang w:val="fr-BE"/>
        </w:rPr>
        <w:t xml:space="preserve"> </w:t>
      </w:r>
      <w:r w:rsidRPr="00AA4F74">
        <w:rPr>
          <w:sz w:val="18"/>
          <w:szCs w:val="18"/>
          <w:lang w:val="fr-BE"/>
        </w:rPr>
        <w:t xml:space="preserve">Direction Générale des Entreprises (DGE) (2024), </w:t>
      </w:r>
      <w:r w:rsidRPr="00AA4F74">
        <w:rPr>
          <w:rStyle w:val="Emphasis"/>
          <w:sz w:val="18"/>
          <w:szCs w:val="18"/>
          <w:lang w:val="fr-BE"/>
        </w:rPr>
        <w:t>Les semi-conducteurs: un marché mondialisé et une dépendance européenne</w:t>
      </w:r>
      <w:r w:rsidRPr="00AA4F74">
        <w:rPr>
          <w:sz w:val="18"/>
          <w:szCs w:val="18"/>
          <w:lang w:val="fr-BE"/>
        </w:rPr>
        <w:t xml:space="preserve">, </w:t>
      </w:r>
      <w:r w:rsidRPr="00AA4F74">
        <w:rPr>
          <w:rStyle w:val="Emphasis"/>
          <w:sz w:val="18"/>
          <w:szCs w:val="18"/>
          <w:lang w:val="fr-BE"/>
        </w:rPr>
        <w:t>Les Thémas de la DGE</w:t>
      </w:r>
      <w:r w:rsidRPr="00AA4F74">
        <w:rPr>
          <w:sz w:val="18"/>
          <w:szCs w:val="18"/>
          <w:lang w:val="fr-BE"/>
        </w:rPr>
        <w:t>, n° 27, Ministère de l’Économie, des Finances et de la Souveraineté industrielle et numérique, January 2024.</w:t>
      </w:r>
    </w:p>
  </w:footnote>
  <w:footnote w:id="133">
    <w:p w14:paraId="72936FC1" w14:textId="49ACC1D5"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9663F">
        <w:rPr>
          <w:rStyle w:val="Strong"/>
          <w:sz w:val="18"/>
          <w:szCs w:val="18"/>
        </w:rPr>
        <w:t>McKinsey &amp; Company (2025).</w:t>
      </w:r>
      <w:r w:rsidRPr="00AA4F74">
        <w:rPr>
          <w:sz w:val="18"/>
          <w:szCs w:val="18"/>
        </w:rPr>
        <w:t xml:space="preserve"> </w:t>
      </w:r>
      <w:r w:rsidRPr="00AA4F74">
        <w:rPr>
          <w:rStyle w:val="Emphasis"/>
          <w:sz w:val="18"/>
          <w:szCs w:val="18"/>
        </w:rPr>
        <w:t>Semiconductors have a big opportunity but barriers to scale remain.</w:t>
      </w:r>
      <w:r w:rsidRPr="00AA4F74">
        <w:rPr>
          <w:sz w:val="18"/>
          <w:szCs w:val="18"/>
        </w:rPr>
        <w:t xml:space="preserve"> February 2025.</w:t>
      </w:r>
    </w:p>
  </w:footnote>
  <w:footnote w:id="134">
    <w:p w14:paraId="1D3335E1" w14:textId="02D6C316"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AA4F74">
        <w:rPr>
          <w:sz w:val="18"/>
          <w:szCs w:val="18"/>
        </w:rPr>
        <w:t xml:space="preserve">Ebrahimi, A. (2024). </w:t>
      </w:r>
      <w:r w:rsidRPr="00AA4F74">
        <w:rPr>
          <w:rStyle w:val="Emphasis"/>
          <w:sz w:val="18"/>
          <w:szCs w:val="18"/>
        </w:rPr>
        <w:t>Groundbreaking chip sovereignty: Europe’s strategic push in the semiconductor race.</w:t>
      </w:r>
      <w:r w:rsidRPr="00AA4F74">
        <w:rPr>
          <w:sz w:val="18"/>
          <w:szCs w:val="18"/>
        </w:rPr>
        <w:t xml:space="preserve"> Ifri Memos, Institut français des relations internationales (IFRI). ISBN 979-10-373-0874-0.</w:t>
      </w:r>
    </w:p>
  </w:footnote>
  <w:footnote w:id="135">
    <w:p w14:paraId="50A6A878" w14:textId="01B6A7C7"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41835">
        <w:rPr>
          <w:sz w:val="18"/>
          <w:szCs w:val="18"/>
        </w:rPr>
        <w:t xml:space="preserve"> </w:t>
      </w:r>
      <w:r w:rsidRPr="00AA4F74">
        <w:rPr>
          <w:sz w:val="18"/>
          <w:szCs w:val="18"/>
        </w:rPr>
        <w:t xml:space="preserve">World Semiconductor Trade Statistics (WSTS) (2025), </w:t>
      </w:r>
      <w:r w:rsidRPr="00AA4F74">
        <w:rPr>
          <w:rStyle w:val="Emphasis"/>
          <w:sz w:val="18"/>
          <w:szCs w:val="18"/>
        </w:rPr>
        <w:t>Spring 2025 forecast summary and market data</w:t>
      </w:r>
      <w:r w:rsidRPr="00AA4F74">
        <w:rPr>
          <w:sz w:val="18"/>
          <w:szCs w:val="18"/>
        </w:rPr>
        <w:t>, WSTS, Inc., May 2025</w:t>
      </w:r>
    </w:p>
  </w:footnote>
  <w:footnote w:id="136">
    <w:p w14:paraId="2499D21F" w14:textId="16C8BAFA" w:rsidR="00EC49AF" w:rsidRPr="00AA4F74" w:rsidRDefault="00EC49AF" w:rsidP="00EC49AF">
      <w:pPr>
        <w:pStyle w:val="FootnoteText"/>
        <w:rPr>
          <w:sz w:val="18"/>
          <w:szCs w:val="18"/>
          <w:lang w:val="fr-BE"/>
        </w:rPr>
      </w:pPr>
      <w:r>
        <w:rPr>
          <w:sz w:val="18"/>
          <w:szCs w:val="18"/>
          <w:lang w:val="fr-BE"/>
        </w:rPr>
        <w:t>(</w:t>
      </w:r>
      <w:r w:rsidRPr="00923415">
        <w:rPr>
          <w:rStyle w:val="FootnoteReference"/>
          <w:sz w:val="18"/>
          <w:szCs w:val="18"/>
        </w:rPr>
        <w:footnoteRef/>
      </w:r>
      <w:r>
        <w:rPr>
          <w:sz w:val="18"/>
          <w:szCs w:val="18"/>
          <w:lang w:val="fr-BE"/>
        </w:rPr>
        <w:t>)</w:t>
      </w:r>
      <w:r w:rsidRPr="00AA4F74" w:rsidDel="005677A8">
        <w:rPr>
          <w:sz w:val="18"/>
          <w:szCs w:val="18"/>
          <w:lang w:val="fr-BE"/>
        </w:rPr>
        <w:t xml:space="preserve"> </w:t>
      </w:r>
      <w:r w:rsidRPr="00AA4F74">
        <w:rPr>
          <w:sz w:val="18"/>
          <w:szCs w:val="18"/>
          <w:lang w:val="fr-BE"/>
        </w:rPr>
        <w:t xml:space="preserve">Direction Générale des Entreprises (DGE) (2024), </w:t>
      </w:r>
      <w:r w:rsidRPr="00AA4F74">
        <w:rPr>
          <w:rStyle w:val="Emphasis"/>
          <w:sz w:val="18"/>
          <w:szCs w:val="18"/>
          <w:lang w:val="fr-BE"/>
        </w:rPr>
        <w:t>Les semi-conducteurs: un marché mondialisé et une dépendance européenne</w:t>
      </w:r>
      <w:r w:rsidRPr="00AA4F74">
        <w:rPr>
          <w:sz w:val="18"/>
          <w:szCs w:val="18"/>
          <w:lang w:val="fr-BE"/>
        </w:rPr>
        <w:t>, Ministère de l’Économie, des Finances et de la Souveraineté industrielle et numérique, January 2024.</w:t>
      </w:r>
    </w:p>
  </w:footnote>
  <w:footnote w:id="137">
    <w:p w14:paraId="3C1EB086" w14:textId="49C6C1D1" w:rsidR="00EC49AF" w:rsidRPr="00AA4F74" w:rsidRDefault="00EC49AF" w:rsidP="00EC49AF">
      <w:pPr>
        <w:pStyle w:val="FootnoteText"/>
        <w:rPr>
          <w:sz w:val="18"/>
          <w:szCs w:val="18"/>
          <w:lang w:val="fr-BE"/>
        </w:rPr>
      </w:pPr>
      <w:r>
        <w:rPr>
          <w:sz w:val="18"/>
          <w:szCs w:val="18"/>
        </w:rPr>
        <w:t>(</w:t>
      </w:r>
      <w:r w:rsidRPr="00923415">
        <w:rPr>
          <w:rStyle w:val="FootnoteReference"/>
          <w:sz w:val="18"/>
          <w:szCs w:val="18"/>
        </w:rPr>
        <w:footnoteRef/>
      </w:r>
      <w:r>
        <w:rPr>
          <w:sz w:val="18"/>
          <w:szCs w:val="18"/>
        </w:rPr>
        <w:t>)</w:t>
      </w:r>
      <w:r w:rsidRPr="00AA4F74" w:rsidDel="009D3C07">
        <w:rPr>
          <w:sz w:val="18"/>
          <w:szCs w:val="18"/>
        </w:rPr>
        <w:t xml:space="preserve"> </w:t>
      </w:r>
      <w:r w:rsidRPr="00AA4F74">
        <w:rPr>
          <w:sz w:val="18"/>
          <w:szCs w:val="18"/>
        </w:rPr>
        <w:t xml:space="preserve">Ebrahimi, A. (2024). </w:t>
      </w:r>
      <w:r w:rsidRPr="00AA4F74">
        <w:rPr>
          <w:rStyle w:val="Emphasis"/>
          <w:sz w:val="18"/>
          <w:szCs w:val="18"/>
        </w:rPr>
        <w:t>Groundbreaking chip sovereignty: Europe’s strategic push in the semiconductor race.</w:t>
      </w:r>
      <w:r w:rsidRPr="00AA4F74">
        <w:rPr>
          <w:sz w:val="18"/>
          <w:szCs w:val="18"/>
        </w:rPr>
        <w:t xml:space="preserve"> </w:t>
      </w:r>
      <w:r w:rsidRPr="00AA4F74">
        <w:rPr>
          <w:sz w:val="18"/>
          <w:szCs w:val="18"/>
          <w:lang w:val="fr-BE"/>
        </w:rPr>
        <w:t>Ifri Memos, Institut français des relations internationales (IFRI). ISBN 979-10-373-0874-0.</w:t>
      </w:r>
    </w:p>
  </w:footnote>
  <w:footnote w:id="138">
    <w:p w14:paraId="0066E68A" w14:textId="2EF901CF" w:rsidR="00EC49AF" w:rsidRPr="00AA4F74" w:rsidRDefault="00EC49AF" w:rsidP="00EC49AF">
      <w:pPr>
        <w:pStyle w:val="FootnoteText"/>
        <w:rPr>
          <w:sz w:val="18"/>
          <w:szCs w:val="18"/>
        </w:rPr>
      </w:pPr>
      <w:r>
        <w:rPr>
          <w:sz w:val="18"/>
          <w:szCs w:val="18"/>
          <w:lang w:val="fr-BE"/>
        </w:rPr>
        <w:t>(</w:t>
      </w:r>
      <w:r w:rsidRPr="00923415">
        <w:rPr>
          <w:rStyle w:val="FootnoteReference"/>
          <w:sz w:val="18"/>
          <w:szCs w:val="18"/>
        </w:rPr>
        <w:footnoteRef/>
      </w:r>
      <w:r>
        <w:rPr>
          <w:sz w:val="18"/>
          <w:szCs w:val="18"/>
          <w:lang w:val="fr-BE"/>
        </w:rPr>
        <w:t>)</w:t>
      </w:r>
      <w:r w:rsidRPr="00AA4F74" w:rsidDel="009D3C07">
        <w:rPr>
          <w:sz w:val="18"/>
          <w:szCs w:val="18"/>
          <w:lang w:val="fr-BE"/>
        </w:rPr>
        <w:t xml:space="preserve"> </w:t>
      </w:r>
      <w:r w:rsidRPr="00AA4F74">
        <w:rPr>
          <w:rStyle w:val="Strong"/>
          <w:sz w:val="18"/>
          <w:szCs w:val="18"/>
          <w:lang w:val="fr-BE"/>
        </w:rPr>
        <w:t>McKinsey &amp; Company (2025).</w:t>
      </w:r>
      <w:r w:rsidRPr="00AA4F74">
        <w:rPr>
          <w:sz w:val="18"/>
          <w:szCs w:val="18"/>
          <w:lang w:val="fr-BE"/>
        </w:rPr>
        <w:t xml:space="preserve"> </w:t>
      </w:r>
      <w:r w:rsidRPr="00AA4F74">
        <w:rPr>
          <w:rStyle w:val="Emphasis"/>
          <w:sz w:val="18"/>
          <w:szCs w:val="18"/>
        </w:rPr>
        <w:t>Semiconductors have a big opportunity but barriers to scale remain.</w:t>
      </w:r>
      <w:r w:rsidRPr="00AA4F74">
        <w:rPr>
          <w:sz w:val="18"/>
          <w:szCs w:val="18"/>
        </w:rPr>
        <w:t xml:space="preserve"> February 2025.</w:t>
      </w:r>
    </w:p>
  </w:footnote>
  <w:footnote w:id="139">
    <w:p w14:paraId="06A6F827" w14:textId="71F2AD57"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AA4F74">
        <w:rPr>
          <w:sz w:val="18"/>
          <w:szCs w:val="18"/>
        </w:rPr>
        <w:t xml:space="preserve">Boston Consulting Group (BCG) and Semiconductor Industry Association (SIA) (2024), </w:t>
      </w:r>
      <w:r w:rsidRPr="00AA4F74">
        <w:rPr>
          <w:i/>
          <w:sz w:val="18"/>
          <w:szCs w:val="18"/>
        </w:rPr>
        <w:t>Attracting chips investment: Industry recommendations for policymakers</w:t>
      </w:r>
      <w:r w:rsidRPr="00AA4F74">
        <w:rPr>
          <w:sz w:val="18"/>
          <w:szCs w:val="18"/>
        </w:rPr>
        <w:t>, August 2024.</w:t>
      </w:r>
    </w:p>
  </w:footnote>
  <w:footnote w:id="140">
    <w:p w14:paraId="4E8AB69A" w14:textId="01405EBB"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AA4F74">
        <w:rPr>
          <w:sz w:val="18"/>
          <w:szCs w:val="18"/>
        </w:rPr>
        <w:t xml:space="preserve">Decision Etudes &amp; Conseil and YOLE Group, </w:t>
      </w:r>
      <w:r w:rsidRPr="00AA4F74">
        <w:rPr>
          <w:rStyle w:val="Emphasis"/>
          <w:sz w:val="18"/>
          <w:szCs w:val="18"/>
        </w:rPr>
        <w:t>Competitiveness of the EU semiconductor manufacturing industry</w:t>
      </w:r>
      <w:r w:rsidRPr="00AA4F74">
        <w:rPr>
          <w:sz w:val="18"/>
          <w:szCs w:val="18"/>
        </w:rPr>
        <w:t xml:space="preserve">, </w:t>
      </w:r>
      <w:r w:rsidRPr="00923415">
        <w:rPr>
          <w:sz w:val="18"/>
          <w:szCs w:val="18"/>
        </w:rPr>
        <w:t>Nov</w:t>
      </w:r>
      <w:r>
        <w:rPr>
          <w:sz w:val="18"/>
          <w:szCs w:val="18"/>
        </w:rPr>
        <w:t>.</w:t>
      </w:r>
      <w:r w:rsidRPr="00AA4F74">
        <w:rPr>
          <w:sz w:val="18"/>
          <w:szCs w:val="18"/>
        </w:rPr>
        <w:t xml:space="preserve"> 2025.</w:t>
      </w:r>
    </w:p>
  </w:footnote>
  <w:footnote w:id="141">
    <w:p w14:paraId="3A8C1044" w14:textId="286FE3C2"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F63F76">
        <w:rPr>
          <w:sz w:val="18"/>
          <w:szCs w:val="18"/>
        </w:rPr>
        <w:t xml:space="preserve">Decision Etudes &amp; Conseil and YOLE Group, </w:t>
      </w:r>
      <w:r w:rsidRPr="00F63F76">
        <w:rPr>
          <w:rStyle w:val="Emphasis"/>
          <w:sz w:val="18"/>
          <w:szCs w:val="18"/>
        </w:rPr>
        <w:t>Competitiveness of the EU semiconductor manufacturing industry</w:t>
      </w:r>
      <w:r w:rsidRPr="00F63F76">
        <w:rPr>
          <w:sz w:val="18"/>
          <w:szCs w:val="18"/>
        </w:rPr>
        <w:t>, Nov</w:t>
      </w:r>
      <w:r>
        <w:rPr>
          <w:sz w:val="18"/>
          <w:szCs w:val="18"/>
        </w:rPr>
        <w:t>.</w:t>
      </w:r>
      <w:r w:rsidRPr="00F63F76">
        <w:rPr>
          <w:sz w:val="18"/>
          <w:szCs w:val="18"/>
        </w:rPr>
        <w:t xml:space="preserve"> 2025.</w:t>
      </w:r>
    </w:p>
  </w:footnote>
  <w:footnote w:id="142">
    <w:p w14:paraId="2A58DDFE" w14:textId="66918147"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F63F76">
        <w:rPr>
          <w:sz w:val="18"/>
          <w:szCs w:val="18"/>
        </w:rPr>
        <w:t xml:space="preserve">Decision Etudes &amp; Conseil and YOLE Group, </w:t>
      </w:r>
      <w:r w:rsidRPr="00F63F76">
        <w:rPr>
          <w:rStyle w:val="Emphasis"/>
          <w:sz w:val="18"/>
          <w:szCs w:val="18"/>
        </w:rPr>
        <w:t>Competitiveness of the EU semiconductor manufacturing industry</w:t>
      </w:r>
      <w:r w:rsidRPr="00F63F76">
        <w:rPr>
          <w:sz w:val="18"/>
          <w:szCs w:val="18"/>
        </w:rPr>
        <w:t>, Nov</w:t>
      </w:r>
      <w:r>
        <w:rPr>
          <w:sz w:val="18"/>
          <w:szCs w:val="18"/>
        </w:rPr>
        <w:t>.</w:t>
      </w:r>
      <w:r w:rsidRPr="00F63F76">
        <w:rPr>
          <w:sz w:val="18"/>
          <w:szCs w:val="18"/>
        </w:rPr>
        <w:t xml:space="preserve"> 2025.</w:t>
      </w:r>
    </w:p>
  </w:footnote>
  <w:footnote w:id="143">
    <w:p w14:paraId="2E491238" w14:textId="533BD330" w:rsidR="00EC49AF" w:rsidRPr="00AA4F74" w:rsidRDefault="00EC49AF" w:rsidP="00EC49AF">
      <w:pPr>
        <w:pStyle w:val="FootnoteText"/>
        <w:rPr>
          <w:sz w:val="18"/>
          <w:szCs w:val="18"/>
          <w:lang w:val="en-US"/>
        </w:rPr>
      </w:pPr>
      <w:r>
        <w:rPr>
          <w:sz w:val="18"/>
          <w:szCs w:val="18"/>
        </w:rPr>
        <w:t>(</w:t>
      </w:r>
      <w:r w:rsidRPr="00923415">
        <w:rPr>
          <w:rStyle w:val="FootnoteReference"/>
          <w:sz w:val="18"/>
          <w:szCs w:val="18"/>
        </w:rPr>
        <w:footnoteRef/>
      </w:r>
      <w:r>
        <w:rPr>
          <w:sz w:val="18"/>
          <w:szCs w:val="18"/>
        </w:rPr>
        <w:t>)</w:t>
      </w:r>
      <w:r w:rsidRPr="00AA4F74">
        <w:rPr>
          <w:sz w:val="18"/>
          <w:szCs w:val="18"/>
        </w:rPr>
        <w:t xml:space="preserve"> The reference to “smaller average fab size” is based on evidence that Europe’s semiconductor ecosystem is dominated by mid-scale fabs focused on mature-node, automotive, power, and analog manufacturing, rather than the large leading-edge megafabs typical of Asia and the </w:t>
      </w:r>
      <w:r w:rsidRPr="00923415">
        <w:rPr>
          <w:sz w:val="18"/>
          <w:szCs w:val="18"/>
        </w:rPr>
        <w:t>US</w:t>
      </w:r>
      <w:r w:rsidRPr="00AA4F74">
        <w:rPr>
          <w:sz w:val="18"/>
          <w:szCs w:val="18"/>
        </w:rPr>
        <w:t>, which achieve significantly greater economies of scale. Evidence drawn from JRC, IFRI, Interface, and industry reports (McKinsey, BCG, SIA) supports this structural distinction.</w:t>
      </w:r>
    </w:p>
  </w:footnote>
  <w:footnote w:id="144">
    <w:p w14:paraId="444CC9FB" w14:textId="24DBD1D3"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AA4F74">
        <w:rPr>
          <w:rStyle w:val="Strong"/>
          <w:sz w:val="18"/>
          <w:szCs w:val="18"/>
        </w:rPr>
        <w:t>Semiconductor Industry Association (SIA)</w:t>
      </w:r>
      <w:r w:rsidRPr="00AA4F74">
        <w:rPr>
          <w:sz w:val="18"/>
          <w:szCs w:val="18"/>
        </w:rPr>
        <w:t xml:space="preserve"> and </w:t>
      </w:r>
      <w:r w:rsidRPr="00AA4F74">
        <w:rPr>
          <w:rStyle w:val="Strong"/>
          <w:sz w:val="18"/>
          <w:szCs w:val="18"/>
        </w:rPr>
        <w:t>Boston Consulting Group (BCG)</w:t>
      </w:r>
      <w:r w:rsidRPr="00AA4F74">
        <w:rPr>
          <w:sz w:val="18"/>
          <w:szCs w:val="18"/>
        </w:rPr>
        <w:t xml:space="preserve">, </w:t>
      </w:r>
      <w:r w:rsidRPr="00AA4F74">
        <w:rPr>
          <w:rStyle w:val="Emphasis"/>
          <w:sz w:val="18"/>
          <w:szCs w:val="18"/>
        </w:rPr>
        <w:t>Attracting Chips Investment: Industry Recommendations for Policymakers</w:t>
      </w:r>
      <w:r w:rsidRPr="00AA4F74">
        <w:rPr>
          <w:sz w:val="18"/>
          <w:szCs w:val="18"/>
        </w:rPr>
        <w:t>, August 2024.</w:t>
      </w:r>
    </w:p>
  </w:footnote>
  <w:footnote w:id="145">
    <w:p w14:paraId="50ED81A4" w14:textId="39F3475D"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AA4F74">
        <w:rPr>
          <w:sz w:val="18"/>
          <w:szCs w:val="18"/>
        </w:rPr>
        <w:t xml:space="preserve">Boston Consulting Group (2021), </w:t>
      </w:r>
      <w:r w:rsidRPr="00AA4F74">
        <w:rPr>
          <w:rStyle w:val="Emphasis"/>
          <w:sz w:val="18"/>
          <w:szCs w:val="18"/>
        </w:rPr>
        <w:t>Strengthening the Global Semiconductor Supply Chain: A report by BCG and the Semiconductor Industry Association (SIA).</w:t>
      </w:r>
    </w:p>
  </w:footnote>
  <w:footnote w:id="146">
    <w:p w14:paraId="42935A27" w14:textId="02181051"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AA4F74">
        <w:rPr>
          <w:sz w:val="18"/>
          <w:szCs w:val="18"/>
        </w:rPr>
        <w:t xml:space="preserve">Boston Consulting Group (2021), </w:t>
      </w:r>
      <w:r w:rsidRPr="00AA4F74">
        <w:rPr>
          <w:rStyle w:val="Emphasis"/>
          <w:sz w:val="18"/>
          <w:szCs w:val="18"/>
        </w:rPr>
        <w:t>Strengthening the Global Semiconductor Supply Chain: A report by BCG and the Semiconductor Industry Association (SIA).</w:t>
      </w:r>
    </w:p>
  </w:footnote>
  <w:footnote w:id="147">
    <w:p w14:paraId="29F66163" w14:textId="7E14E1EA"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AA4F74">
        <w:rPr>
          <w:sz w:val="18"/>
          <w:szCs w:val="18"/>
        </w:rPr>
        <w:t xml:space="preserve">Decision Etudes &amp; Conseil and YOLE Group, </w:t>
      </w:r>
      <w:r w:rsidRPr="00AA4F74">
        <w:rPr>
          <w:rStyle w:val="Emphasis"/>
          <w:sz w:val="18"/>
          <w:szCs w:val="18"/>
        </w:rPr>
        <w:t>Competitiveness of the EU semiconductor manufacturing industry</w:t>
      </w:r>
      <w:r w:rsidRPr="00AA4F74">
        <w:rPr>
          <w:sz w:val="18"/>
          <w:szCs w:val="18"/>
        </w:rPr>
        <w:t xml:space="preserve">, </w:t>
      </w:r>
      <w:r>
        <w:rPr>
          <w:sz w:val="18"/>
          <w:szCs w:val="18"/>
        </w:rPr>
        <w:t>Nov.2025</w:t>
      </w:r>
    </w:p>
  </w:footnote>
  <w:footnote w:id="148">
    <w:p w14:paraId="6C02D6EC" w14:textId="634859BF"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AA4F74">
        <w:rPr>
          <w:rStyle w:val="Strong"/>
          <w:sz w:val="18"/>
          <w:szCs w:val="18"/>
        </w:rPr>
        <w:t>McKinsey &amp; Company (2025).</w:t>
      </w:r>
      <w:r w:rsidRPr="00AA4F74">
        <w:rPr>
          <w:sz w:val="18"/>
          <w:szCs w:val="18"/>
        </w:rPr>
        <w:t xml:space="preserve"> </w:t>
      </w:r>
      <w:r w:rsidRPr="00AA4F74">
        <w:rPr>
          <w:rStyle w:val="Emphasis"/>
          <w:sz w:val="18"/>
          <w:szCs w:val="18"/>
        </w:rPr>
        <w:t>Semiconductors have a big opportunity but barriers to scale remain.</w:t>
      </w:r>
      <w:r w:rsidRPr="00AA4F74">
        <w:rPr>
          <w:sz w:val="18"/>
          <w:szCs w:val="18"/>
        </w:rPr>
        <w:t xml:space="preserve"> February 2025.</w:t>
      </w:r>
    </w:p>
  </w:footnote>
  <w:footnote w:id="149">
    <w:p w14:paraId="43FC1245" w14:textId="661B0A2F"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AA4F74">
        <w:rPr>
          <w:sz w:val="18"/>
          <w:szCs w:val="18"/>
        </w:rPr>
        <w:t xml:space="preserve">McKinsey &amp; Company (2021), </w:t>
      </w:r>
      <w:r w:rsidRPr="00AA4F74">
        <w:rPr>
          <w:rStyle w:val="Emphasis"/>
          <w:sz w:val="18"/>
          <w:szCs w:val="18"/>
        </w:rPr>
        <w:t>McKinsey on Semiconductors: Creating value, pursuing innovation, and optimising operations.</w:t>
      </w:r>
    </w:p>
  </w:footnote>
  <w:footnote w:id="150">
    <w:p w14:paraId="3855C8B1" w14:textId="36628C02"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AA4F74">
        <w:rPr>
          <w:sz w:val="18"/>
          <w:szCs w:val="18"/>
        </w:rPr>
        <w:t xml:space="preserve">DECISION Études &amp; Conseil. (2025). </w:t>
      </w:r>
      <w:r w:rsidRPr="00AA4F74">
        <w:rPr>
          <w:rStyle w:val="Emphasis"/>
          <w:sz w:val="18"/>
          <w:szCs w:val="18"/>
        </w:rPr>
        <w:t>European consumption of mainstream chips from third countries: Draft final report</w:t>
      </w:r>
      <w:r w:rsidRPr="00AA4F74">
        <w:rPr>
          <w:sz w:val="18"/>
          <w:szCs w:val="18"/>
        </w:rPr>
        <w:t xml:space="preserve"> (Contract No. EC-CNECT/2024/LVP/0074). European Commission, Directorate-General for Communications Networks, Content and Technology (DG CNECT).</w:t>
      </w:r>
    </w:p>
  </w:footnote>
  <w:footnote w:id="151">
    <w:p w14:paraId="4E011028" w14:textId="4C155D2A"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AA4F74">
        <w:rPr>
          <w:sz w:val="18"/>
          <w:szCs w:val="18"/>
        </w:rPr>
        <w:t xml:space="preserve">DECISION Études &amp; Conseil. (2025). </w:t>
      </w:r>
      <w:r w:rsidRPr="00AA4F74">
        <w:rPr>
          <w:rStyle w:val="Emphasis"/>
          <w:sz w:val="18"/>
          <w:szCs w:val="18"/>
        </w:rPr>
        <w:t>European consumption of mainstream chips from third countrie</w:t>
      </w:r>
      <w:r>
        <w:rPr>
          <w:rStyle w:val="Emphasis"/>
          <w:sz w:val="18"/>
          <w:szCs w:val="18"/>
        </w:rPr>
        <w:t>s</w:t>
      </w:r>
    </w:p>
  </w:footnote>
  <w:footnote w:id="152">
    <w:p w14:paraId="19D5B0EA" w14:textId="3008AEB3"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441AE7">
        <w:rPr>
          <w:sz w:val="18"/>
          <w:szCs w:val="18"/>
        </w:rPr>
        <w:t xml:space="preserve"> </w:t>
      </w:r>
      <w:r w:rsidRPr="00AA4F74">
        <w:rPr>
          <w:rStyle w:val="Strong"/>
          <w:sz w:val="18"/>
          <w:szCs w:val="18"/>
        </w:rPr>
        <w:t>Boston Consulting Group (BCG) &amp; Semiconductor Industry Association (SIA).</w:t>
      </w:r>
      <w:r w:rsidRPr="00AA4F74">
        <w:rPr>
          <w:sz w:val="18"/>
          <w:szCs w:val="18"/>
        </w:rPr>
        <w:t xml:space="preserve"> (May 2024). </w:t>
      </w:r>
      <w:r w:rsidRPr="00AA4F74">
        <w:rPr>
          <w:rStyle w:val="Emphasis"/>
          <w:sz w:val="18"/>
          <w:szCs w:val="18"/>
        </w:rPr>
        <w:t>Emerging Resilience in the Semiconductor Supply Chain.</w:t>
      </w:r>
    </w:p>
  </w:footnote>
  <w:footnote w:id="153">
    <w:p w14:paraId="35F0C771" w14:textId="4D71AFCD"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441AE7">
        <w:rPr>
          <w:sz w:val="18"/>
          <w:szCs w:val="18"/>
        </w:rPr>
        <w:t xml:space="preserve"> </w:t>
      </w:r>
      <w:r w:rsidRPr="00AA4F74">
        <w:rPr>
          <w:sz w:val="18"/>
          <w:szCs w:val="18"/>
        </w:rPr>
        <w:t xml:space="preserve">Decision Etudes &amp; Conseil and YOLE Group, </w:t>
      </w:r>
      <w:r w:rsidRPr="00AA4F74">
        <w:rPr>
          <w:rStyle w:val="Emphasis"/>
          <w:sz w:val="18"/>
          <w:szCs w:val="18"/>
        </w:rPr>
        <w:t>Competitiveness of the EU semiconductor manufacturing industry</w:t>
      </w:r>
      <w:r w:rsidRPr="00AA4F74">
        <w:rPr>
          <w:sz w:val="18"/>
          <w:szCs w:val="18"/>
        </w:rPr>
        <w:t xml:space="preserve">, </w:t>
      </w:r>
      <w:r>
        <w:rPr>
          <w:sz w:val="18"/>
          <w:szCs w:val="18"/>
        </w:rPr>
        <w:t>Nov.2025</w:t>
      </w:r>
    </w:p>
  </w:footnote>
  <w:footnote w:id="154">
    <w:p w14:paraId="712009FF" w14:textId="42445ABF"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 xml:space="preserve">) </w:t>
      </w:r>
      <w:r w:rsidRPr="00AA4F74">
        <w:rPr>
          <w:rStyle w:val="Strong"/>
          <w:sz w:val="18"/>
          <w:szCs w:val="18"/>
        </w:rPr>
        <w:t>McKinsey &amp; Company (2025).</w:t>
      </w:r>
      <w:r w:rsidRPr="00AA4F74">
        <w:rPr>
          <w:sz w:val="18"/>
          <w:szCs w:val="18"/>
        </w:rPr>
        <w:t xml:space="preserve"> </w:t>
      </w:r>
      <w:r w:rsidRPr="00AA4F74">
        <w:rPr>
          <w:rStyle w:val="Emphasis"/>
          <w:sz w:val="18"/>
          <w:szCs w:val="18"/>
        </w:rPr>
        <w:t>Semiconductors have a big opportunity but barriers to scale remain.</w:t>
      </w:r>
      <w:r w:rsidRPr="00AA4F74">
        <w:rPr>
          <w:sz w:val="18"/>
          <w:szCs w:val="18"/>
        </w:rPr>
        <w:t xml:space="preserve"> February 2025.</w:t>
      </w:r>
    </w:p>
  </w:footnote>
  <w:footnote w:id="155">
    <w:p w14:paraId="752C7491" w14:textId="46C01027"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8A31A4">
        <w:rPr>
          <w:sz w:val="18"/>
          <w:szCs w:val="18"/>
        </w:rPr>
        <w:t xml:space="preserve"> </w:t>
      </w:r>
      <w:r w:rsidRPr="00AA4F74">
        <w:rPr>
          <w:sz w:val="18"/>
          <w:szCs w:val="18"/>
        </w:rPr>
        <w:t xml:space="preserve">Decision Etudes &amp; Conseil and YOLE Group, </w:t>
      </w:r>
      <w:r w:rsidRPr="00AA4F74">
        <w:rPr>
          <w:rStyle w:val="Emphasis"/>
          <w:sz w:val="18"/>
          <w:szCs w:val="18"/>
        </w:rPr>
        <w:t>Competitiveness of the EU semiconductor manufacturing industry</w:t>
      </w:r>
      <w:r w:rsidRPr="00AA4F74">
        <w:rPr>
          <w:sz w:val="18"/>
          <w:szCs w:val="18"/>
        </w:rPr>
        <w:t xml:space="preserve">, </w:t>
      </w:r>
      <w:r>
        <w:rPr>
          <w:sz w:val="18"/>
          <w:szCs w:val="18"/>
        </w:rPr>
        <w:t>Nov.2025</w:t>
      </w:r>
    </w:p>
  </w:footnote>
  <w:footnote w:id="156">
    <w:p w14:paraId="4580E579" w14:textId="020DFF50" w:rsidR="00EC49AF" w:rsidRPr="007B5862"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 xml:space="preserve">) </w:t>
      </w:r>
      <w:r w:rsidRPr="00AA4F74">
        <w:rPr>
          <w:sz w:val="18"/>
          <w:szCs w:val="18"/>
        </w:rPr>
        <w:t xml:space="preserve">DECISION Études &amp; Conseil. (2025). </w:t>
      </w:r>
      <w:r w:rsidRPr="00AA4F74">
        <w:rPr>
          <w:rStyle w:val="Emphasis"/>
          <w:sz w:val="18"/>
          <w:szCs w:val="18"/>
        </w:rPr>
        <w:t>European consumption of mainstream chips from third countries</w:t>
      </w:r>
    </w:p>
  </w:footnote>
  <w:footnote w:id="157">
    <w:p w14:paraId="7CF0241A" w14:textId="51541CFA"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441AE7">
        <w:rPr>
          <w:sz w:val="18"/>
          <w:szCs w:val="18"/>
        </w:rPr>
        <w:t xml:space="preserve"> </w:t>
      </w:r>
      <w:r w:rsidRPr="00AA4F74">
        <w:rPr>
          <w:rStyle w:val="Strong"/>
          <w:sz w:val="18"/>
          <w:szCs w:val="18"/>
        </w:rPr>
        <w:t>McKinsey &amp; Company (2025).</w:t>
      </w:r>
      <w:r w:rsidRPr="00AA4F74">
        <w:rPr>
          <w:sz w:val="18"/>
          <w:szCs w:val="18"/>
        </w:rPr>
        <w:t xml:space="preserve"> </w:t>
      </w:r>
      <w:r w:rsidRPr="00AA4F74">
        <w:rPr>
          <w:rStyle w:val="Emphasis"/>
          <w:sz w:val="18"/>
          <w:szCs w:val="18"/>
        </w:rPr>
        <w:t>Semiconductors have a big opportunity but barriers to scale remain.</w:t>
      </w:r>
      <w:r w:rsidRPr="00AA4F74">
        <w:rPr>
          <w:sz w:val="18"/>
          <w:szCs w:val="18"/>
        </w:rPr>
        <w:t xml:space="preserve"> February 2025.</w:t>
      </w:r>
    </w:p>
  </w:footnote>
  <w:footnote w:id="158">
    <w:p w14:paraId="23A5EEC9" w14:textId="4E75D4DF"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441AE7">
        <w:rPr>
          <w:sz w:val="18"/>
          <w:szCs w:val="18"/>
        </w:rPr>
        <w:t xml:space="preserve"> </w:t>
      </w:r>
      <w:r w:rsidRPr="00AA4F74">
        <w:rPr>
          <w:sz w:val="18"/>
          <w:szCs w:val="18"/>
        </w:rPr>
        <w:t xml:space="preserve">McKinsey &amp; Company (2021), </w:t>
      </w:r>
      <w:r w:rsidRPr="00AA4F74">
        <w:rPr>
          <w:rStyle w:val="Emphasis"/>
          <w:sz w:val="18"/>
          <w:szCs w:val="18"/>
        </w:rPr>
        <w:t>McKinsey on Semiconductors: Creating value, pursuing innovation, and optimising operations.</w:t>
      </w:r>
    </w:p>
  </w:footnote>
  <w:footnote w:id="159">
    <w:p w14:paraId="2FC659E1" w14:textId="19745EBC"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Pr>
          <w:sz w:val="18"/>
          <w:szCs w:val="18"/>
        </w:rPr>
        <w:t xml:space="preserve"> </w:t>
      </w:r>
      <w:r w:rsidRPr="00AA4F74">
        <w:rPr>
          <w:sz w:val="18"/>
          <w:szCs w:val="18"/>
        </w:rPr>
        <w:t xml:space="preserve">Boston Consulting Group (2021), </w:t>
      </w:r>
      <w:r w:rsidRPr="00AA4F74">
        <w:rPr>
          <w:rStyle w:val="Emphasis"/>
          <w:sz w:val="18"/>
          <w:szCs w:val="18"/>
        </w:rPr>
        <w:t>Strengthening the Global Semiconductor Supply Chain: A report by BCG and the Semiconductor Industry Association (SIA).</w:t>
      </w:r>
    </w:p>
  </w:footnote>
  <w:footnote w:id="160">
    <w:p w14:paraId="6772E3CE" w14:textId="2062FF1B" w:rsidR="00EC49AF" w:rsidRPr="00AA4F74" w:rsidRDefault="00EC49AF" w:rsidP="00EC49AF">
      <w:pPr>
        <w:pStyle w:val="FootnoteText"/>
        <w:rPr>
          <w:sz w:val="18"/>
          <w:szCs w:val="18"/>
        </w:rPr>
      </w:pPr>
      <w:r>
        <w:rPr>
          <w:sz w:val="18"/>
          <w:szCs w:val="18"/>
          <w:lang w:val="it-IT"/>
        </w:rPr>
        <w:t>(</w:t>
      </w:r>
      <w:r w:rsidRPr="00923415">
        <w:rPr>
          <w:rStyle w:val="FootnoteReference"/>
          <w:sz w:val="18"/>
          <w:szCs w:val="18"/>
        </w:rPr>
        <w:footnoteRef/>
      </w:r>
      <w:r>
        <w:rPr>
          <w:sz w:val="18"/>
          <w:szCs w:val="18"/>
          <w:lang w:val="it-IT"/>
        </w:rPr>
        <w:t>)</w:t>
      </w:r>
      <w:r w:rsidRPr="00923415">
        <w:rPr>
          <w:sz w:val="18"/>
          <w:szCs w:val="18"/>
          <w:lang w:val="it-IT"/>
        </w:rPr>
        <w:t xml:space="preserve">  Cerutti, Isabella &amp; Nardo, Michela (2023). </w:t>
      </w:r>
      <w:r w:rsidRPr="00AA4F74">
        <w:rPr>
          <w:rStyle w:val="Emphasis"/>
          <w:sz w:val="18"/>
          <w:szCs w:val="18"/>
        </w:rPr>
        <w:t>Semiconductors in the EU: State of play, future trends and vulnerabilities of the semiconductor supply chain</w:t>
      </w:r>
      <w:r w:rsidRPr="00AA4F74">
        <w:rPr>
          <w:sz w:val="18"/>
          <w:szCs w:val="18"/>
        </w:rPr>
        <w:t>. JRC Technical Report, JRC133850.</w:t>
      </w:r>
    </w:p>
  </w:footnote>
  <w:footnote w:id="161">
    <w:p w14:paraId="3D9A3239" w14:textId="10E17A1D"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Pr>
          <w:sz w:val="18"/>
          <w:szCs w:val="18"/>
        </w:rPr>
        <w:t xml:space="preserve"> </w:t>
      </w:r>
      <w:r w:rsidRPr="00AA4F74">
        <w:rPr>
          <w:sz w:val="18"/>
          <w:szCs w:val="18"/>
        </w:rPr>
        <w:t xml:space="preserve">McKinsey &amp; Company (2021), </w:t>
      </w:r>
      <w:r w:rsidRPr="00AA4F74">
        <w:rPr>
          <w:rStyle w:val="Emphasis"/>
          <w:sz w:val="18"/>
          <w:szCs w:val="18"/>
        </w:rPr>
        <w:t>McKinsey on Semiconductors: Creating value, pursuing innovation, and optimising operations.</w:t>
      </w:r>
    </w:p>
  </w:footnote>
  <w:footnote w:id="162">
    <w:p w14:paraId="5F858D1F" w14:textId="35167311"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Pr>
          <w:sz w:val="18"/>
          <w:szCs w:val="18"/>
        </w:rPr>
        <w:t xml:space="preserve"> </w:t>
      </w:r>
      <w:r w:rsidRPr="00AA4F74">
        <w:rPr>
          <w:sz w:val="18"/>
          <w:szCs w:val="18"/>
        </w:rPr>
        <w:t xml:space="preserve">Boston Consulting Group (2021), </w:t>
      </w:r>
      <w:r w:rsidRPr="00AA4F74">
        <w:rPr>
          <w:rStyle w:val="Emphasis"/>
          <w:sz w:val="18"/>
          <w:szCs w:val="18"/>
        </w:rPr>
        <w:t>Strengthening the Global Semiconductor Supply Chain: A report by BCG and the Semiconductor Industry Association (SIA).</w:t>
      </w:r>
    </w:p>
  </w:footnote>
  <w:footnote w:id="163">
    <w:p w14:paraId="2183C4FE" w14:textId="3949266C" w:rsidR="00EC49AF" w:rsidRPr="00AA4F74" w:rsidRDefault="00EC49AF" w:rsidP="00EC49AF">
      <w:pPr>
        <w:pStyle w:val="FootnoteText"/>
        <w:rPr>
          <w:sz w:val="18"/>
          <w:szCs w:val="18"/>
        </w:rPr>
      </w:pPr>
      <w:r>
        <w:rPr>
          <w:sz w:val="18"/>
          <w:szCs w:val="18"/>
          <w:lang w:val="it-IT"/>
        </w:rPr>
        <w:t>(</w:t>
      </w:r>
      <w:r w:rsidRPr="00923415">
        <w:rPr>
          <w:rStyle w:val="FootnoteReference"/>
          <w:sz w:val="18"/>
          <w:szCs w:val="18"/>
        </w:rPr>
        <w:footnoteRef/>
      </w:r>
      <w:r>
        <w:rPr>
          <w:sz w:val="18"/>
          <w:szCs w:val="18"/>
          <w:lang w:val="it-IT"/>
        </w:rPr>
        <w:t>)</w:t>
      </w:r>
      <w:r w:rsidRPr="00923415">
        <w:rPr>
          <w:sz w:val="18"/>
          <w:szCs w:val="18"/>
          <w:lang w:val="it-IT"/>
        </w:rPr>
        <w:t xml:space="preserve">  Cerutti, Isabella &amp; Nardo, Michela (2023). </w:t>
      </w:r>
      <w:r w:rsidRPr="00AA4F74">
        <w:rPr>
          <w:rStyle w:val="Emphasis"/>
          <w:sz w:val="18"/>
          <w:szCs w:val="18"/>
        </w:rPr>
        <w:t>Semiconductors in the EU: State of play, future trends and vulnerabilities of the semiconductor supply chain</w:t>
      </w:r>
      <w:r w:rsidRPr="00AA4F74">
        <w:rPr>
          <w:sz w:val="18"/>
          <w:szCs w:val="18"/>
        </w:rPr>
        <w:t>. JRC Technical Report, JRC133850.</w:t>
      </w:r>
    </w:p>
  </w:footnote>
  <w:footnote w:id="164">
    <w:p w14:paraId="5728F8DF" w14:textId="4653CF81"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Pr>
          <w:sz w:val="18"/>
          <w:szCs w:val="18"/>
        </w:rPr>
        <w:t xml:space="preserve"> </w:t>
      </w:r>
      <w:r w:rsidRPr="00AA4F74">
        <w:rPr>
          <w:sz w:val="18"/>
          <w:szCs w:val="18"/>
        </w:rPr>
        <w:t xml:space="preserve">Boston Consulting Group (BCG) and Semiconductor Industry Association (SIA) (2024), </w:t>
      </w:r>
      <w:r w:rsidRPr="00AA4F74">
        <w:rPr>
          <w:i/>
          <w:sz w:val="18"/>
          <w:szCs w:val="18"/>
        </w:rPr>
        <w:t>Attracting chips investment: Industry recommendations for policymakers</w:t>
      </w:r>
      <w:r w:rsidRPr="00AA4F74">
        <w:rPr>
          <w:sz w:val="18"/>
          <w:szCs w:val="18"/>
        </w:rPr>
        <w:t>, August 2024.</w:t>
      </w:r>
    </w:p>
  </w:footnote>
  <w:footnote w:id="165">
    <w:p w14:paraId="59E0707B" w14:textId="184C72A4"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Pr>
          <w:sz w:val="18"/>
          <w:szCs w:val="18"/>
        </w:rPr>
        <w:t xml:space="preserve"> </w:t>
      </w:r>
      <w:r w:rsidRPr="00AA4F74">
        <w:rPr>
          <w:rStyle w:val="Strong"/>
          <w:sz w:val="18"/>
          <w:szCs w:val="18"/>
        </w:rPr>
        <w:t>McKinsey &amp; Company (2025).</w:t>
      </w:r>
      <w:r w:rsidRPr="00AA4F74">
        <w:rPr>
          <w:sz w:val="18"/>
          <w:szCs w:val="18"/>
        </w:rPr>
        <w:t xml:space="preserve"> </w:t>
      </w:r>
      <w:r w:rsidRPr="00AA4F74">
        <w:rPr>
          <w:rStyle w:val="Emphasis"/>
          <w:sz w:val="18"/>
          <w:szCs w:val="18"/>
        </w:rPr>
        <w:t>Semiconductors have a big opportunity but barriers to scale remain.</w:t>
      </w:r>
      <w:r w:rsidRPr="00AA4F74">
        <w:rPr>
          <w:sz w:val="18"/>
          <w:szCs w:val="18"/>
        </w:rPr>
        <w:t xml:space="preserve"> February 2025.</w:t>
      </w:r>
    </w:p>
  </w:footnote>
  <w:footnote w:id="166">
    <w:p w14:paraId="124806FD" w14:textId="47D6AAD6"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Pr>
          <w:sz w:val="18"/>
          <w:szCs w:val="18"/>
        </w:rPr>
        <w:t xml:space="preserve"> </w:t>
      </w:r>
      <w:r w:rsidRPr="00AA4F74">
        <w:rPr>
          <w:sz w:val="18"/>
          <w:szCs w:val="18"/>
        </w:rPr>
        <w:t xml:space="preserve">Boston Consulting Group (BCG) and Semiconductor Industry Association (SIA) (2024), </w:t>
      </w:r>
      <w:r w:rsidRPr="00AA4F74">
        <w:rPr>
          <w:i/>
          <w:sz w:val="18"/>
          <w:szCs w:val="18"/>
        </w:rPr>
        <w:t>Attracting chips investment: Industry recommendations for policymakers</w:t>
      </w:r>
      <w:r w:rsidRPr="00AA4F74">
        <w:rPr>
          <w:sz w:val="18"/>
          <w:szCs w:val="18"/>
        </w:rPr>
        <w:t>, August 2024.</w:t>
      </w:r>
    </w:p>
  </w:footnote>
  <w:footnote w:id="167">
    <w:p w14:paraId="7040C564" w14:textId="7370F540"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AA4F74">
        <w:rPr>
          <w:sz w:val="18"/>
          <w:szCs w:val="18"/>
        </w:rPr>
        <w:t xml:space="preserve"> Building on BSC figure, converted to EUR from USD. </w:t>
      </w:r>
    </w:p>
  </w:footnote>
  <w:footnote w:id="168">
    <w:p w14:paraId="06B83D81" w14:textId="5CBA91F1"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2440D0">
        <w:rPr>
          <w:sz w:val="18"/>
          <w:szCs w:val="18"/>
        </w:rPr>
        <w:t xml:space="preserve"> </w:t>
      </w:r>
      <w:r w:rsidRPr="00AA4F74">
        <w:rPr>
          <w:sz w:val="18"/>
          <w:szCs w:val="18"/>
        </w:rPr>
        <w:t xml:space="preserve">Decision Etudes &amp; Conseil and YOLE Group, </w:t>
      </w:r>
      <w:r w:rsidRPr="00AA4F74">
        <w:rPr>
          <w:rStyle w:val="Emphasis"/>
          <w:sz w:val="18"/>
          <w:szCs w:val="18"/>
        </w:rPr>
        <w:t>Competitiveness of the EU semiconductor manufacturing industry</w:t>
      </w:r>
      <w:r w:rsidRPr="00AA4F74">
        <w:rPr>
          <w:sz w:val="18"/>
          <w:szCs w:val="18"/>
        </w:rPr>
        <w:t xml:space="preserve">, </w:t>
      </w:r>
      <w:r>
        <w:rPr>
          <w:sz w:val="18"/>
          <w:szCs w:val="18"/>
        </w:rPr>
        <w:t>Nov.2025</w:t>
      </w:r>
    </w:p>
  </w:footnote>
  <w:footnote w:id="169">
    <w:p w14:paraId="651C3C20" w14:textId="7A71A97F"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4C5C3D">
        <w:rPr>
          <w:sz w:val="18"/>
          <w:szCs w:val="18"/>
        </w:rPr>
        <w:t xml:space="preserve"> </w:t>
      </w:r>
      <w:r w:rsidRPr="00AA4F74">
        <w:rPr>
          <w:rStyle w:val="Strong"/>
          <w:sz w:val="18"/>
          <w:szCs w:val="18"/>
        </w:rPr>
        <w:t>McKinsey &amp; Company (2025).</w:t>
      </w:r>
      <w:r w:rsidRPr="00AA4F74">
        <w:rPr>
          <w:sz w:val="18"/>
          <w:szCs w:val="18"/>
        </w:rPr>
        <w:t xml:space="preserve"> </w:t>
      </w:r>
      <w:r w:rsidRPr="00AA4F74">
        <w:rPr>
          <w:rStyle w:val="Emphasis"/>
          <w:sz w:val="18"/>
          <w:szCs w:val="18"/>
        </w:rPr>
        <w:t>Semiconductors have a big opportunity but barriers to scale remain.</w:t>
      </w:r>
      <w:r w:rsidRPr="00AA4F74">
        <w:rPr>
          <w:sz w:val="18"/>
          <w:szCs w:val="18"/>
        </w:rPr>
        <w:t xml:space="preserve"> February 2025.</w:t>
      </w:r>
    </w:p>
  </w:footnote>
  <w:footnote w:id="170">
    <w:p w14:paraId="073B95A8" w14:textId="5C3165DE"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4C5C3D">
        <w:rPr>
          <w:sz w:val="18"/>
          <w:szCs w:val="18"/>
        </w:rPr>
        <w:t xml:space="preserve"> </w:t>
      </w:r>
      <w:r w:rsidRPr="00923415">
        <w:rPr>
          <w:sz w:val="18"/>
          <w:szCs w:val="18"/>
        </w:rPr>
        <w:t>IDC “Semiconductors Market Data by Feature Size, Sector, and Region”</w:t>
      </w:r>
      <w:r w:rsidRPr="00AA4F74">
        <w:rPr>
          <w:sz w:val="18"/>
          <w:szCs w:val="18"/>
        </w:rPr>
        <w:t xml:space="preserve"> </w:t>
      </w:r>
      <w:r w:rsidRPr="00923415">
        <w:rPr>
          <w:sz w:val="18"/>
          <w:szCs w:val="18"/>
        </w:rPr>
        <w:t>Report</w:t>
      </w:r>
    </w:p>
  </w:footnote>
  <w:footnote w:id="171">
    <w:p w14:paraId="6FE8477F" w14:textId="3A18759E" w:rsidR="00EC49AF" w:rsidRPr="00F5084F" w:rsidRDefault="00EC49AF" w:rsidP="00EC49AF">
      <w:pPr>
        <w:pStyle w:val="FootnoteText"/>
        <w:rPr>
          <w:sz w:val="18"/>
          <w:szCs w:val="18"/>
          <w:lang w:val="en-US"/>
        </w:rPr>
      </w:pPr>
      <w:r>
        <w:rPr>
          <w:sz w:val="18"/>
          <w:szCs w:val="18"/>
        </w:rPr>
        <w:t>(</w:t>
      </w:r>
      <w:r w:rsidRPr="00923415">
        <w:rPr>
          <w:rStyle w:val="FootnoteReference"/>
          <w:sz w:val="18"/>
          <w:szCs w:val="18"/>
        </w:rPr>
        <w:footnoteRef/>
      </w:r>
      <w:r>
        <w:rPr>
          <w:sz w:val="18"/>
          <w:szCs w:val="18"/>
        </w:rPr>
        <w:t>)</w:t>
      </w:r>
      <w:r w:rsidRPr="00AA4F74">
        <w:rPr>
          <w:sz w:val="18"/>
          <w:szCs w:val="18"/>
        </w:rPr>
        <w:t xml:space="preserve"> The reference to “smaller average fab size” is based on evidence that Europe’s semiconductor ecosystem is dominated by mid-scale fabs focused on mature-node, automotive, power, and analog manufacturing, rather than the large leading-edge megafabs typical of</w:t>
      </w:r>
      <w:r w:rsidRPr="00F5084F">
        <w:rPr>
          <w:sz w:val="18"/>
          <w:szCs w:val="18"/>
        </w:rPr>
        <w:t xml:space="preserve"> </w:t>
      </w:r>
      <w:r w:rsidRPr="00AA4F74">
        <w:rPr>
          <w:sz w:val="18"/>
          <w:szCs w:val="18"/>
        </w:rPr>
        <w:t xml:space="preserve">Asia and the </w:t>
      </w:r>
      <w:r w:rsidRPr="00923415">
        <w:rPr>
          <w:sz w:val="18"/>
          <w:szCs w:val="18"/>
        </w:rPr>
        <w:t>US</w:t>
      </w:r>
      <w:r w:rsidRPr="00AA4F74">
        <w:rPr>
          <w:sz w:val="18"/>
          <w:szCs w:val="18"/>
        </w:rPr>
        <w:t>, which achieve significantly greater economies of scale. Evidence drawn from JRC, IFRI, Interface, and industry reports (McKinsey, BCG, SIA) supports this structural distinction.</w:t>
      </w:r>
    </w:p>
  </w:footnote>
  <w:footnote w:id="172">
    <w:p w14:paraId="3D0BBCDC" w14:textId="6E1DD4E1"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Pr>
          <w:sz w:val="18"/>
          <w:szCs w:val="18"/>
        </w:rPr>
        <w:t xml:space="preserve"> </w:t>
      </w:r>
      <w:r w:rsidRPr="00AA4F74">
        <w:rPr>
          <w:sz w:val="18"/>
          <w:szCs w:val="18"/>
        </w:rPr>
        <w:t xml:space="preserve">European Court of Auditors. (2025). </w:t>
      </w:r>
      <w:r w:rsidRPr="00AA4F74">
        <w:rPr>
          <w:rStyle w:val="Emphasis"/>
          <w:sz w:val="18"/>
          <w:szCs w:val="18"/>
        </w:rPr>
        <w:t>Special Report 12/2025 – The EU’s strategy for microchips: Reasonable progress in its implementation, but the Chips Act is very unlikely to be sufficient to reach the overly ambitious Digital Decade target.</w:t>
      </w:r>
    </w:p>
  </w:footnote>
  <w:footnote w:id="173">
    <w:p w14:paraId="06592927" w14:textId="097CB6C6"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Pr>
          <w:sz w:val="18"/>
          <w:szCs w:val="18"/>
        </w:rPr>
        <w:t xml:space="preserve"> </w:t>
      </w:r>
      <w:r w:rsidRPr="00AA4F74">
        <w:rPr>
          <w:sz w:val="18"/>
          <w:szCs w:val="18"/>
        </w:rPr>
        <w:t xml:space="preserve">Decision Etudes &amp; Conseil and YOLE Group, </w:t>
      </w:r>
      <w:r w:rsidRPr="00AA4F74">
        <w:rPr>
          <w:rStyle w:val="Emphasis"/>
          <w:sz w:val="18"/>
          <w:szCs w:val="18"/>
        </w:rPr>
        <w:t>Competitiveness of the EU semiconductor manufacturing industry</w:t>
      </w:r>
      <w:r w:rsidRPr="00AA4F74">
        <w:rPr>
          <w:sz w:val="18"/>
          <w:szCs w:val="18"/>
        </w:rPr>
        <w:t xml:space="preserve">, </w:t>
      </w:r>
      <w:r>
        <w:rPr>
          <w:sz w:val="18"/>
          <w:szCs w:val="18"/>
        </w:rPr>
        <w:t>Nov.2025</w:t>
      </w:r>
    </w:p>
  </w:footnote>
  <w:footnote w:id="174">
    <w:p w14:paraId="258C7FDB" w14:textId="107C874D"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Pr>
          <w:sz w:val="18"/>
          <w:szCs w:val="18"/>
        </w:rPr>
        <w:t xml:space="preserve"> </w:t>
      </w:r>
      <w:r w:rsidRPr="00AA4F74">
        <w:rPr>
          <w:sz w:val="18"/>
          <w:szCs w:val="18"/>
        </w:rPr>
        <w:t xml:space="preserve">Decision Etudes &amp; Conseil and YOLE Group, </w:t>
      </w:r>
      <w:r w:rsidRPr="00AA4F74">
        <w:rPr>
          <w:rStyle w:val="Emphasis"/>
          <w:sz w:val="18"/>
          <w:szCs w:val="18"/>
        </w:rPr>
        <w:t>Competitiveness of the EU semiconductor manufacturing industry</w:t>
      </w:r>
      <w:r w:rsidRPr="00AA4F74">
        <w:rPr>
          <w:sz w:val="18"/>
          <w:szCs w:val="18"/>
        </w:rPr>
        <w:t xml:space="preserve">, </w:t>
      </w:r>
      <w:r>
        <w:rPr>
          <w:sz w:val="18"/>
          <w:szCs w:val="18"/>
        </w:rPr>
        <w:t>Nov.2025</w:t>
      </w:r>
    </w:p>
  </w:footnote>
  <w:footnote w:id="175">
    <w:p w14:paraId="1A11C15D" w14:textId="145F3F63"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Pr>
          <w:sz w:val="18"/>
          <w:szCs w:val="18"/>
        </w:rPr>
        <w:t xml:space="preserve"> </w:t>
      </w:r>
      <w:r w:rsidRPr="00AA4F74">
        <w:rPr>
          <w:sz w:val="18"/>
          <w:szCs w:val="18"/>
        </w:rPr>
        <w:t xml:space="preserve">European Court of Auditors. (2025). </w:t>
      </w:r>
      <w:r w:rsidRPr="00AA4F74">
        <w:rPr>
          <w:rStyle w:val="Emphasis"/>
          <w:sz w:val="18"/>
          <w:szCs w:val="18"/>
        </w:rPr>
        <w:t>Special Report 12/2025 – The EU’s strategy for microchips: Reasonable progress in its implementation, but the Chips Act is very unlikely to be sufficient to reach the overly ambitious Digital Decade target.</w:t>
      </w:r>
    </w:p>
  </w:footnote>
  <w:footnote w:id="176">
    <w:p w14:paraId="3633C73B" w14:textId="250F6519"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Pr>
          <w:sz w:val="18"/>
          <w:szCs w:val="18"/>
        </w:rPr>
        <w:t xml:space="preserve"> </w:t>
      </w:r>
      <w:r w:rsidRPr="00AA4F74">
        <w:rPr>
          <w:rStyle w:val="Strong"/>
          <w:sz w:val="18"/>
          <w:szCs w:val="18"/>
        </w:rPr>
        <w:t>McKinsey &amp; Company (2025).</w:t>
      </w:r>
      <w:r w:rsidRPr="00AA4F74">
        <w:rPr>
          <w:sz w:val="18"/>
          <w:szCs w:val="18"/>
        </w:rPr>
        <w:t xml:space="preserve"> </w:t>
      </w:r>
      <w:r w:rsidRPr="00AA4F74">
        <w:rPr>
          <w:rStyle w:val="Emphasis"/>
          <w:sz w:val="18"/>
          <w:szCs w:val="18"/>
        </w:rPr>
        <w:t>Semiconductors have a big opportunity but barriers to scale remain.</w:t>
      </w:r>
      <w:r w:rsidRPr="00AA4F74">
        <w:rPr>
          <w:sz w:val="18"/>
          <w:szCs w:val="18"/>
        </w:rPr>
        <w:t xml:space="preserve"> February 2025.</w:t>
      </w:r>
    </w:p>
  </w:footnote>
  <w:footnote w:id="177">
    <w:p w14:paraId="7B6EEFFB" w14:textId="5AA64965"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A71DA0">
        <w:rPr>
          <w:sz w:val="18"/>
          <w:szCs w:val="18"/>
        </w:rPr>
        <w:t xml:space="preserve"> </w:t>
      </w:r>
      <w:r w:rsidRPr="00AA4F74">
        <w:rPr>
          <w:sz w:val="18"/>
          <w:szCs w:val="18"/>
        </w:rPr>
        <w:t xml:space="preserve">Decision Etudes &amp; Conseil and YOLE Group, </w:t>
      </w:r>
      <w:r w:rsidRPr="00AA4F74">
        <w:rPr>
          <w:rStyle w:val="Emphasis"/>
          <w:sz w:val="18"/>
          <w:szCs w:val="18"/>
        </w:rPr>
        <w:t>Competitiveness of the EU semiconductor manufacturing industry</w:t>
      </w:r>
      <w:r w:rsidRPr="00AA4F74">
        <w:rPr>
          <w:sz w:val="18"/>
          <w:szCs w:val="18"/>
        </w:rPr>
        <w:t xml:space="preserve">, </w:t>
      </w:r>
      <w:r>
        <w:rPr>
          <w:sz w:val="18"/>
          <w:szCs w:val="18"/>
        </w:rPr>
        <w:t>Nov.2025</w:t>
      </w:r>
    </w:p>
  </w:footnote>
  <w:footnote w:id="178">
    <w:p w14:paraId="69F9704F" w14:textId="061EEDF1" w:rsidR="00EC49AF" w:rsidRPr="00923415"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A71DA0">
        <w:rPr>
          <w:sz w:val="18"/>
          <w:szCs w:val="18"/>
        </w:rPr>
        <w:t xml:space="preserve"> </w:t>
      </w:r>
      <w:r w:rsidRPr="00923415">
        <w:rPr>
          <w:sz w:val="18"/>
          <w:szCs w:val="18"/>
        </w:rPr>
        <w:t xml:space="preserve">Decision Etudes &amp; Conseil and YOLE Group, </w:t>
      </w:r>
      <w:r w:rsidRPr="00923415">
        <w:rPr>
          <w:rStyle w:val="Emphasis"/>
          <w:sz w:val="18"/>
          <w:szCs w:val="18"/>
        </w:rPr>
        <w:t>Competitiveness of the EU semiconductor manufacturing industry</w:t>
      </w:r>
      <w:r w:rsidRPr="00923415">
        <w:rPr>
          <w:sz w:val="18"/>
          <w:szCs w:val="18"/>
        </w:rPr>
        <w:t xml:space="preserve">, </w:t>
      </w:r>
      <w:r>
        <w:rPr>
          <w:sz w:val="18"/>
          <w:szCs w:val="18"/>
        </w:rPr>
        <w:t>Nov.2025</w:t>
      </w:r>
    </w:p>
  </w:footnote>
  <w:footnote w:id="179">
    <w:p w14:paraId="215677EB" w14:textId="6B9ADBCA" w:rsidR="00EC49AF" w:rsidRPr="00AA4F74" w:rsidRDefault="00EC49AF" w:rsidP="00EC49AF">
      <w:pPr>
        <w:pStyle w:val="FootnoteText"/>
        <w:rPr>
          <w:sz w:val="18"/>
          <w:szCs w:val="18"/>
        </w:rPr>
      </w:pPr>
      <w:r>
        <w:rPr>
          <w:sz w:val="18"/>
          <w:szCs w:val="18"/>
          <w:lang w:val="pl-PL"/>
        </w:rPr>
        <w:t>(</w:t>
      </w:r>
      <w:r w:rsidRPr="00923415">
        <w:rPr>
          <w:rStyle w:val="FootnoteReference"/>
          <w:sz w:val="18"/>
          <w:szCs w:val="18"/>
        </w:rPr>
        <w:footnoteRef/>
      </w:r>
      <w:r>
        <w:rPr>
          <w:sz w:val="18"/>
          <w:szCs w:val="18"/>
          <w:lang w:val="pl-PL"/>
        </w:rPr>
        <w:t>)</w:t>
      </w:r>
      <w:r w:rsidRPr="00923415" w:rsidDel="00A71DA0">
        <w:rPr>
          <w:sz w:val="18"/>
          <w:szCs w:val="18"/>
          <w:lang w:val="pl-PL"/>
        </w:rPr>
        <w:t xml:space="preserve"> </w:t>
      </w:r>
      <w:r w:rsidRPr="00923415">
        <w:rPr>
          <w:sz w:val="18"/>
          <w:szCs w:val="18"/>
          <w:lang w:val="pl-PL"/>
        </w:rPr>
        <w:t xml:space="preserve">Bonnet, P., Ciani, A., Molnar, J., &amp; Nardo, M. (2025). </w:t>
      </w:r>
      <w:r w:rsidRPr="00AA4F74">
        <w:rPr>
          <w:rStyle w:val="Emphasis"/>
          <w:sz w:val="18"/>
          <w:szCs w:val="18"/>
        </w:rPr>
        <w:t>EU’s strengths and weaknesses in the global semiconductor sector</w:t>
      </w:r>
      <w:r w:rsidRPr="00AA4F74">
        <w:rPr>
          <w:sz w:val="18"/>
          <w:szCs w:val="18"/>
        </w:rPr>
        <w:t xml:space="preserve"> (JRC141323, EUR 40253). Luxembourg: Publications Office of the European Union. </w:t>
      </w:r>
      <w:hyperlink r:id="rId31" w:history="1">
        <w:r w:rsidRPr="00AA4F74">
          <w:rPr>
            <w:rStyle w:val="Hyperlink"/>
            <w:sz w:val="18"/>
            <w:szCs w:val="18"/>
          </w:rPr>
          <w:t>https://doi.org/10.2760/6302476</w:t>
        </w:r>
      </w:hyperlink>
    </w:p>
  </w:footnote>
  <w:footnote w:id="180">
    <w:p w14:paraId="0D433775" w14:textId="1733E026"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A71DA0">
        <w:rPr>
          <w:sz w:val="18"/>
          <w:szCs w:val="18"/>
        </w:rPr>
        <w:t xml:space="preserve"> </w:t>
      </w:r>
      <w:r w:rsidRPr="00AA4F74">
        <w:rPr>
          <w:sz w:val="18"/>
          <w:szCs w:val="18"/>
        </w:rPr>
        <w:t xml:space="preserve">Ebrahimi, A. (2024). </w:t>
      </w:r>
      <w:r w:rsidRPr="00AA4F74">
        <w:rPr>
          <w:rStyle w:val="Emphasis"/>
          <w:sz w:val="18"/>
          <w:szCs w:val="18"/>
        </w:rPr>
        <w:t>Groundbreaking chip sovereignty: Europe’s strategic push in the semiconductor race.</w:t>
      </w:r>
      <w:r w:rsidRPr="00AA4F74">
        <w:rPr>
          <w:sz w:val="18"/>
          <w:szCs w:val="18"/>
        </w:rPr>
        <w:t xml:space="preserve"> Ifri Memos, Institut français des relations internationales (IFRI). ISBN 979-10-373-0874-0.</w:t>
      </w:r>
    </w:p>
  </w:footnote>
  <w:footnote w:id="181">
    <w:p w14:paraId="66B3491C" w14:textId="4EF6574E" w:rsidR="00EC49AF" w:rsidRPr="00BE61B0"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BE61B0">
        <w:rPr>
          <w:sz w:val="18"/>
          <w:szCs w:val="18"/>
        </w:rPr>
        <w:t xml:space="preserve">Decision Etudes &amp; Conseil and YOLE Group, </w:t>
      </w:r>
      <w:r w:rsidRPr="00BE61B0">
        <w:rPr>
          <w:rStyle w:val="Emphasis"/>
          <w:sz w:val="18"/>
          <w:szCs w:val="18"/>
        </w:rPr>
        <w:t>Competitiveness of the EU semiconductor manufacturing industry</w:t>
      </w:r>
      <w:r w:rsidRPr="00BE61B0">
        <w:rPr>
          <w:sz w:val="18"/>
          <w:szCs w:val="18"/>
        </w:rPr>
        <w:t>, Nov.2025</w:t>
      </w:r>
    </w:p>
  </w:footnote>
  <w:footnote w:id="182">
    <w:p w14:paraId="0708AD90" w14:textId="5C55F595" w:rsidR="00EC49AF" w:rsidRPr="00BE61B0"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BE61B0">
        <w:rPr>
          <w:sz w:val="18"/>
          <w:szCs w:val="18"/>
        </w:rPr>
        <w:t xml:space="preserve">Decision Etudes &amp; Conseil and YOLE Group, </w:t>
      </w:r>
      <w:r w:rsidRPr="00BE61B0">
        <w:rPr>
          <w:rStyle w:val="Emphasis"/>
          <w:sz w:val="18"/>
          <w:szCs w:val="18"/>
        </w:rPr>
        <w:t>Competitiveness of the EU semiconductor manufacturing industry</w:t>
      </w:r>
      <w:r w:rsidRPr="00BE61B0">
        <w:rPr>
          <w:sz w:val="18"/>
          <w:szCs w:val="18"/>
        </w:rPr>
        <w:t>, Nov.2025</w:t>
      </w:r>
    </w:p>
  </w:footnote>
  <w:footnote w:id="183">
    <w:p w14:paraId="72F7207C" w14:textId="706A4D3D"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BE61B0">
        <w:rPr>
          <w:sz w:val="18"/>
          <w:szCs w:val="18"/>
        </w:rPr>
        <w:t xml:space="preserve">Decision Etudes &amp; Conseil and YOLE Group, </w:t>
      </w:r>
      <w:r w:rsidRPr="00BE61B0">
        <w:rPr>
          <w:rStyle w:val="Emphasis"/>
          <w:sz w:val="18"/>
          <w:szCs w:val="18"/>
        </w:rPr>
        <w:t>Competitiveness of the EU semiconductor manufacturing industry</w:t>
      </w:r>
      <w:r w:rsidRPr="00BE61B0">
        <w:rPr>
          <w:sz w:val="18"/>
          <w:szCs w:val="18"/>
        </w:rPr>
        <w:t>, Nov.2025</w:t>
      </w:r>
    </w:p>
  </w:footnote>
  <w:footnote w:id="184">
    <w:p w14:paraId="0DA63793" w14:textId="2640771F" w:rsidR="00EC49AF" w:rsidRPr="0099663F" w:rsidRDefault="00EC49AF" w:rsidP="00EC49AF">
      <w:pPr>
        <w:pStyle w:val="FootnoteText"/>
        <w:rPr>
          <w:sz w:val="18"/>
          <w:szCs w:val="18"/>
        </w:rPr>
      </w:pPr>
      <w:r>
        <w:rPr>
          <w:sz w:val="18"/>
          <w:szCs w:val="18"/>
        </w:rPr>
        <w:t>(</w:t>
      </w:r>
      <w:r w:rsidRPr="0099663F">
        <w:rPr>
          <w:rStyle w:val="FootnoteReference"/>
          <w:sz w:val="18"/>
          <w:szCs w:val="18"/>
        </w:rPr>
        <w:footnoteRef/>
      </w:r>
      <w:r>
        <w:rPr>
          <w:sz w:val="18"/>
          <w:szCs w:val="18"/>
        </w:rPr>
        <w:t>)</w:t>
      </w:r>
      <w:r w:rsidRPr="0099663F">
        <w:rPr>
          <w:sz w:val="18"/>
          <w:szCs w:val="18"/>
        </w:rPr>
        <w:t xml:space="preserve"> The effective fiscal yield (τ) used in this model represents the average share of gross value added accruing to public finances through corporate, labour, and indirect taxation. Based on OECD (2024) and JRC (2025) fiscal incidence data, and calibrated using semiconductor sector margins (Deloitte 2021; McKinsey 2025), τ is set at 16 % for 2023–2029 and 17 % for 2030–2035. This corresponds to approximately 9 % of GVA from payroll and social contributions, 4–5 % from corporate income tax, and 2–3 % from indirect levies.</w:t>
      </w:r>
    </w:p>
  </w:footnote>
  <w:footnote w:id="185">
    <w:p w14:paraId="3CAEC610" w14:textId="5BE7EBC7" w:rsidR="00EC49AF" w:rsidRPr="0099663F" w:rsidRDefault="00EC49AF" w:rsidP="00EC49AF">
      <w:pPr>
        <w:pStyle w:val="FootnoteText"/>
        <w:rPr>
          <w:sz w:val="18"/>
          <w:szCs w:val="18"/>
          <w:lang w:val="mt-MT"/>
        </w:rPr>
      </w:pPr>
      <w:r>
        <w:rPr>
          <w:sz w:val="18"/>
          <w:szCs w:val="18"/>
        </w:rPr>
        <w:t>(</w:t>
      </w:r>
      <w:r w:rsidRPr="0099663F">
        <w:rPr>
          <w:rStyle w:val="FootnoteReference"/>
          <w:sz w:val="18"/>
          <w:szCs w:val="18"/>
        </w:rPr>
        <w:footnoteRef/>
      </w:r>
      <w:r>
        <w:rPr>
          <w:sz w:val="18"/>
          <w:szCs w:val="18"/>
        </w:rPr>
        <w:t>)</w:t>
      </w:r>
      <w:r w:rsidRPr="0099663F">
        <w:rPr>
          <w:sz w:val="18"/>
          <w:szCs w:val="18"/>
        </w:rPr>
        <w:t xml:space="preserve"> </w:t>
      </w:r>
      <w:r w:rsidRPr="0099663F">
        <w:rPr>
          <w:sz w:val="18"/>
          <w:szCs w:val="18"/>
          <w:lang w:val="mt-MT"/>
        </w:rPr>
        <w:t xml:space="preserve">Here the’ semiconductor sector’ refers to semiconductor manufacturers and not the broader semiconductor value chain. </w:t>
      </w:r>
    </w:p>
  </w:footnote>
  <w:footnote w:id="186">
    <w:p w14:paraId="17F12E7A" w14:textId="06BC5401" w:rsidR="00EC49AF" w:rsidRPr="0099663F" w:rsidRDefault="00EC49AF" w:rsidP="00EC49AF">
      <w:pPr>
        <w:pStyle w:val="FootnoteText"/>
        <w:rPr>
          <w:sz w:val="18"/>
          <w:szCs w:val="18"/>
        </w:rPr>
      </w:pPr>
      <w:r>
        <w:rPr>
          <w:sz w:val="18"/>
          <w:szCs w:val="18"/>
          <w:lang w:val="sv-SE"/>
        </w:rPr>
        <w:t>(</w:t>
      </w:r>
      <w:r w:rsidRPr="0099663F">
        <w:rPr>
          <w:rStyle w:val="FootnoteReference"/>
          <w:sz w:val="18"/>
          <w:szCs w:val="18"/>
        </w:rPr>
        <w:footnoteRef/>
      </w:r>
      <w:r>
        <w:rPr>
          <w:sz w:val="18"/>
          <w:szCs w:val="18"/>
          <w:lang w:val="sv-SE"/>
        </w:rPr>
        <w:t>)</w:t>
      </w:r>
      <w:r w:rsidRPr="0099663F">
        <w:rPr>
          <w:sz w:val="18"/>
          <w:szCs w:val="18"/>
          <w:lang w:val="sv-SE"/>
        </w:rPr>
        <w:t xml:space="preserve"> Bonnet, P., Ciani, A., Molnar, J., &amp; Nardo, M. (2025). </w:t>
      </w:r>
      <w:r w:rsidRPr="0099663F">
        <w:rPr>
          <w:rStyle w:val="Emphasis"/>
          <w:sz w:val="18"/>
          <w:szCs w:val="18"/>
        </w:rPr>
        <w:t>EU’s strengths and weaknesses in the global semiconductor sector</w:t>
      </w:r>
      <w:r w:rsidRPr="0099663F">
        <w:rPr>
          <w:sz w:val="18"/>
          <w:szCs w:val="18"/>
        </w:rPr>
        <w:t xml:space="preserve"> (EUR 40253 EN). Luxembourg: Publications Office of the European Union. https://doi.org/10.2760/6302476</w:t>
      </w:r>
    </w:p>
  </w:footnote>
  <w:footnote w:id="187">
    <w:p w14:paraId="1A90CFEB" w14:textId="5596E24C" w:rsidR="00EC49AF" w:rsidRPr="0099663F" w:rsidRDefault="00EC49AF" w:rsidP="00EC49AF">
      <w:pPr>
        <w:pStyle w:val="FootnoteText"/>
        <w:rPr>
          <w:sz w:val="18"/>
          <w:szCs w:val="18"/>
        </w:rPr>
      </w:pPr>
      <w:r>
        <w:rPr>
          <w:sz w:val="18"/>
          <w:szCs w:val="18"/>
          <w:lang w:val="sv-SE"/>
        </w:rPr>
        <w:t>(</w:t>
      </w:r>
      <w:r w:rsidRPr="0099663F">
        <w:rPr>
          <w:rStyle w:val="FootnoteReference"/>
          <w:sz w:val="18"/>
          <w:szCs w:val="18"/>
        </w:rPr>
        <w:footnoteRef/>
      </w:r>
      <w:r>
        <w:rPr>
          <w:sz w:val="18"/>
          <w:szCs w:val="18"/>
          <w:lang w:val="sv-SE"/>
        </w:rPr>
        <w:t>)</w:t>
      </w:r>
      <w:r w:rsidRPr="0099663F">
        <w:rPr>
          <w:sz w:val="18"/>
          <w:szCs w:val="18"/>
          <w:lang w:val="sv-SE"/>
        </w:rPr>
        <w:t xml:space="preserve"> Bonnet, P., Ciani, A., Molnar, J., &amp; Nardo, M. (2025). </w:t>
      </w:r>
      <w:r w:rsidRPr="0099663F">
        <w:rPr>
          <w:rStyle w:val="Emphasis"/>
          <w:sz w:val="18"/>
          <w:szCs w:val="18"/>
        </w:rPr>
        <w:t>EU’s strengths and weaknesses in the global semiconductor sector</w:t>
      </w:r>
      <w:r w:rsidRPr="0099663F">
        <w:rPr>
          <w:sz w:val="18"/>
          <w:szCs w:val="18"/>
        </w:rPr>
        <w:t xml:space="preserve"> (EUR 40253 EN). Luxembourg: Publications Office of the European Union. https://doi.org/10.2760/6302476</w:t>
      </w:r>
    </w:p>
  </w:footnote>
  <w:footnote w:id="188">
    <w:p w14:paraId="40853CCB" w14:textId="3921FFC4" w:rsidR="00EC49AF" w:rsidRPr="0099663F" w:rsidRDefault="00EC49AF" w:rsidP="00EC49AF">
      <w:pPr>
        <w:pStyle w:val="FootnoteText"/>
        <w:rPr>
          <w:sz w:val="18"/>
          <w:szCs w:val="18"/>
        </w:rPr>
      </w:pPr>
      <w:r>
        <w:rPr>
          <w:sz w:val="18"/>
          <w:szCs w:val="18"/>
          <w:lang w:val="sv-SE"/>
        </w:rPr>
        <w:t>(</w:t>
      </w:r>
      <w:r w:rsidRPr="0099663F">
        <w:rPr>
          <w:rStyle w:val="FootnoteReference"/>
          <w:sz w:val="18"/>
          <w:szCs w:val="18"/>
        </w:rPr>
        <w:footnoteRef/>
      </w:r>
      <w:r>
        <w:rPr>
          <w:sz w:val="18"/>
          <w:szCs w:val="18"/>
          <w:lang w:val="sv-SE"/>
        </w:rPr>
        <w:t>)</w:t>
      </w:r>
      <w:r w:rsidRPr="0099663F">
        <w:rPr>
          <w:sz w:val="18"/>
          <w:szCs w:val="18"/>
          <w:lang w:val="sv-SE"/>
        </w:rPr>
        <w:t xml:space="preserve">  Bonnet, P., Ciani, A., Molnar, J., &amp; Nardo, M. (2025). </w:t>
      </w:r>
      <w:r w:rsidRPr="0099663F">
        <w:rPr>
          <w:rStyle w:val="Emphasis"/>
          <w:sz w:val="18"/>
          <w:szCs w:val="18"/>
        </w:rPr>
        <w:t>EU’s strengths and weaknesses in the global semiconductor sector</w:t>
      </w:r>
      <w:r w:rsidRPr="0099663F">
        <w:rPr>
          <w:sz w:val="18"/>
          <w:szCs w:val="18"/>
        </w:rPr>
        <w:t xml:space="preserve"> (EUR 40253 EN). Luxembourg: Publications Office of the European Union. https://doi.org/10.2760/6302476</w:t>
      </w:r>
    </w:p>
  </w:footnote>
  <w:footnote w:id="189">
    <w:p w14:paraId="527A0A17" w14:textId="7A626697" w:rsidR="00EC49AF" w:rsidRPr="00AA4F74" w:rsidRDefault="00EC49AF" w:rsidP="00EC49AF">
      <w:pPr>
        <w:pStyle w:val="FootnoteText"/>
        <w:rPr>
          <w:sz w:val="18"/>
          <w:szCs w:val="18"/>
        </w:rPr>
      </w:pPr>
      <w:r>
        <w:rPr>
          <w:sz w:val="18"/>
          <w:szCs w:val="18"/>
        </w:rPr>
        <w:t>(</w:t>
      </w:r>
      <w:r w:rsidRPr="0099663F">
        <w:rPr>
          <w:rStyle w:val="FootnoteReference"/>
          <w:sz w:val="18"/>
          <w:szCs w:val="18"/>
        </w:rPr>
        <w:footnoteRef/>
      </w:r>
      <w:r>
        <w:rPr>
          <w:sz w:val="18"/>
          <w:szCs w:val="18"/>
        </w:rPr>
        <w:t>)</w:t>
      </w:r>
      <w:r w:rsidRPr="0099663F">
        <w:rPr>
          <w:sz w:val="18"/>
          <w:szCs w:val="18"/>
        </w:rPr>
        <w:t xml:space="preserve"> </w:t>
      </w:r>
      <w:r w:rsidRPr="0099663F">
        <w:rPr>
          <w:rStyle w:val="Emphasis"/>
          <w:sz w:val="18"/>
          <w:szCs w:val="18"/>
        </w:rPr>
        <w:t>OECD Tax Revenue Statistics: Comparative Tables and Tax Revenue Database (Edition 2024).</w:t>
      </w:r>
      <w:r w:rsidRPr="0099663F">
        <w:rPr>
          <w:sz w:val="18"/>
          <w:szCs w:val="18"/>
        </w:rPr>
        <w:t xml:space="preserve"> Paris: OECD Publishing. Available at </w:t>
      </w:r>
      <w:hyperlink r:id="rId32" w:history="1">
        <w:r w:rsidRPr="0099663F">
          <w:rPr>
            <w:rStyle w:val="Hyperlink"/>
            <w:sz w:val="18"/>
            <w:szCs w:val="18"/>
          </w:rPr>
          <w:t>https://stats.oecd.org/Index.aspx?DataSetCode=REV</w:t>
        </w:r>
      </w:hyperlink>
      <w:r w:rsidRPr="0099663F">
        <w:rPr>
          <w:sz w:val="18"/>
          <w:szCs w:val="18"/>
        </w:rPr>
        <w:t xml:space="preserve"> </w:t>
      </w:r>
    </w:p>
  </w:footnote>
  <w:footnote w:id="190">
    <w:p w14:paraId="2EE20619" w14:textId="685DDD8A"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Pr>
          <w:sz w:val="18"/>
          <w:szCs w:val="18"/>
        </w:rPr>
        <w:t xml:space="preserve"> </w:t>
      </w:r>
      <w:r w:rsidRPr="00AA4F74">
        <w:rPr>
          <w:rStyle w:val="Strong"/>
          <w:sz w:val="18"/>
          <w:szCs w:val="18"/>
        </w:rPr>
        <w:t>McKinsey &amp; Company. (2025).</w:t>
      </w:r>
      <w:r w:rsidRPr="00AA4F74">
        <w:rPr>
          <w:sz w:val="18"/>
          <w:szCs w:val="18"/>
        </w:rPr>
        <w:t xml:space="preserve"> </w:t>
      </w:r>
      <w:r w:rsidRPr="00AA4F74">
        <w:rPr>
          <w:rStyle w:val="Emphasis"/>
          <w:sz w:val="18"/>
          <w:szCs w:val="18"/>
        </w:rPr>
        <w:t>Semiconductors have a big opportunity, but barriers to scale remain.</w:t>
      </w:r>
      <w:r w:rsidRPr="00AA4F74">
        <w:rPr>
          <w:sz w:val="18"/>
          <w:szCs w:val="18"/>
        </w:rPr>
        <w:t xml:space="preserve"> New York: McKinsey Global Institute.</w:t>
      </w:r>
    </w:p>
  </w:footnote>
  <w:footnote w:id="191">
    <w:p w14:paraId="1F4A423B" w14:textId="7408E114"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Pr>
          <w:sz w:val="18"/>
          <w:szCs w:val="18"/>
        </w:rPr>
        <w:t xml:space="preserve"> </w:t>
      </w:r>
      <w:r w:rsidRPr="00AA4F74">
        <w:rPr>
          <w:sz w:val="18"/>
          <w:szCs w:val="18"/>
        </w:rPr>
        <w:t xml:space="preserve">Deloitte. (2021). </w:t>
      </w:r>
      <w:r w:rsidRPr="00AA4F74">
        <w:rPr>
          <w:rStyle w:val="Emphasis"/>
          <w:sz w:val="18"/>
          <w:szCs w:val="18"/>
        </w:rPr>
        <w:t>Measuring semiconductors’ economic impact: How many jobs does the semiconductor industry create?</w:t>
      </w:r>
      <w:r w:rsidRPr="00AA4F74">
        <w:rPr>
          <w:sz w:val="18"/>
          <w:szCs w:val="18"/>
        </w:rPr>
        <w:t xml:space="preserve"> Deloitte Insights, September 2021.</w:t>
      </w:r>
    </w:p>
  </w:footnote>
  <w:footnote w:id="192">
    <w:p w14:paraId="7EDB9072" w14:textId="13AFB654"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Pr>
          <w:sz w:val="18"/>
          <w:szCs w:val="18"/>
        </w:rPr>
        <w:t xml:space="preserve"> </w:t>
      </w:r>
      <w:r w:rsidRPr="00AA4F74">
        <w:rPr>
          <w:sz w:val="18"/>
          <w:szCs w:val="18"/>
        </w:rPr>
        <w:t xml:space="preserve">European Court of Auditors. (2025). </w:t>
      </w:r>
      <w:r w:rsidRPr="00AA4F74">
        <w:rPr>
          <w:rStyle w:val="Emphasis"/>
          <w:sz w:val="18"/>
          <w:szCs w:val="18"/>
        </w:rPr>
        <w:t>Special Report 12/2025 – The EU’s strategy for microchips: Reasonable progress in its implementation, but the Chips Act is very unlikely to be sufficient to reach the overly ambitious Digital Decade target.</w:t>
      </w:r>
    </w:p>
  </w:footnote>
  <w:footnote w:id="193">
    <w:p w14:paraId="48415C66" w14:textId="095DF10B"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AA4F74">
        <w:rPr>
          <w:sz w:val="18"/>
          <w:szCs w:val="18"/>
        </w:rPr>
        <w:t xml:space="preserve"> European Chips Skills Academy (ECSA). (2024). </w:t>
      </w:r>
      <w:r w:rsidRPr="00AA4F74">
        <w:rPr>
          <w:rStyle w:val="Emphasis"/>
          <w:sz w:val="18"/>
          <w:szCs w:val="18"/>
        </w:rPr>
        <w:t>European semiconductor skills strategy 2024.</w:t>
      </w:r>
      <w:r w:rsidRPr="00AA4F74">
        <w:rPr>
          <w:sz w:val="18"/>
          <w:szCs w:val="18"/>
        </w:rPr>
        <w:t xml:space="preserve"> Luxembourg: Publications Office of the EU.</w:t>
      </w:r>
    </w:p>
  </w:footnote>
  <w:footnote w:id="194">
    <w:p w14:paraId="0E829FFB" w14:textId="2BF113EE"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4F0D9D">
        <w:rPr>
          <w:sz w:val="18"/>
          <w:szCs w:val="18"/>
        </w:rPr>
        <w:t xml:space="preserve"> </w:t>
      </w:r>
      <w:r w:rsidRPr="00AA4F74">
        <w:rPr>
          <w:rStyle w:val="Strong"/>
          <w:sz w:val="18"/>
          <w:szCs w:val="18"/>
        </w:rPr>
        <w:t>Deloitte.</w:t>
      </w:r>
      <w:r w:rsidRPr="00AA4F74">
        <w:rPr>
          <w:sz w:val="18"/>
          <w:szCs w:val="18"/>
        </w:rPr>
        <w:t xml:space="preserve"> (2021). </w:t>
      </w:r>
      <w:r w:rsidRPr="00AA4F74">
        <w:rPr>
          <w:rStyle w:val="Emphasis"/>
          <w:sz w:val="18"/>
          <w:szCs w:val="18"/>
        </w:rPr>
        <w:t>Measuring semiconductors’ economic impact.</w:t>
      </w:r>
      <w:r w:rsidRPr="00AA4F74">
        <w:rPr>
          <w:sz w:val="18"/>
          <w:szCs w:val="18"/>
        </w:rPr>
        <w:t xml:space="preserve"> Deloitte Insights.</w:t>
      </w:r>
    </w:p>
  </w:footnote>
  <w:footnote w:id="195">
    <w:p w14:paraId="44401B61" w14:textId="5668C89C"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AA4F74">
        <w:rPr>
          <w:sz w:val="18"/>
          <w:szCs w:val="18"/>
        </w:rPr>
        <w:t xml:space="preserve">European Chips Skills Academy (ECSA). (2024). </w:t>
      </w:r>
      <w:r w:rsidRPr="00AA4F74">
        <w:rPr>
          <w:rStyle w:val="Emphasis"/>
          <w:sz w:val="18"/>
          <w:szCs w:val="18"/>
        </w:rPr>
        <w:t>European semiconductor skills strategy 2024.</w:t>
      </w:r>
      <w:r w:rsidRPr="00AA4F74">
        <w:rPr>
          <w:sz w:val="18"/>
          <w:szCs w:val="18"/>
        </w:rPr>
        <w:t xml:space="preserve"> Luxembourg: Publications Office of the EU.</w:t>
      </w:r>
    </w:p>
  </w:footnote>
  <w:footnote w:id="196">
    <w:p w14:paraId="6A671EBE" w14:textId="4736A635"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4F0D9D">
        <w:rPr>
          <w:sz w:val="18"/>
          <w:szCs w:val="18"/>
        </w:rPr>
        <w:t xml:space="preserve"> </w:t>
      </w:r>
      <w:r w:rsidRPr="00AA4F74">
        <w:rPr>
          <w:sz w:val="18"/>
          <w:szCs w:val="18"/>
        </w:rPr>
        <w:t xml:space="preserve">McKinsey &amp; Company. (2024). </w:t>
      </w:r>
      <w:r w:rsidRPr="00AA4F74">
        <w:rPr>
          <w:rStyle w:val="Emphasis"/>
          <w:sz w:val="18"/>
          <w:szCs w:val="18"/>
        </w:rPr>
        <w:t>McKinsey on semiconductors: Creating value, pursuing innovation, and optimizing operations</w:t>
      </w:r>
      <w:r w:rsidRPr="00AA4F74">
        <w:rPr>
          <w:sz w:val="18"/>
          <w:szCs w:val="18"/>
        </w:rPr>
        <w:t xml:space="preserve"> (No. 9, March 2024). McKinsey &amp; Company.</w:t>
      </w:r>
    </w:p>
  </w:footnote>
  <w:footnote w:id="197">
    <w:p w14:paraId="11135C4F" w14:textId="219B9D65"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4F0D9D">
        <w:rPr>
          <w:sz w:val="18"/>
          <w:szCs w:val="18"/>
        </w:rPr>
        <w:t xml:space="preserve"> </w:t>
      </w:r>
      <w:r w:rsidRPr="00AA4F74">
        <w:rPr>
          <w:rStyle w:val="Strong"/>
          <w:sz w:val="18"/>
          <w:szCs w:val="18"/>
        </w:rPr>
        <w:t>Deloitte.</w:t>
      </w:r>
      <w:r w:rsidRPr="00AA4F74">
        <w:rPr>
          <w:sz w:val="18"/>
          <w:szCs w:val="18"/>
        </w:rPr>
        <w:t xml:space="preserve"> (2021). </w:t>
      </w:r>
      <w:r w:rsidRPr="00AA4F74">
        <w:rPr>
          <w:rStyle w:val="Emphasis"/>
          <w:sz w:val="18"/>
          <w:szCs w:val="18"/>
        </w:rPr>
        <w:t>Measuring semiconductors’ economic impact.</w:t>
      </w:r>
      <w:r w:rsidRPr="00AA4F74">
        <w:rPr>
          <w:sz w:val="18"/>
          <w:szCs w:val="18"/>
        </w:rPr>
        <w:t xml:space="preserve"> Deloitte Insights.</w:t>
      </w:r>
    </w:p>
  </w:footnote>
  <w:footnote w:id="198">
    <w:p w14:paraId="2EC8EACA" w14:textId="0446CA08"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7C550E">
        <w:rPr>
          <w:sz w:val="18"/>
          <w:szCs w:val="18"/>
        </w:rPr>
        <w:t xml:space="preserve"> </w:t>
      </w:r>
      <w:r w:rsidRPr="00156B9D">
        <w:rPr>
          <w:rStyle w:val="Strong"/>
          <w:sz w:val="18"/>
          <w:szCs w:val="18"/>
        </w:rPr>
        <w:t>Deloitte.</w:t>
      </w:r>
      <w:r w:rsidRPr="00AA4F74">
        <w:rPr>
          <w:sz w:val="18"/>
          <w:szCs w:val="18"/>
        </w:rPr>
        <w:t xml:space="preserve"> (2021). </w:t>
      </w:r>
      <w:r w:rsidRPr="00AA4F74">
        <w:rPr>
          <w:rStyle w:val="Emphasis"/>
          <w:sz w:val="18"/>
          <w:szCs w:val="18"/>
        </w:rPr>
        <w:t>Measuring semiconductors’ economic impact.</w:t>
      </w:r>
      <w:r w:rsidRPr="00AA4F74">
        <w:rPr>
          <w:sz w:val="18"/>
          <w:szCs w:val="18"/>
        </w:rPr>
        <w:t xml:space="preserve"> Deloitte Insights.</w:t>
      </w:r>
    </w:p>
  </w:footnote>
  <w:footnote w:id="199">
    <w:p w14:paraId="6CE401AD" w14:textId="750EED3E" w:rsidR="00EC49AF" w:rsidRPr="00923415" w:rsidRDefault="00EC49AF" w:rsidP="00EC49AF">
      <w:pPr>
        <w:pStyle w:val="FootnoteText"/>
        <w:tabs>
          <w:tab w:val="left" w:pos="7049"/>
        </w:tabs>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https://www.semiconductors.org/chipping-in-sia-jobs-report/</w:t>
      </w:r>
      <w:r>
        <w:rPr>
          <w:sz w:val="18"/>
          <w:szCs w:val="18"/>
        </w:rPr>
        <w:tab/>
      </w:r>
    </w:p>
  </w:footnote>
  <w:footnote w:id="200">
    <w:p w14:paraId="02212FD4" w14:textId="539B2DEE"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7C550E">
        <w:rPr>
          <w:sz w:val="18"/>
          <w:szCs w:val="18"/>
        </w:rPr>
        <w:t xml:space="preserve"> </w:t>
      </w:r>
      <w:r w:rsidRPr="00AA4F74">
        <w:rPr>
          <w:sz w:val="18"/>
          <w:szCs w:val="18"/>
        </w:rPr>
        <w:t xml:space="preserve">McKinsey &amp; Company. (2024). </w:t>
      </w:r>
      <w:r w:rsidRPr="00AA4F74">
        <w:rPr>
          <w:rStyle w:val="Emphasis"/>
          <w:sz w:val="18"/>
          <w:szCs w:val="18"/>
        </w:rPr>
        <w:t>McKinsey on semiconductors: Creating value, pursuing innovation, and optimizing operations</w:t>
      </w:r>
      <w:r w:rsidRPr="00AA4F74">
        <w:rPr>
          <w:sz w:val="18"/>
          <w:szCs w:val="18"/>
        </w:rPr>
        <w:t xml:space="preserve"> (No. 9, March 2024). McKinsey &amp; Company.</w:t>
      </w:r>
    </w:p>
  </w:footnote>
  <w:footnote w:id="201">
    <w:p w14:paraId="4E3493BC" w14:textId="768AEE36"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7C550E">
        <w:rPr>
          <w:sz w:val="18"/>
          <w:szCs w:val="18"/>
        </w:rPr>
        <w:t xml:space="preserve"> </w:t>
      </w:r>
      <w:r w:rsidRPr="00AA4F74">
        <w:rPr>
          <w:sz w:val="18"/>
          <w:szCs w:val="18"/>
        </w:rPr>
        <w:t xml:space="preserve">McKinsey &amp; Company. (2024). </w:t>
      </w:r>
      <w:r w:rsidRPr="00AA4F74">
        <w:rPr>
          <w:rStyle w:val="Emphasis"/>
          <w:sz w:val="18"/>
          <w:szCs w:val="18"/>
        </w:rPr>
        <w:t>McKinsey on semiconductors: Creating value, pursuing innovation, and optimizing operations</w:t>
      </w:r>
      <w:r w:rsidRPr="00AA4F74">
        <w:rPr>
          <w:sz w:val="18"/>
          <w:szCs w:val="18"/>
        </w:rPr>
        <w:t xml:space="preserve"> (No. 9, March 2024). McKinsey &amp; Company.</w:t>
      </w:r>
    </w:p>
  </w:footnote>
  <w:footnote w:id="202">
    <w:p w14:paraId="52146439" w14:textId="346878D4"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AA4F74">
        <w:rPr>
          <w:sz w:val="18"/>
          <w:szCs w:val="18"/>
        </w:rPr>
        <w:t xml:space="preserve"> SEMI Europe. (2024). </w:t>
      </w:r>
      <w:r w:rsidRPr="00AA4F74">
        <w:rPr>
          <w:rStyle w:val="Emphasis"/>
          <w:sz w:val="18"/>
          <w:szCs w:val="18"/>
        </w:rPr>
        <w:t>Advocacy White Paper 2024.</w:t>
      </w:r>
      <w:r w:rsidRPr="00AA4F74">
        <w:rPr>
          <w:sz w:val="18"/>
          <w:szCs w:val="18"/>
        </w:rPr>
        <w:t xml:space="preserve"> Brussels: SEMI Europe.</w:t>
      </w:r>
    </w:p>
  </w:footnote>
  <w:footnote w:id="203">
    <w:p w14:paraId="7355AFC7" w14:textId="49AE9E1A"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7C550E">
        <w:rPr>
          <w:sz w:val="18"/>
          <w:szCs w:val="18"/>
        </w:rPr>
        <w:t xml:space="preserve"> </w:t>
      </w:r>
      <w:r w:rsidRPr="00AA4F74">
        <w:rPr>
          <w:sz w:val="18"/>
          <w:szCs w:val="18"/>
        </w:rPr>
        <w:t xml:space="preserve">European Commission, Joint Research Centre (JRC). (2025). </w:t>
      </w:r>
      <w:r w:rsidRPr="00AA4F74">
        <w:rPr>
          <w:rStyle w:val="Emphasis"/>
          <w:sz w:val="18"/>
          <w:szCs w:val="18"/>
        </w:rPr>
        <w:t>EU’s strengths and weaknesses in the global semiconductor sector (JRC141323).</w:t>
      </w:r>
      <w:r w:rsidRPr="00AA4F74">
        <w:rPr>
          <w:sz w:val="18"/>
          <w:szCs w:val="18"/>
        </w:rPr>
        <w:t xml:space="preserve"> Luxembourg: Publications Office of the EU.</w:t>
      </w:r>
    </w:p>
  </w:footnote>
  <w:footnote w:id="204">
    <w:p w14:paraId="394553AA" w14:textId="145E06A6"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F42197">
        <w:rPr>
          <w:sz w:val="18"/>
          <w:szCs w:val="18"/>
        </w:rPr>
        <w:t xml:space="preserve"> </w:t>
      </w:r>
      <w:r w:rsidRPr="00AA4F74">
        <w:rPr>
          <w:sz w:val="18"/>
          <w:szCs w:val="18"/>
        </w:rPr>
        <w:t xml:space="preserve">European Chips Skills Academy (ECSA). (2024). </w:t>
      </w:r>
      <w:r w:rsidRPr="00AA4F74">
        <w:rPr>
          <w:rStyle w:val="Emphasis"/>
          <w:sz w:val="18"/>
          <w:szCs w:val="18"/>
        </w:rPr>
        <w:t>European semiconductor skills strategy 2024.</w:t>
      </w:r>
      <w:r w:rsidRPr="00AA4F74">
        <w:rPr>
          <w:sz w:val="18"/>
          <w:szCs w:val="18"/>
        </w:rPr>
        <w:t xml:space="preserve"> Luxembourg: Publications Office of the EU.</w:t>
      </w:r>
    </w:p>
  </w:footnote>
  <w:footnote w:id="205">
    <w:p w14:paraId="33A769AA" w14:textId="712861B1"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F42197">
        <w:rPr>
          <w:sz w:val="18"/>
          <w:szCs w:val="18"/>
        </w:rPr>
        <w:t xml:space="preserve"> </w:t>
      </w:r>
      <w:r w:rsidRPr="00AA4F74">
        <w:rPr>
          <w:sz w:val="18"/>
          <w:szCs w:val="18"/>
        </w:rPr>
        <w:t xml:space="preserve">McKinsey &amp; Company. (2024). </w:t>
      </w:r>
      <w:r w:rsidRPr="00AA4F74">
        <w:rPr>
          <w:rStyle w:val="Emphasis"/>
          <w:sz w:val="18"/>
          <w:szCs w:val="18"/>
        </w:rPr>
        <w:t>McKinsey on semiconductors: Creating value, pursuing innovation, and optimizing operations</w:t>
      </w:r>
      <w:r w:rsidRPr="00AA4F74">
        <w:rPr>
          <w:sz w:val="18"/>
          <w:szCs w:val="18"/>
        </w:rPr>
        <w:t xml:space="preserve"> (No. 9, March 2024). McKinsey &amp; Company.</w:t>
      </w:r>
    </w:p>
  </w:footnote>
  <w:footnote w:id="206">
    <w:p w14:paraId="388D6E7B" w14:textId="5C244F75"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F42197">
        <w:rPr>
          <w:sz w:val="18"/>
          <w:szCs w:val="18"/>
        </w:rPr>
        <w:t xml:space="preserve"> </w:t>
      </w:r>
      <w:r w:rsidRPr="00AA4F74">
        <w:rPr>
          <w:sz w:val="18"/>
          <w:szCs w:val="18"/>
        </w:rPr>
        <w:t xml:space="preserve">European Court of Auditors. (2025). </w:t>
      </w:r>
      <w:r w:rsidRPr="00AA4F74">
        <w:rPr>
          <w:rStyle w:val="Emphasis"/>
          <w:sz w:val="18"/>
          <w:szCs w:val="18"/>
        </w:rPr>
        <w:t>Special Report 12/2025 – The EU’s strategy for microchips: Reasonable progress in its implementation, but the Chips Act is very unlikely to be sufficient to reach the overly ambitious Digital Decade target.</w:t>
      </w:r>
      <w:r w:rsidRPr="00AA4F74">
        <w:rPr>
          <w:sz w:val="18"/>
          <w:szCs w:val="18"/>
        </w:rPr>
        <w:t xml:space="preserve"> Luxembourg: Publications Office of the European Union.</w:t>
      </w:r>
    </w:p>
  </w:footnote>
  <w:footnote w:id="207">
    <w:p w14:paraId="24D448B7" w14:textId="0F7C0308"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F42197">
        <w:rPr>
          <w:sz w:val="18"/>
          <w:szCs w:val="18"/>
        </w:rPr>
        <w:t xml:space="preserve"> </w:t>
      </w:r>
      <w:r w:rsidRPr="00AA4F74">
        <w:rPr>
          <w:sz w:val="18"/>
          <w:szCs w:val="18"/>
        </w:rPr>
        <w:t xml:space="preserve">European Chips Skills Academy (ECSA). (2024). </w:t>
      </w:r>
      <w:r w:rsidRPr="00AA4F74">
        <w:rPr>
          <w:rStyle w:val="Emphasis"/>
          <w:sz w:val="18"/>
          <w:szCs w:val="18"/>
        </w:rPr>
        <w:t>European semiconductor skills strategy 2024.</w:t>
      </w:r>
      <w:r w:rsidRPr="00AA4F74">
        <w:rPr>
          <w:sz w:val="18"/>
          <w:szCs w:val="18"/>
        </w:rPr>
        <w:t xml:space="preserve"> Luxembourg: Publications Office of the EU.</w:t>
      </w:r>
    </w:p>
  </w:footnote>
  <w:footnote w:id="208">
    <w:p w14:paraId="7EF65AC2" w14:textId="74AD5594"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F42197">
        <w:rPr>
          <w:sz w:val="18"/>
          <w:szCs w:val="18"/>
        </w:rPr>
        <w:t xml:space="preserve"> </w:t>
      </w:r>
      <w:r w:rsidRPr="00AA4F74">
        <w:rPr>
          <w:sz w:val="18"/>
          <w:szCs w:val="18"/>
        </w:rPr>
        <w:t xml:space="preserve">SEMI Europe. (2024). </w:t>
      </w:r>
      <w:r w:rsidRPr="00AA4F74">
        <w:rPr>
          <w:rStyle w:val="Emphasis"/>
          <w:sz w:val="18"/>
          <w:szCs w:val="18"/>
        </w:rPr>
        <w:t>Advocacy White Paper 2024.</w:t>
      </w:r>
      <w:r w:rsidRPr="00AA4F74">
        <w:rPr>
          <w:sz w:val="18"/>
          <w:szCs w:val="18"/>
        </w:rPr>
        <w:t xml:space="preserve"> Brussels: SEMI Europe.</w:t>
      </w:r>
    </w:p>
  </w:footnote>
  <w:footnote w:id="209">
    <w:p w14:paraId="4C04D337" w14:textId="2D5ADF09"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DA21E1">
        <w:rPr>
          <w:sz w:val="18"/>
          <w:szCs w:val="18"/>
        </w:rPr>
        <w:t xml:space="preserve"> </w:t>
      </w:r>
      <w:r w:rsidRPr="00AA4F74">
        <w:rPr>
          <w:sz w:val="18"/>
          <w:szCs w:val="18"/>
        </w:rPr>
        <w:t xml:space="preserve">McKinsey &amp; Company. (2024). </w:t>
      </w:r>
      <w:r w:rsidRPr="00AA4F74">
        <w:rPr>
          <w:rStyle w:val="Emphasis"/>
          <w:sz w:val="18"/>
          <w:szCs w:val="18"/>
        </w:rPr>
        <w:t>McKinsey on semiconductors: Creating value, pursuing innovation, and optimizing operations</w:t>
      </w:r>
      <w:r w:rsidRPr="00AA4F74">
        <w:rPr>
          <w:sz w:val="18"/>
          <w:szCs w:val="18"/>
        </w:rPr>
        <w:t xml:space="preserve"> (No. 9, March 2024). McKinsey &amp; Company.</w:t>
      </w:r>
    </w:p>
  </w:footnote>
  <w:footnote w:id="210">
    <w:p w14:paraId="7027BFDE" w14:textId="122B149E"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DA21E1">
        <w:rPr>
          <w:sz w:val="18"/>
          <w:szCs w:val="18"/>
        </w:rPr>
        <w:t xml:space="preserve"> </w:t>
      </w:r>
      <w:r w:rsidRPr="00AA4F74">
        <w:rPr>
          <w:sz w:val="18"/>
          <w:szCs w:val="18"/>
        </w:rPr>
        <w:t xml:space="preserve">Rosati, N., Bonnet, P., Ciani, A., Duch Brown, N., Miguez, S., &amp; Zaurino, E. (2023). </w:t>
      </w:r>
      <w:r w:rsidRPr="00AA4F74">
        <w:rPr>
          <w:rStyle w:val="Emphasis"/>
          <w:sz w:val="18"/>
          <w:szCs w:val="18"/>
        </w:rPr>
        <w:t>The EC consultation on the semiconductors’ value chain</w:t>
      </w:r>
      <w:r w:rsidRPr="00AA4F74">
        <w:rPr>
          <w:sz w:val="18"/>
          <w:szCs w:val="18"/>
        </w:rPr>
        <w:t xml:space="preserve"> (JRC133892, EUR 31585 EN). </w:t>
      </w:r>
    </w:p>
  </w:footnote>
  <w:footnote w:id="211">
    <w:p w14:paraId="3FF88E27" w14:textId="5EA5CFBB"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DA21E1">
        <w:rPr>
          <w:sz w:val="18"/>
          <w:szCs w:val="18"/>
        </w:rPr>
        <w:t xml:space="preserve"> </w:t>
      </w:r>
      <w:r w:rsidRPr="00AA4F74">
        <w:rPr>
          <w:sz w:val="18"/>
          <w:szCs w:val="18"/>
        </w:rPr>
        <w:t xml:space="preserve">DECISION Études &amp; Conseil. (2024). </w:t>
      </w:r>
      <w:r w:rsidRPr="00AA4F74">
        <w:rPr>
          <w:rStyle w:val="Emphasis"/>
          <w:sz w:val="18"/>
          <w:szCs w:val="18"/>
        </w:rPr>
        <w:t>Economic analysis of the EU and global chips ecosystem.</w:t>
      </w:r>
      <w:r w:rsidRPr="00AA4F74">
        <w:rPr>
          <w:sz w:val="18"/>
          <w:szCs w:val="18"/>
        </w:rPr>
        <w:t xml:space="preserve"> European Commission, Directorate-General for Communications Networks, Content and Technology (DG CNECT).</w:t>
      </w:r>
    </w:p>
  </w:footnote>
  <w:footnote w:id="212">
    <w:p w14:paraId="3D72343A" w14:textId="3708B19E"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DA21E1">
        <w:rPr>
          <w:sz w:val="18"/>
          <w:szCs w:val="18"/>
        </w:rPr>
        <w:t xml:space="preserve"> </w:t>
      </w:r>
      <w:r w:rsidRPr="00AA4F74">
        <w:rPr>
          <w:sz w:val="18"/>
          <w:szCs w:val="18"/>
        </w:rPr>
        <w:t xml:space="preserve">DECISION Études &amp; Conseil. (2024). </w:t>
      </w:r>
      <w:r w:rsidRPr="00AA4F74">
        <w:rPr>
          <w:rStyle w:val="Emphasis"/>
          <w:sz w:val="18"/>
          <w:szCs w:val="18"/>
        </w:rPr>
        <w:t>Economic analysis of the EU and global chips ecosystem.</w:t>
      </w:r>
      <w:r w:rsidRPr="00AA4F74">
        <w:rPr>
          <w:sz w:val="18"/>
          <w:szCs w:val="18"/>
        </w:rPr>
        <w:t xml:space="preserve"> European Commission, Directorate-General for Communications Networks, Content and Technology (DG CNECT).</w:t>
      </w:r>
    </w:p>
  </w:footnote>
  <w:footnote w:id="213">
    <w:p w14:paraId="614A688A" w14:textId="11528BF1" w:rsidR="00EC49AF" w:rsidRPr="00AA4F74" w:rsidRDefault="00EC49AF" w:rsidP="00EC49AF">
      <w:pPr>
        <w:pStyle w:val="FootnoteText"/>
        <w:rPr>
          <w:sz w:val="18"/>
          <w:szCs w:val="18"/>
        </w:rPr>
      </w:pPr>
      <w:r>
        <w:rPr>
          <w:sz w:val="18"/>
          <w:szCs w:val="18"/>
          <w:lang w:val="it-IT"/>
        </w:rPr>
        <w:t>(</w:t>
      </w:r>
      <w:r w:rsidRPr="00923415">
        <w:rPr>
          <w:rStyle w:val="FootnoteReference"/>
          <w:sz w:val="18"/>
          <w:szCs w:val="18"/>
        </w:rPr>
        <w:footnoteRef/>
      </w:r>
      <w:r>
        <w:rPr>
          <w:sz w:val="18"/>
          <w:szCs w:val="18"/>
          <w:lang w:val="it-IT"/>
        </w:rPr>
        <w:t>)</w:t>
      </w:r>
      <w:r w:rsidRPr="00923415" w:rsidDel="00DA21E1">
        <w:rPr>
          <w:sz w:val="18"/>
          <w:szCs w:val="18"/>
          <w:lang w:val="it-IT"/>
        </w:rPr>
        <w:t xml:space="preserve"> </w:t>
      </w:r>
      <w:r w:rsidRPr="00AA4F74">
        <w:rPr>
          <w:sz w:val="18"/>
          <w:szCs w:val="18"/>
          <w:lang w:val="it-IT"/>
        </w:rPr>
        <w:t xml:space="preserve">Rosati, N., Bonnet, P., Ciani, A., Duch Brown, N., Miguez, S., &amp; Zaurino, E. (2023). </w:t>
      </w:r>
      <w:r w:rsidRPr="00AA4F74">
        <w:rPr>
          <w:rStyle w:val="Emphasis"/>
          <w:sz w:val="18"/>
          <w:szCs w:val="18"/>
        </w:rPr>
        <w:t>The EC consultation on the semiconductors’ value chain</w:t>
      </w:r>
      <w:r w:rsidRPr="00AA4F74">
        <w:rPr>
          <w:sz w:val="18"/>
          <w:szCs w:val="18"/>
        </w:rPr>
        <w:t xml:space="preserve"> (JRC133892, EUR 31585 EN). </w:t>
      </w:r>
    </w:p>
  </w:footnote>
  <w:footnote w:id="214">
    <w:p w14:paraId="7E995D4E" w14:textId="01EFA6B0" w:rsidR="00EC49AF" w:rsidRPr="00923415"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sidRPr="00923415">
        <w:rPr>
          <w:sz w:val="18"/>
          <w:szCs w:val="18"/>
          <w:lang w:val="en-IE"/>
        </w:rPr>
        <w:t xml:space="preserve">Survey data collected by DG CNECT from Member States </w:t>
      </w:r>
      <w:r>
        <w:rPr>
          <w:sz w:val="18"/>
          <w:szCs w:val="18"/>
          <w:lang w:val="en-IE"/>
        </w:rPr>
        <w:t xml:space="preserve">for </w:t>
      </w:r>
      <w:r w:rsidRPr="00923415">
        <w:rPr>
          <w:sz w:val="18"/>
          <w:szCs w:val="18"/>
          <w:lang w:val="en-IE"/>
        </w:rPr>
        <w:t xml:space="preserve">Chips Act Pillar III mapping and elaborated by the JRC. </w:t>
      </w:r>
    </w:p>
  </w:footnote>
  <w:footnote w:id="215">
    <w:p w14:paraId="5C9D7E1C" w14:textId="26CF5114"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Pr>
          <w:sz w:val="18"/>
          <w:szCs w:val="18"/>
        </w:rPr>
        <w:t xml:space="preserve"> </w:t>
      </w:r>
      <w:r w:rsidRPr="00AA4F74">
        <w:rPr>
          <w:sz w:val="18"/>
          <w:szCs w:val="18"/>
        </w:rPr>
        <w:t xml:space="preserve">Kleinhans, J.-P. (2024), </w:t>
      </w:r>
      <w:r w:rsidRPr="00AA4F74">
        <w:rPr>
          <w:rStyle w:val="Emphasis"/>
          <w:sz w:val="18"/>
          <w:szCs w:val="18"/>
        </w:rPr>
        <w:t>The missing strategy in Europe’s chip ambitions: Member States must drive the next steps</w:t>
      </w:r>
      <w:r w:rsidRPr="00AA4F74">
        <w:rPr>
          <w:sz w:val="18"/>
          <w:szCs w:val="18"/>
        </w:rPr>
        <w:t>, Interface, July 2024.</w:t>
      </w:r>
    </w:p>
  </w:footnote>
  <w:footnote w:id="216">
    <w:p w14:paraId="20FBCCEB" w14:textId="7A662C67" w:rsidR="00EC49AF" w:rsidRPr="00AA4F74" w:rsidRDefault="00EC49AF" w:rsidP="00EC49AF">
      <w:pPr>
        <w:pStyle w:val="FootnoteText"/>
        <w:rPr>
          <w:sz w:val="18"/>
          <w:szCs w:val="18"/>
          <w:lang w:val="fr-BE"/>
        </w:rPr>
      </w:pPr>
      <w:r>
        <w:rPr>
          <w:sz w:val="18"/>
          <w:szCs w:val="18"/>
        </w:rPr>
        <w:t>(</w:t>
      </w:r>
      <w:r w:rsidRPr="00923415">
        <w:rPr>
          <w:rStyle w:val="FootnoteReference"/>
          <w:sz w:val="18"/>
          <w:szCs w:val="18"/>
        </w:rPr>
        <w:footnoteRef/>
      </w:r>
      <w:r>
        <w:rPr>
          <w:sz w:val="18"/>
          <w:szCs w:val="18"/>
        </w:rPr>
        <w:t>)</w:t>
      </w:r>
      <w:r w:rsidDel="00FB6EA0">
        <w:rPr>
          <w:sz w:val="18"/>
          <w:szCs w:val="18"/>
        </w:rPr>
        <w:t xml:space="preserve"> </w:t>
      </w:r>
      <w:r w:rsidRPr="00AA4F74">
        <w:rPr>
          <w:sz w:val="18"/>
          <w:szCs w:val="18"/>
        </w:rPr>
        <w:t xml:space="preserve">Ebrahimi, A. (2024). </w:t>
      </w:r>
      <w:r w:rsidRPr="00AA4F74">
        <w:rPr>
          <w:rStyle w:val="Emphasis"/>
          <w:sz w:val="18"/>
          <w:szCs w:val="18"/>
        </w:rPr>
        <w:t>Groundbreaking chip sovereignty: Europe’s strategic push in the semiconductor race.</w:t>
      </w:r>
      <w:r w:rsidRPr="00AA4F74">
        <w:rPr>
          <w:sz w:val="18"/>
          <w:szCs w:val="18"/>
        </w:rPr>
        <w:t xml:space="preserve"> </w:t>
      </w:r>
      <w:r w:rsidRPr="00AA4F74">
        <w:rPr>
          <w:sz w:val="18"/>
          <w:szCs w:val="18"/>
          <w:lang w:val="fr-BE"/>
        </w:rPr>
        <w:t>Ifri Memos, Institut français des relations internationales (IFRI). ISBN 979-10-373-0874-0.</w:t>
      </w:r>
    </w:p>
  </w:footnote>
  <w:footnote w:id="217">
    <w:p w14:paraId="76F1178E" w14:textId="3CC257D7" w:rsidR="00EC49AF" w:rsidRPr="00AA4F74" w:rsidRDefault="00EC49AF" w:rsidP="00EC49AF">
      <w:pPr>
        <w:pStyle w:val="FootnoteText"/>
        <w:rPr>
          <w:sz w:val="18"/>
          <w:szCs w:val="18"/>
        </w:rPr>
      </w:pPr>
      <w:r>
        <w:rPr>
          <w:sz w:val="18"/>
          <w:szCs w:val="18"/>
          <w:lang w:val="fr-BE"/>
        </w:rPr>
        <w:t>(</w:t>
      </w:r>
      <w:r w:rsidRPr="00923415">
        <w:rPr>
          <w:rStyle w:val="FootnoteReference"/>
          <w:sz w:val="18"/>
          <w:szCs w:val="18"/>
        </w:rPr>
        <w:footnoteRef/>
      </w:r>
      <w:r>
        <w:rPr>
          <w:sz w:val="18"/>
          <w:szCs w:val="18"/>
          <w:lang w:val="fr-BE"/>
        </w:rPr>
        <w:t>)</w:t>
      </w:r>
      <w:r w:rsidRPr="007B4A38" w:rsidDel="00FB6EA0">
        <w:rPr>
          <w:sz w:val="18"/>
          <w:szCs w:val="18"/>
          <w:lang w:val="fr-BE"/>
        </w:rPr>
        <w:t xml:space="preserve"> </w:t>
      </w:r>
      <w:r w:rsidRPr="007B4A38">
        <w:rPr>
          <w:sz w:val="18"/>
          <w:szCs w:val="18"/>
          <w:lang w:val="fr-BE"/>
        </w:rPr>
        <w:t xml:space="preserve">Bonnet, P., Ciani, A., Molnar, J., &amp; Nardo, M. (2025). </w:t>
      </w:r>
      <w:r w:rsidRPr="00AA4F74">
        <w:rPr>
          <w:rStyle w:val="Emphasis"/>
          <w:sz w:val="18"/>
          <w:szCs w:val="18"/>
        </w:rPr>
        <w:t>EU’s strengths and weaknesses in the global semiconductor sector</w:t>
      </w:r>
      <w:r w:rsidRPr="00AA4F74">
        <w:rPr>
          <w:sz w:val="18"/>
          <w:szCs w:val="18"/>
        </w:rPr>
        <w:t xml:space="preserve"> (JRC141323, EUR 40253). Luxembourg: Publications Office of the European Union. </w:t>
      </w:r>
      <w:hyperlink r:id="rId33" w:history="1">
        <w:r w:rsidRPr="00AA4F74">
          <w:rPr>
            <w:rStyle w:val="Hyperlink"/>
            <w:sz w:val="18"/>
            <w:szCs w:val="18"/>
          </w:rPr>
          <w:t>https://doi.org/10.2760/6302476</w:t>
        </w:r>
      </w:hyperlink>
    </w:p>
  </w:footnote>
  <w:footnote w:id="218">
    <w:p w14:paraId="1A2187AB" w14:textId="06B0A6A8"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FB6EA0">
        <w:rPr>
          <w:sz w:val="18"/>
          <w:szCs w:val="18"/>
        </w:rPr>
        <w:t xml:space="preserve"> </w:t>
      </w:r>
      <w:r w:rsidRPr="00AA4F74">
        <w:rPr>
          <w:sz w:val="18"/>
          <w:szCs w:val="18"/>
        </w:rPr>
        <w:t xml:space="preserve">McKinsey &amp; Company (2021), </w:t>
      </w:r>
      <w:r w:rsidRPr="00AA4F74">
        <w:rPr>
          <w:rStyle w:val="Emphasis"/>
          <w:sz w:val="18"/>
          <w:szCs w:val="18"/>
        </w:rPr>
        <w:t>McKinsey on Semiconductors: Creating value, pursuing innovation, and optimising operations.</w:t>
      </w:r>
    </w:p>
  </w:footnote>
  <w:footnote w:id="219">
    <w:p w14:paraId="135E5FF3" w14:textId="41F61C73"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Del="00FB6EA0">
        <w:rPr>
          <w:sz w:val="18"/>
          <w:szCs w:val="18"/>
        </w:rPr>
        <w:t xml:space="preserve"> </w:t>
      </w:r>
      <w:r w:rsidRPr="00AA4F74">
        <w:rPr>
          <w:sz w:val="18"/>
          <w:szCs w:val="18"/>
        </w:rPr>
        <w:t xml:space="preserve">European Court of Auditors. (2025). </w:t>
      </w:r>
      <w:r w:rsidRPr="00AA4F74">
        <w:rPr>
          <w:rStyle w:val="Emphasis"/>
          <w:sz w:val="18"/>
          <w:szCs w:val="18"/>
        </w:rPr>
        <w:t>Special Report 12/2025 – The EU’s strategy for microchips: Reasonable progress in its implementation, but the Chips Act is very unlikely to be sufficient to reach the overly ambitious Digital Decade target.</w:t>
      </w:r>
      <w:r w:rsidRPr="00AA4F74">
        <w:rPr>
          <w:sz w:val="18"/>
          <w:szCs w:val="18"/>
        </w:rPr>
        <w:t xml:space="preserve"> Luxembourg: Publications Office of the European Union.</w:t>
      </w:r>
    </w:p>
  </w:footnote>
  <w:footnote w:id="220">
    <w:p w14:paraId="2693A2EE" w14:textId="4D295B4B" w:rsidR="00EC49AF" w:rsidRPr="00AA4F74"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923415" w:rsidDel="00CA31C5">
        <w:rPr>
          <w:sz w:val="18"/>
          <w:szCs w:val="18"/>
        </w:rPr>
        <w:t xml:space="preserve"> </w:t>
      </w:r>
      <w:r w:rsidRPr="00AA4F74">
        <w:rPr>
          <w:sz w:val="18"/>
          <w:szCs w:val="18"/>
        </w:rPr>
        <w:t xml:space="preserve">Kleinhans, J.-P. (2024), </w:t>
      </w:r>
      <w:r w:rsidRPr="00AA4F74">
        <w:rPr>
          <w:rStyle w:val="Emphasis"/>
          <w:sz w:val="18"/>
          <w:szCs w:val="18"/>
        </w:rPr>
        <w:t>The missing strategy in Europe’s chip ambitions: Member States must drive the next steps</w:t>
      </w:r>
      <w:r w:rsidRPr="00AA4F74">
        <w:rPr>
          <w:sz w:val="18"/>
          <w:szCs w:val="18"/>
        </w:rPr>
        <w:t>, Interface, July 2024.</w:t>
      </w:r>
    </w:p>
  </w:footnote>
  <w:footnote w:id="221">
    <w:p w14:paraId="08DE3A0A" w14:textId="0ADBD4E8" w:rsidR="00EC49AF" w:rsidRPr="00AA4F74" w:rsidRDefault="00EC49AF" w:rsidP="00EC49AF">
      <w:pPr>
        <w:pStyle w:val="FootnoteText"/>
        <w:rPr>
          <w:sz w:val="18"/>
          <w:szCs w:val="18"/>
          <w:lang w:val="fr-BE"/>
        </w:rPr>
      </w:pPr>
      <w:r>
        <w:rPr>
          <w:sz w:val="18"/>
          <w:szCs w:val="18"/>
        </w:rPr>
        <w:t>(</w:t>
      </w:r>
      <w:r w:rsidRPr="00923415">
        <w:rPr>
          <w:rStyle w:val="FootnoteReference"/>
          <w:sz w:val="18"/>
          <w:szCs w:val="18"/>
        </w:rPr>
        <w:footnoteRef/>
      </w:r>
      <w:r>
        <w:rPr>
          <w:sz w:val="18"/>
          <w:szCs w:val="18"/>
        </w:rPr>
        <w:t>)</w:t>
      </w:r>
      <w:r w:rsidDel="00CA31C5">
        <w:rPr>
          <w:sz w:val="18"/>
          <w:szCs w:val="18"/>
        </w:rPr>
        <w:t xml:space="preserve"> </w:t>
      </w:r>
      <w:r w:rsidRPr="00AA4F74">
        <w:rPr>
          <w:sz w:val="18"/>
          <w:szCs w:val="18"/>
        </w:rPr>
        <w:t xml:space="preserve">Ebrahimi, A. (2024). </w:t>
      </w:r>
      <w:r w:rsidRPr="00AA4F74">
        <w:rPr>
          <w:rStyle w:val="Emphasis"/>
          <w:sz w:val="18"/>
          <w:szCs w:val="18"/>
        </w:rPr>
        <w:t>Groundbreaking chip sovereignty: Europe’s strategic push in the semiconductor race.</w:t>
      </w:r>
      <w:r w:rsidRPr="00AA4F74">
        <w:rPr>
          <w:sz w:val="18"/>
          <w:szCs w:val="18"/>
        </w:rPr>
        <w:t xml:space="preserve"> </w:t>
      </w:r>
      <w:r w:rsidRPr="00AA4F74">
        <w:rPr>
          <w:sz w:val="18"/>
          <w:szCs w:val="18"/>
          <w:lang w:val="fr-BE"/>
        </w:rPr>
        <w:t>Ifri Memos, Institut français des relations internationales (IFRI). ISBN 979-10-373-0874-0.</w:t>
      </w:r>
    </w:p>
  </w:footnote>
  <w:footnote w:id="222">
    <w:p w14:paraId="5065403D" w14:textId="05A84DB8" w:rsidR="00EC49AF" w:rsidRPr="00AA4F74" w:rsidRDefault="00EC49AF" w:rsidP="00EC49AF">
      <w:pPr>
        <w:pStyle w:val="FootnoteText"/>
        <w:rPr>
          <w:sz w:val="18"/>
          <w:szCs w:val="18"/>
        </w:rPr>
      </w:pPr>
      <w:r>
        <w:rPr>
          <w:sz w:val="18"/>
          <w:szCs w:val="18"/>
          <w:lang w:val="fr-BE"/>
        </w:rPr>
        <w:t>(</w:t>
      </w:r>
      <w:r w:rsidRPr="00923415">
        <w:rPr>
          <w:rStyle w:val="FootnoteReference"/>
          <w:sz w:val="18"/>
          <w:szCs w:val="18"/>
        </w:rPr>
        <w:footnoteRef/>
      </w:r>
      <w:r>
        <w:rPr>
          <w:sz w:val="18"/>
          <w:szCs w:val="18"/>
          <w:lang w:val="fr-BE"/>
        </w:rPr>
        <w:t>)</w:t>
      </w:r>
      <w:r w:rsidRPr="007B4A38" w:rsidDel="00CA31C5">
        <w:rPr>
          <w:sz w:val="18"/>
          <w:szCs w:val="18"/>
          <w:lang w:val="fr-BE"/>
        </w:rPr>
        <w:t xml:space="preserve"> </w:t>
      </w:r>
      <w:r w:rsidRPr="007B4A38">
        <w:rPr>
          <w:sz w:val="18"/>
          <w:szCs w:val="18"/>
          <w:lang w:val="fr-BE"/>
        </w:rPr>
        <w:t xml:space="preserve">Bonnet, P., Ciani, A., Molnar, J., &amp; Nardo, M. (2025). </w:t>
      </w:r>
      <w:r w:rsidRPr="00AA4F74">
        <w:rPr>
          <w:rStyle w:val="Emphasis"/>
          <w:sz w:val="18"/>
          <w:szCs w:val="18"/>
        </w:rPr>
        <w:t>EU’s strengths and weaknesses in the global semiconductor sector</w:t>
      </w:r>
      <w:r w:rsidRPr="00AA4F74">
        <w:rPr>
          <w:sz w:val="18"/>
          <w:szCs w:val="18"/>
        </w:rPr>
        <w:t xml:space="preserve"> (JRC141323, EUR 40253). Luxembourg: Publications Office of the European Union. </w:t>
      </w:r>
      <w:hyperlink r:id="rId34" w:history="1">
        <w:r w:rsidRPr="00AA4F74">
          <w:rPr>
            <w:rStyle w:val="Hyperlink"/>
            <w:sz w:val="18"/>
            <w:szCs w:val="18"/>
          </w:rPr>
          <w:t>https://doi.org/10.2760/6302476</w:t>
        </w:r>
      </w:hyperlink>
    </w:p>
  </w:footnote>
  <w:footnote w:id="223">
    <w:p w14:paraId="575E3D40" w14:textId="1AD95EE8"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AA4F74">
        <w:rPr>
          <w:sz w:val="18"/>
          <w:szCs w:val="18"/>
        </w:rPr>
        <w:t xml:space="preserve">Kleinhans, J.-P. (2024), </w:t>
      </w:r>
      <w:r w:rsidRPr="00AA4F74">
        <w:rPr>
          <w:rStyle w:val="Emphasis"/>
          <w:sz w:val="18"/>
          <w:szCs w:val="18"/>
        </w:rPr>
        <w:t>The missing strategy in Europe’s chip ambitions: Member States must drive the next steps</w:t>
      </w:r>
      <w:r w:rsidRPr="00AA4F74">
        <w:rPr>
          <w:sz w:val="18"/>
          <w:szCs w:val="18"/>
        </w:rPr>
        <w:t>, Interface, July 2024.</w:t>
      </w:r>
    </w:p>
  </w:footnote>
  <w:footnote w:id="224">
    <w:p w14:paraId="556098F7" w14:textId="206944AE"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sidDel="00E97449">
        <w:rPr>
          <w:sz w:val="18"/>
          <w:szCs w:val="18"/>
        </w:rPr>
        <w:t xml:space="preserve"> </w:t>
      </w:r>
      <w:r w:rsidRPr="001E4B47">
        <w:rPr>
          <w:sz w:val="18"/>
          <w:szCs w:val="18"/>
        </w:rPr>
        <w:t xml:space="preserve">Kleinhans, J.-P. (2024), </w:t>
      </w:r>
      <w:r w:rsidRPr="001E4B47">
        <w:rPr>
          <w:rStyle w:val="Emphasis"/>
          <w:sz w:val="18"/>
          <w:szCs w:val="18"/>
        </w:rPr>
        <w:t>The missing strategy in Europe’s chip ambitions: Member States must drive the next steps</w:t>
      </w:r>
      <w:r w:rsidRPr="001E4B47">
        <w:rPr>
          <w:sz w:val="18"/>
          <w:szCs w:val="18"/>
        </w:rPr>
        <w:t>, Interface, July 2024.</w:t>
      </w:r>
    </w:p>
  </w:footnote>
  <w:footnote w:id="225">
    <w:p w14:paraId="75D917F7" w14:textId="017C9118"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European Court of Auditors. (2025). </w:t>
      </w:r>
      <w:r w:rsidRPr="001E4B47">
        <w:rPr>
          <w:rStyle w:val="Emphasis"/>
          <w:sz w:val="18"/>
          <w:szCs w:val="18"/>
        </w:rPr>
        <w:t>Special Report 12/2025 – The EU’s strategy for microchips: Reasonable progress in its implementation, but the Chips Act is very unlikely to be sufficient to reach the overly ambitious Digital Decade target.</w:t>
      </w:r>
    </w:p>
  </w:footnote>
  <w:footnote w:id="226">
    <w:p w14:paraId="24794F93" w14:textId="2CB27E5F"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sidDel="00E97449">
        <w:rPr>
          <w:sz w:val="18"/>
          <w:szCs w:val="18"/>
        </w:rPr>
        <w:t xml:space="preserve"> </w:t>
      </w:r>
      <w:r w:rsidRPr="001E4B47">
        <w:rPr>
          <w:sz w:val="18"/>
          <w:szCs w:val="18"/>
        </w:rPr>
        <w:t xml:space="preserve">DECISION Études &amp; Conseil. (2024). </w:t>
      </w:r>
      <w:r w:rsidRPr="001E4B47">
        <w:rPr>
          <w:rStyle w:val="Emphasis"/>
          <w:sz w:val="18"/>
          <w:szCs w:val="18"/>
        </w:rPr>
        <w:t>Economic analysis of the EU and global chips ecosystem.</w:t>
      </w:r>
      <w:r w:rsidRPr="001E4B47">
        <w:rPr>
          <w:sz w:val="18"/>
          <w:szCs w:val="18"/>
        </w:rPr>
        <w:t xml:space="preserve"> European Commission, Directorate-General for Communications Networks, Content and Technology (DG CNECT).</w:t>
      </w:r>
    </w:p>
  </w:footnote>
  <w:footnote w:id="227">
    <w:p w14:paraId="5CEE8328" w14:textId="59E60FDD" w:rsidR="00EC49AF" w:rsidRPr="001E4B47" w:rsidRDefault="00EC49AF" w:rsidP="00EC49AF">
      <w:pPr>
        <w:pStyle w:val="FootnoteText"/>
        <w:rPr>
          <w:sz w:val="18"/>
          <w:szCs w:val="18"/>
        </w:rPr>
      </w:pPr>
      <w:r w:rsidRPr="00F274DD">
        <w:rPr>
          <w:sz w:val="18"/>
          <w:szCs w:val="18"/>
          <w:lang w:val="es-ES"/>
        </w:rPr>
        <w:t>(</w:t>
      </w:r>
      <w:r w:rsidRPr="00923415">
        <w:rPr>
          <w:rStyle w:val="FootnoteReference"/>
          <w:sz w:val="18"/>
          <w:szCs w:val="18"/>
        </w:rPr>
        <w:footnoteRef/>
      </w:r>
      <w:r w:rsidRPr="00F274DD">
        <w:rPr>
          <w:sz w:val="18"/>
          <w:szCs w:val="18"/>
          <w:lang w:val="es-ES"/>
        </w:rPr>
        <w:t>)</w:t>
      </w:r>
      <w:r w:rsidRPr="00F274DD" w:rsidDel="00E97449">
        <w:rPr>
          <w:sz w:val="18"/>
          <w:szCs w:val="18"/>
          <w:lang w:val="es-ES"/>
        </w:rPr>
        <w:t xml:space="preserve"> </w:t>
      </w:r>
      <w:r w:rsidRPr="00BD008E">
        <w:rPr>
          <w:rStyle w:val="Strong"/>
          <w:b w:val="0"/>
          <w:sz w:val="18"/>
          <w:szCs w:val="18"/>
          <w:lang w:val="es-ES"/>
        </w:rPr>
        <w:t xml:space="preserve">Cerutti, I., Nardo, M., et al. </w:t>
      </w:r>
      <w:r w:rsidRPr="00BD008E">
        <w:rPr>
          <w:rStyle w:val="Strong"/>
          <w:b w:val="0"/>
          <w:sz w:val="18"/>
          <w:szCs w:val="18"/>
        </w:rPr>
        <w:t>(2024).</w:t>
      </w:r>
      <w:r w:rsidRPr="001E4B47">
        <w:rPr>
          <w:sz w:val="18"/>
          <w:szCs w:val="18"/>
        </w:rPr>
        <w:t xml:space="preserve"> </w:t>
      </w:r>
      <w:r w:rsidRPr="001E4B47">
        <w:rPr>
          <w:rStyle w:val="Emphasis"/>
          <w:sz w:val="18"/>
          <w:szCs w:val="18"/>
        </w:rPr>
        <w:t>Applying the SCAN methodology to the Semiconductor Supply Chain.</w:t>
      </w:r>
      <w:r w:rsidRPr="001E4B47">
        <w:rPr>
          <w:sz w:val="18"/>
          <w:szCs w:val="18"/>
        </w:rPr>
        <w:t xml:space="preserve"> JRC Technical Report, JRC141323. Publications Office of the European Union</w:t>
      </w:r>
    </w:p>
  </w:footnote>
  <w:footnote w:id="228">
    <w:p w14:paraId="452A7DAE" w14:textId="6D9718CD" w:rsidR="00EC49AF" w:rsidRPr="008A5F6A" w:rsidRDefault="00EC49AF" w:rsidP="00EC49AF">
      <w:pPr>
        <w:pStyle w:val="FootnoteText"/>
        <w:rPr>
          <w:sz w:val="18"/>
          <w:szCs w:val="18"/>
          <w:lang w:val="fr-BE"/>
        </w:rPr>
      </w:pPr>
      <w:r>
        <w:rPr>
          <w:sz w:val="18"/>
          <w:szCs w:val="18"/>
        </w:rPr>
        <w:t>(</w:t>
      </w:r>
      <w:r w:rsidRPr="00923415">
        <w:rPr>
          <w:rStyle w:val="FootnoteReference"/>
          <w:sz w:val="18"/>
          <w:szCs w:val="18"/>
        </w:rPr>
        <w:footnoteRef/>
      </w:r>
      <w:r>
        <w:rPr>
          <w:sz w:val="18"/>
          <w:szCs w:val="18"/>
        </w:rPr>
        <w:t>)</w:t>
      </w:r>
      <w:r w:rsidRPr="001E4B47" w:rsidDel="00E97449">
        <w:rPr>
          <w:sz w:val="18"/>
          <w:szCs w:val="18"/>
        </w:rPr>
        <w:t xml:space="preserve"> </w:t>
      </w:r>
      <w:r w:rsidRPr="001E4B47">
        <w:rPr>
          <w:sz w:val="18"/>
          <w:szCs w:val="18"/>
        </w:rPr>
        <w:t xml:space="preserve">European Semiconductor Industry Association. </w:t>
      </w:r>
      <w:r w:rsidRPr="008A5F6A">
        <w:rPr>
          <w:sz w:val="18"/>
          <w:szCs w:val="18"/>
          <w:lang w:val="fr-BE"/>
        </w:rPr>
        <w:t xml:space="preserve">(2025). </w:t>
      </w:r>
      <w:r w:rsidRPr="008A5F6A">
        <w:rPr>
          <w:i/>
          <w:sz w:val="18"/>
          <w:szCs w:val="18"/>
          <w:lang w:val="fr-BE"/>
        </w:rPr>
        <w:t>Position paper on EU Chips Act 2</w:t>
      </w:r>
      <w:r w:rsidRPr="008A5F6A">
        <w:rPr>
          <w:sz w:val="18"/>
          <w:szCs w:val="18"/>
          <w:lang w:val="fr-BE"/>
        </w:rPr>
        <w:t>. Brussels: ESIA.</w:t>
      </w:r>
    </w:p>
  </w:footnote>
  <w:footnote w:id="229">
    <w:p w14:paraId="0A24687C" w14:textId="7833C8B2" w:rsidR="00EC49AF" w:rsidRPr="001E4B47" w:rsidRDefault="00EC49AF" w:rsidP="00EC49AF">
      <w:pPr>
        <w:pStyle w:val="FootnoteText"/>
        <w:rPr>
          <w:sz w:val="18"/>
          <w:szCs w:val="18"/>
        </w:rPr>
      </w:pPr>
      <w:r w:rsidRPr="008A5F6A">
        <w:rPr>
          <w:sz w:val="18"/>
          <w:szCs w:val="18"/>
          <w:lang w:val="fr-BE"/>
        </w:rPr>
        <w:t>(</w:t>
      </w:r>
      <w:r w:rsidRPr="00923415">
        <w:rPr>
          <w:rStyle w:val="FootnoteReference"/>
          <w:sz w:val="18"/>
          <w:szCs w:val="18"/>
        </w:rPr>
        <w:footnoteRef/>
      </w:r>
      <w:r w:rsidRPr="008A5F6A">
        <w:rPr>
          <w:sz w:val="18"/>
          <w:szCs w:val="18"/>
          <w:lang w:val="fr-BE"/>
        </w:rPr>
        <w:t>)</w:t>
      </w:r>
      <w:r w:rsidRPr="008A5F6A" w:rsidDel="00E97449">
        <w:rPr>
          <w:sz w:val="18"/>
          <w:szCs w:val="18"/>
          <w:lang w:val="fr-BE"/>
        </w:rPr>
        <w:t xml:space="preserve"> </w:t>
      </w:r>
      <w:r w:rsidRPr="008A5F6A">
        <w:rPr>
          <w:sz w:val="18"/>
          <w:szCs w:val="18"/>
          <w:lang w:val="fr-BE"/>
        </w:rPr>
        <w:t xml:space="preserve">DECISION Études &amp; Conseil. </w:t>
      </w:r>
      <w:r w:rsidRPr="001E4B47">
        <w:rPr>
          <w:sz w:val="18"/>
          <w:szCs w:val="18"/>
        </w:rPr>
        <w:t xml:space="preserve">(2024). </w:t>
      </w:r>
      <w:r w:rsidRPr="001E4B47">
        <w:rPr>
          <w:rStyle w:val="Emphasis"/>
          <w:sz w:val="18"/>
          <w:szCs w:val="18"/>
        </w:rPr>
        <w:t>Economic analysis of the EU and global chips ecosystem.</w:t>
      </w:r>
      <w:r w:rsidRPr="001E4B47">
        <w:rPr>
          <w:sz w:val="18"/>
          <w:szCs w:val="18"/>
        </w:rPr>
        <w:t xml:space="preserve"> European Commission, Directorate-General for Communications Networks, Content and Technology (DG CNECT).</w:t>
      </w:r>
    </w:p>
  </w:footnote>
  <w:footnote w:id="230">
    <w:p w14:paraId="31C92295" w14:textId="3052B041" w:rsidR="00EC49AF" w:rsidRPr="00F5084F" w:rsidRDefault="00EC49AF" w:rsidP="00EC49AF">
      <w:pPr>
        <w:pStyle w:val="FootnoteText"/>
        <w:rPr>
          <w:sz w:val="18"/>
          <w:szCs w:val="18"/>
        </w:rPr>
      </w:pPr>
      <w:r w:rsidRPr="00F274DD">
        <w:rPr>
          <w:sz w:val="18"/>
          <w:szCs w:val="18"/>
          <w:lang w:val="es-ES"/>
        </w:rPr>
        <w:t>(</w:t>
      </w:r>
      <w:r w:rsidRPr="00923415">
        <w:rPr>
          <w:rStyle w:val="FootnoteReference"/>
          <w:sz w:val="18"/>
          <w:szCs w:val="18"/>
        </w:rPr>
        <w:footnoteRef/>
      </w:r>
      <w:r w:rsidRPr="00F274DD">
        <w:rPr>
          <w:sz w:val="18"/>
          <w:szCs w:val="18"/>
          <w:lang w:val="es-ES"/>
        </w:rPr>
        <w:t>)</w:t>
      </w:r>
      <w:r w:rsidRPr="00F274DD" w:rsidDel="00E97449">
        <w:rPr>
          <w:sz w:val="18"/>
          <w:szCs w:val="18"/>
          <w:lang w:val="es-ES"/>
        </w:rPr>
        <w:t xml:space="preserve"> </w:t>
      </w:r>
      <w:r w:rsidRPr="00BD008E">
        <w:rPr>
          <w:rStyle w:val="Strong"/>
          <w:b w:val="0"/>
          <w:sz w:val="18"/>
          <w:szCs w:val="18"/>
          <w:lang w:val="es-ES"/>
        </w:rPr>
        <w:t xml:space="preserve">Cerutti, I., Nardo, M., et al. </w:t>
      </w:r>
      <w:r w:rsidRPr="00BD008E">
        <w:rPr>
          <w:rStyle w:val="Strong"/>
          <w:b w:val="0"/>
          <w:sz w:val="18"/>
          <w:szCs w:val="18"/>
        </w:rPr>
        <w:t>(2024).</w:t>
      </w:r>
      <w:r w:rsidRPr="001E4B47">
        <w:rPr>
          <w:sz w:val="18"/>
          <w:szCs w:val="18"/>
        </w:rPr>
        <w:t xml:space="preserve"> </w:t>
      </w:r>
      <w:r w:rsidRPr="001E4B47">
        <w:rPr>
          <w:rStyle w:val="Emphasis"/>
          <w:sz w:val="18"/>
          <w:szCs w:val="18"/>
        </w:rPr>
        <w:t>Applying the SCAN methodology to the Semiconductor Supply Chain.</w:t>
      </w:r>
      <w:r w:rsidRPr="001E4B47">
        <w:rPr>
          <w:sz w:val="18"/>
          <w:szCs w:val="18"/>
        </w:rPr>
        <w:t xml:space="preserve"> JRC Technical Report, JRC141323. Publications Office of the European Union</w:t>
      </w:r>
    </w:p>
  </w:footnote>
  <w:footnote w:id="231">
    <w:p w14:paraId="0C407730" w14:textId="6F40825B" w:rsidR="00EC49AF" w:rsidRPr="001E4B47" w:rsidRDefault="00EC49AF" w:rsidP="00EC49AF">
      <w:pPr>
        <w:pStyle w:val="FootnoteText"/>
        <w:rPr>
          <w:sz w:val="18"/>
          <w:szCs w:val="18"/>
          <w:lang w:val="fr-BE"/>
        </w:rPr>
      </w:pPr>
      <w:r>
        <w:rPr>
          <w:sz w:val="18"/>
          <w:szCs w:val="18"/>
        </w:rPr>
        <w:t>(</w:t>
      </w:r>
      <w:r w:rsidRPr="00923415">
        <w:rPr>
          <w:rStyle w:val="FootnoteReference"/>
          <w:sz w:val="18"/>
          <w:szCs w:val="18"/>
        </w:rPr>
        <w:footnoteRef/>
      </w:r>
      <w:r>
        <w:rPr>
          <w:sz w:val="18"/>
          <w:szCs w:val="18"/>
        </w:rPr>
        <w:t>)</w:t>
      </w:r>
      <w:r w:rsidRPr="001E4B47">
        <w:rPr>
          <w:sz w:val="18"/>
          <w:szCs w:val="18"/>
        </w:rPr>
        <w:t xml:space="preserve">  Ebrahimi, A. (2024). </w:t>
      </w:r>
      <w:r w:rsidRPr="001E4B47">
        <w:rPr>
          <w:rStyle w:val="Emphasis"/>
          <w:sz w:val="18"/>
          <w:szCs w:val="18"/>
        </w:rPr>
        <w:t>Groundbreaking chip sovereignty: Europe’s strategic push in the semiconductor race.</w:t>
      </w:r>
      <w:r w:rsidRPr="001E4B47">
        <w:rPr>
          <w:sz w:val="18"/>
          <w:szCs w:val="18"/>
        </w:rPr>
        <w:t xml:space="preserve"> </w:t>
      </w:r>
      <w:r w:rsidRPr="001E4B47">
        <w:rPr>
          <w:sz w:val="18"/>
          <w:szCs w:val="18"/>
          <w:lang w:val="fr-BE"/>
        </w:rPr>
        <w:t>Ifri Memos, Institut français des relations internationales (IFRI). ISBN 979-10-373-0874-0.</w:t>
      </w:r>
    </w:p>
  </w:footnote>
  <w:footnote w:id="232">
    <w:p w14:paraId="202923BD" w14:textId="5C576A89" w:rsidR="00EC49AF" w:rsidRPr="001E4B47" w:rsidRDefault="00EC49AF" w:rsidP="00EC49AF">
      <w:pPr>
        <w:pStyle w:val="FootnoteText"/>
        <w:rPr>
          <w:sz w:val="18"/>
          <w:szCs w:val="18"/>
        </w:rPr>
      </w:pPr>
      <w:r>
        <w:rPr>
          <w:sz w:val="18"/>
          <w:szCs w:val="18"/>
          <w:lang w:val="fr-BE"/>
        </w:rPr>
        <w:t>(</w:t>
      </w:r>
      <w:r w:rsidRPr="00923415">
        <w:rPr>
          <w:rStyle w:val="FootnoteReference"/>
          <w:sz w:val="18"/>
          <w:szCs w:val="18"/>
        </w:rPr>
        <w:footnoteRef/>
      </w:r>
      <w:r>
        <w:rPr>
          <w:sz w:val="18"/>
          <w:szCs w:val="18"/>
          <w:lang w:val="fr-BE"/>
        </w:rPr>
        <w:t>)</w:t>
      </w:r>
      <w:r w:rsidRPr="001E4B47" w:rsidDel="00E97449">
        <w:rPr>
          <w:sz w:val="18"/>
          <w:szCs w:val="18"/>
          <w:lang w:val="fr-BE"/>
        </w:rPr>
        <w:t xml:space="preserve"> </w:t>
      </w:r>
      <w:r w:rsidRPr="001E4B47">
        <w:rPr>
          <w:sz w:val="18"/>
          <w:szCs w:val="18"/>
          <w:lang w:val="fr-BE"/>
        </w:rPr>
        <w:t xml:space="preserve">Cerutti, Isabella &amp; Nardo, Michela (2023). </w:t>
      </w:r>
      <w:r w:rsidRPr="001E4B47">
        <w:rPr>
          <w:rStyle w:val="Emphasis"/>
          <w:sz w:val="18"/>
          <w:szCs w:val="18"/>
        </w:rPr>
        <w:t>Semiconductors in the EU: State of play, future trends and vulnerabilities of the semiconductor supply chain</w:t>
      </w:r>
      <w:r w:rsidRPr="001E4B47">
        <w:rPr>
          <w:sz w:val="18"/>
          <w:szCs w:val="18"/>
        </w:rPr>
        <w:t>. JRC Technical Report, JRC133850.</w:t>
      </w:r>
    </w:p>
  </w:footnote>
  <w:footnote w:id="233">
    <w:p w14:paraId="654CBF15" w14:textId="0CD62F18"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sidDel="00E97449">
        <w:rPr>
          <w:sz w:val="18"/>
          <w:szCs w:val="18"/>
        </w:rPr>
        <w:t xml:space="preserve"> </w:t>
      </w:r>
      <w:r w:rsidRPr="001E4B47">
        <w:rPr>
          <w:sz w:val="18"/>
          <w:szCs w:val="18"/>
        </w:rPr>
        <w:t xml:space="preserve">DECISION Études &amp; Conseil. (2024). </w:t>
      </w:r>
      <w:r w:rsidRPr="001E4B47">
        <w:rPr>
          <w:rStyle w:val="Emphasis"/>
          <w:sz w:val="18"/>
          <w:szCs w:val="18"/>
        </w:rPr>
        <w:t>Economic analysis of the EU and global chips ecosystem.</w:t>
      </w:r>
      <w:r w:rsidRPr="001E4B47">
        <w:rPr>
          <w:sz w:val="18"/>
          <w:szCs w:val="18"/>
        </w:rPr>
        <w:t xml:space="preserve"> European Commission, Directorate-General for Communications Networks, Content and Technology (DG CNECT).</w:t>
      </w:r>
    </w:p>
  </w:footnote>
  <w:footnote w:id="234">
    <w:p w14:paraId="4C4B7606" w14:textId="223126D0" w:rsidR="00EC49AF" w:rsidRPr="008A5F6A" w:rsidRDefault="00EC49AF" w:rsidP="00EC49AF">
      <w:pPr>
        <w:pStyle w:val="FootnoteText"/>
        <w:rPr>
          <w:sz w:val="18"/>
          <w:szCs w:val="18"/>
          <w:lang w:val="fr-BE"/>
        </w:rPr>
      </w:pPr>
      <w:r>
        <w:rPr>
          <w:sz w:val="18"/>
          <w:szCs w:val="18"/>
          <w:lang w:val="it-IT"/>
        </w:rPr>
        <w:t>(</w:t>
      </w:r>
      <w:r w:rsidRPr="00923415">
        <w:rPr>
          <w:rStyle w:val="FootnoteReference"/>
          <w:sz w:val="18"/>
          <w:szCs w:val="18"/>
        </w:rPr>
        <w:footnoteRef/>
      </w:r>
      <w:r>
        <w:rPr>
          <w:sz w:val="18"/>
          <w:szCs w:val="18"/>
          <w:lang w:val="it-IT"/>
        </w:rPr>
        <w:t>)</w:t>
      </w:r>
      <w:r w:rsidRPr="00923415" w:rsidDel="00E97449">
        <w:rPr>
          <w:sz w:val="18"/>
          <w:szCs w:val="18"/>
          <w:lang w:val="it-IT"/>
        </w:rPr>
        <w:t xml:space="preserve"> </w:t>
      </w:r>
      <w:r w:rsidRPr="00923415">
        <w:rPr>
          <w:sz w:val="18"/>
          <w:szCs w:val="18"/>
          <w:lang w:val="it-IT"/>
        </w:rPr>
        <w:t xml:space="preserve">Cerutti, Isabella &amp; Nardo, Michela (2023). </w:t>
      </w:r>
      <w:r w:rsidRPr="001E4B47">
        <w:rPr>
          <w:rStyle w:val="Emphasis"/>
          <w:sz w:val="18"/>
          <w:szCs w:val="18"/>
        </w:rPr>
        <w:t>Semiconductors in the EU: State of play, future trends and vulnerabilities of the semiconductor supply chain</w:t>
      </w:r>
      <w:r w:rsidRPr="001E4B47">
        <w:rPr>
          <w:sz w:val="18"/>
          <w:szCs w:val="18"/>
        </w:rPr>
        <w:t xml:space="preserve">. </w:t>
      </w:r>
      <w:r w:rsidRPr="008A5F6A">
        <w:rPr>
          <w:sz w:val="18"/>
          <w:szCs w:val="18"/>
          <w:lang w:val="fr-BE"/>
        </w:rPr>
        <w:t>JRC Technical Report, JRC133850.</w:t>
      </w:r>
    </w:p>
  </w:footnote>
  <w:footnote w:id="235">
    <w:p w14:paraId="05FBA584" w14:textId="78BA4A6E" w:rsidR="00EC49AF" w:rsidRPr="001E4B47" w:rsidRDefault="00EC49AF" w:rsidP="00EC49AF">
      <w:pPr>
        <w:pStyle w:val="FootnoteText"/>
        <w:rPr>
          <w:sz w:val="18"/>
          <w:szCs w:val="18"/>
        </w:rPr>
      </w:pPr>
      <w:r w:rsidRPr="00260DCB">
        <w:rPr>
          <w:sz w:val="18"/>
          <w:szCs w:val="18"/>
          <w:lang w:val="fr-BE"/>
        </w:rPr>
        <w:t>(</w:t>
      </w:r>
      <w:r w:rsidRPr="00923415">
        <w:rPr>
          <w:rStyle w:val="FootnoteReference"/>
          <w:sz w:val="18"/>
          <w:szCs w:val="18"/>
        </w:rPr>
        <w:footnoteRef/>
      </w:r>
      <w:r w:rsidRPr="00260DCB">
        <w:rPr>
          <w:sz w:val="18"/>
          <w:szCs w:val="18"/>
          <w:lang w:val="fr-BE"/>
        </w:rPr>
        <w:t>)</w:t>
      </w:r>
      <w:r w:rsidRPr="00260DCB" w:rsidDel="007D3F03">
        <w:rPr>
          <w:sz w:val="18"/>
          <w:szCs w:val="18"/>
          <w:lang w:val="fr-BE"/>
        </w:rPr>
        <w:t xml:space="preserve"> </w:t>
      </w:r>
      <w:r w:rsidRPr="00260DCB">
        <w:rPr>
          <w:rStyle w:val="Strong"/>
          <w:b w:val="0"/>
          <w:sz w:val="18"/>
          <w:szCs w:val="18"/>
          <w:lang w:val="fr-BE"/>
        </w:rPr>
        <w:t xml:space="preserve">Cerutti, I., Nardo, M., et al. </w:t>
      </w:r>
      <w:r w:rsidRPr="00BD008E">
        <w:rPr>
          <w:rStyle w:val="Strong"/>
          <w:b w:val="0"/>
          <w:sz w:val="18"/>
          <w:szCs w:val="18"/>
        </w:rPr>
        <w:t>(2024).</w:t>
      </w:r>
      <w:r w:rsidRPr="001E4B47">
        <w:rPr>
          <w:sz w:val="18"/>
          <w:szCs w:val="18"/>
        </w:rPr>
        <w:t xml:space="preserve"> </w:t>
      </w:r>
      <w:r w:rsidRPr="001E4B47">
        <w:rPr>
          <w:rStyle w:val="Emphasis"/>
          <w:sz w:val="18"/>
          <w:szCs w:val="18"/>
        </w:rPr>
        <w:t>Applying the SCAN methodology to the Semiconductor Supply Chain.</w:t>
      </w:r>
      <w:r w:rsidRPr="001E4B47">
        <w:rPr>
          <w:sz w:val="18"/>
          <w:szCs w:val="18"/>
        </w:rPr>
        <w:t xml:space="preserve"> JRC Technical Report, JRC141323. Publications Office of the European Union</w:t>
      </w:r>
    </w:p>
  </w:footnote>
  <w:footnote w:id="236">
    <w:p w14:paraId="22096A8F" w14:textId="1DC661D6"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DECISION Études &amp; Conseil. (2024). </w:t>
      </w:r>
      <w:r w:rsidRPr="001E4B47">
        <w:rPr>
          <w:rStyle w:val="Emphasis"/>
          <w:sz w:val="18"/>
          <w:szCs w:val="18"/>
        </w:rPr>
        <w:t>Economic analysis of the EU and global chips ecosystem.</w:t>
      </w:r>
      <w:r w:rsidRPr="001E4B47">
        <w:rPr>
          <w:sz w:val="18"/>
          <w:szCs w:val="18"/>
        </w:rPr>
        <w:t xml:space="preserve"> European Commission, Directorate-General for Communications Networks, Content and Technology (DG CNECT).</w:t>
      </w:r>
    </w:p>
  </w:footnote>
  <w:footnote w:id="237">
    <w:p w14:paraId="5E49ACDD" w14:textId="5EA41C97" w:rsidR="00EC49AF" w:rsidRPr="001E4B47" w:rsidRDefault="00EC49AF" w:rsidP="00EC49AF">
      <w:pPr>
        <w:pStyle w:val="FootnoteText"/>
        <w:rPr>
          <w:sz w:val="18"/>
          <w:szCs w:val="18"/>
          <w:lang w:val="fr-BE"/>
        </w:rPr>
      </w:pPr>
      <w:r>
        <w:rPr>
          <w:sz w:val="18"/>
          <w:szCs w:val="18"/>
        </w:rPr>
        <w:t>(</w:t>
      </w:r>
      <w:r w:rsidRPr="00923415">
        <w:rPr>
          <w:rStyle w:val="FootnoteReference"/>
          <w:sz w:val="18"/>
          <w:szCs w:val="18"/>
        </w:rPr>
        <w:footnoteRef/>
      </w:r>
      <w:r>
        <w:rPr>
          <w:sz w:val="18"/>
          <w:szCs w:val="18"/>
        </w:rPr>
        <w:t>)</w:t>
      </w:r>
      <w:r w:rsidRPr="001E4B47">
        <w:rPr>
          <w:sz w:val="18"/>
          <w:szCs w:val="18"/>
        </w:rPr>
        <w:t xml:space="preserve">  Ebrahimi, A. (2024). </w:t>
      </w:r>
      <w:r w:rsidRPr="001E4B47">
        <w:rPr>
          <w:rStyle w:val="Emphasis"/>
          <w:sz w:val="18"/>
          <w:szCs w:val="18"/>
        </w:rPr>
        <w:t>Groundbreaking chip sovereignty: Europe’s strategic push in the semiconductor race.</w:t>
      </w:r>
      <w:r w:rsidRPr="001E4B47">
        <w:rPr>
          <w:sz w:val="18"/>
          <w:szCs w:val="18"/>
        </w:rPr>
        <w:t xml:space="preserve"> </w:t>
      </w:r>
      <w:r w:rsidRPr="001E4B47">
        <w:rPr>
          <w:sz w:val="18"/>
          <w:szCs w:val="18"/>
          <w:lang w:val="fr-BE"/>
        </w:rPr>
        <w:t>Ifri Memos, Institut français des relations internationales (IFRI). ISBN 979-10-373-0874-0.</w:t>
      </w:r>
    </w:p>
  </w:footnote>
  <w:footnote w:id="238">
    <w:p w14:paraId="4B798DF9" w14:textId="58E9C27E" w:rsidR="00EC49AF" w:rsidRPr="001E4B47" w:rsidRDefault="00EC49AF" w:rsidP="00EC49AF">
      <w:pPr>
        <w:pStyle w:val="FootnoteText"/>
        <w:rPr>
          <w:sz w:val="18"/>
          <w:szCs w:val="18"/>
          <w:lang w:val="fr-BE"/>
        </w:rPr>
      </w:pPr>
      <w:r>
        <w:rPr>
          <w:sz w:val="18"/>
          <w:szCs w:val="18"/>
          <w:lang w:val="fr-FR"/>
        </w:rPr>
        <w:t>(</w:t>
      </w:r>
      <w:r w:rsidRPr="00923415">
        <w:rPr>
          <w:rStyle w:val="FootnoteReference"/>
          <w:sz w:val="18"/>
          <w:szCs w:val="18"/>
        </w:rPr>
        <w:footnoteRef/>
      </w:r>
      <w:r>
        <w:rPr>
          <w:sz w:val="18"/>
          <w:szCs w:val="18"/>
          <w:lang w:val="fr-FR"/>
        </w:rPr>
        <w:t>)</w:t>
      </w:r>
      <w:r w:rsidRPr="001E4B47">
        <w:rPr>
          <w:sz w:val="18"/>
          <w:szCs w:val="18"/>
          <w:lang w:val="fr-FR"/>
        </w:rPr>
        <w:t xml:space="preserve"> </w:t>
      </w:r>
      <w:r w:rsidRPr="00923415">
        <w:rPr>
          <w:sz w:val="18"/>
          <w:szCs w:val="18"/>
          <w:lang w:val="fr-FR"/>
        </w:rPr>
        <w:t xml:space="preserve"> </w:t>
      </w:r>
      <w:r w:rsidRPr="001E4B47">
        <w:rPr>
          <w:sz w:val="18"/>
          <w:szCs w:val="18"/>
          <w:lang w:val="fr-FR"/>
        </w:rPr>
        <w:t xml:space="preserve">Ebrahimi, A. (2024). </w:t>
      </w:r>
      <w:r w:rsidRPr="001E4B47">
        <w:rPr>
          <w:rStyle w:val="Emphasis"/>
          <w:sz w:val="18"/>
          <w:szCs w:val="18"/>
        </w:rPr>
        <w:t>Groundbreaking chip sovereignty: Europe’s strategic push in the semiconductor race.</w:t>
      </w:r>
      <w:r w:rsidRPr="001E4B47">
        <w:rPr>
          <w:sz w:val="18"/>
          <w:szCs w:val="18"/>
        </w:rPr>
        <w:t xml:space="preserve"> </w:t>
      </w:r>
      <w:r w:rsidRPr="001E4B47">
        <w:rPr>
          <w:sz w:val="18"/>
          <w:szCs w:val="18"/>
          <w:lang w:val="fr-BE"/>
        </w:rPr>
        <w:t>Ifri Memos, Institut français des relations internationales (IFRI). ISBN 979-10-373-0874-0.</w:t>
      </w:r>
    </w:p>
  </w:footnote>
  <w:footnote w:id="239">
    <w:p w14:paraId="114874AF" w14:textId="1AD73C5C" w:rsidR="00EC49AF" w:rsidRPr="001E4B47" w:rsidRDefault="00EC49AF" w:rsidP="00EC49AF">
      <w:pPr>
        <w:pStyle w:val="FootnoteText"/>
        <w:rPr>
          <w:sz w:val="18"/>
          <w:szCs w:val="18"/>
          <w:lang w:val="fr-BE"/>
        </w:rPr>
      </w:pPr>
      <w:r>
        <w:rPr>
          <w:sz w:val="18"/>
          <w:szCs w:val="18"/>
          <w:lang w:val="fr-BE"/>
        </w:rPr>
        <w:t>(</w:t>
      </w:r>
      <w:r w:rsidRPr="00923415">
        <w:rPr>
          <w:rStyle w:val="FootnoteReference"/>
          <w:sz w:val="18"/>
          <w:szCs w:val="18"/>
        </w:rPr>
        <w:footnoteRef/>
      </w:r>
      <w:r>
        <w:rPr>
          <w:sz w:val="18"/>
          <w:szCs w:val="18"/>
          <w:lang w:val="fr-BE"/>
        </w:rPr>
        <w:t>)</w:t>
      </w:r>
      <w:r w:rsidRPr="001E4B47">
        <w:rPr>
          <w:sz w:val="18"/>
          <w:szCs w:val="18"/>
          <w:lang w:val="fr-BE"/>
        </w:rPr>
        <w:t xml:space="preserve"> </w:t>
      </w:r>
      <w:r w:rsidRPr="00923415">
        <w:rPr>
          <w:sz w:val="18"/>
          <w:szCs w:val="18"/>
          <w:lang w:val="fr-FR"/>
        </w:rPr>
        <w:t xml:space="preserve"> </w:t>
      </w:r>
      <w:r w:rsidRPr="001E4B47">
        <w:rPr>
          <w:sz w:val="18"/>
          <w:szCs w:val="18"/>
          <w:lang w:val="fr-BE"/>
        </w:rPr>
        <w:t xml:space="preserve">Ebrahimi, A. (2024). </w:t>
      </w:r>
      <w:r w:rsidRPr="001E4B47">
        <w:rPr>
          <w:rStyle w:val="Emphasis"/>
          <w:sz w:val="18"/>
          <w:szCs w:val="18"/>
        </w:rPr>
        <w:t>Groundbreaking chip sovereignty: Europe’s strategic push in the semiconductor race.</w:t>
      </w:r>
      <w:r w:rsidRPr="001E4B47">
        <w:rPr>
          <w:sz w:val="18"/>
          <w:szCs w:val="18"/>
        </w:rPr>
        <w:t xml:space="preserve"> </w:t>
      </w:r>
      <w:r w:rsidRPr="001E4B47">
        <w:rPr>
          <w:sz w:val="18"/>
          <w:szCs w:val="18"/>
          <w:lang w:val="fr-BE"/>
        </w:rPr>
        <w:t>Ifri Memos, Institut français des relations internationales (IFRI). ISBN 979-10-373-0874-0.</w:t>
      </w:r>
    </w:p>
  </w:footnote>
  <w:footnote w:id="240">
    <w:p w14:paraId="23B10E48" w14:textId="4E334E11" w:rsidR="00EC49AF" w:rsidRPr="001E4B47" w:rsidRDefault="00EC49AF" w:rsidP="00EC49AF">
      <w:pPr>
        <w:pStyle w:val="FootnoteText"/>
        <w:rPr>
          <w:sz w:val="18"/>
          <w:szCs w:val="18"/>
        </w:rPr>
      </w:pPr>
      <w:r>
        <w:rPr>
          <w:sz w:val="18"/>
          <w:szCs w:val="18"/>
          <w:lang w:val="fr-BE"/>
        </w:rPr>
        <w:t>(</w:t>
      </w:r>
      <w:r w:rsidRPr="00923415">
        <w:rPr>
          <w:rStyle w:val="FootnoteReference"/>
          <w:sz w:val="18"/>
          <w:szCs w:val="18"/>
        </w:rPr>
        <w:footnoteRef/>
      </w:r>
      <w:r>
        <w:rPr>
          <w:sz w:val="18"/>
          <w:szCs w:val="18"/>
          <w:lang w:val="fr-BE"/>
        </w:rPr>
        <w:t>)</w:t>
      </w:r>
      <w:r w:rsidRPr="001E4B47">
        <w:rPr>
          <w:sz w:val="18"/>
          <w:szCs w:val="18"/>
          <w:lang w:val="fr-BE"/>
        </w:rPr>
        <w:t xml:space="preserve"> </w:t>
      </w:r>
      <w:r w:rsidRPr="00923415">
        <w:rPr>
          <w:sz w:val="18"/>
          <w:szCs w:val="18"/>
          <w:lang w:val="fr-FR"/>
        </w:rPr>
        <w:t xml:space="preserve"> </w:t>
      </w:r>
      <w:r w:rsidRPr="001E4B47">
        <w:rPr>
          <w:sz w:val="18"/>
          <w:szCs w:val="18"/>
          <w:lang w:val="fr-BE"/>
        </w:rPr>
        <w:t xml:space="preserve">IDC. </w:t>
      </w:r>
      <w:r w:rsidRPr="008A5F6A">
        <w:rPr>
          <w:sz w:val="18"/>
          <w:szCs w:val="18"/>
          <w:lang w:val="fr-BE"/>
        </w:rPr>
        <w:t xml:space="preserve">(2025). </w:t>
      </w:r>
      <w:r w:rsidRPr="001E4B47">
        <w:rPr>
          <w:sz w:val="18"/>
          <w:szCs w:val="18"/>
        </w:rPr>
        <w:t>Semiconductors D3: Second interim study report (Version 3.0). Prepared for the European Commission.</w:t>
      </w:r>
    </w:p>
  </w:footnote>
  <w:footnote w:id="241">
    <w:p w14:paraId="5A7D962E" w14:textId="2146C84E" w:rsidR="00EC49AF" w:rsidRPr="001E4B47" w:rsidRDefault="00EC49AF" w:rsidP="00EC49AF">
      <w:pPr>
        <w:pStyle w:val="FootnoteText"/>
        <w:rPr>
          <w:sz w:val="18"/>
          <w:szCs w:val="18"/>
          <w:lang w:val="fr-BE"/>
        </w:rPr>
      </w:pPr>
      <w:r>
        <w:rPr>
          <w:sz w:val="18"/>
          <w:szCs w:val="18"/>
        </w:rPr>
        <w:t>(</w:t>
      </w:r>
      <w:r w:rsidRPr="00923415">
        <w:rPr>
          <w:rStyle w:val="FootnoteReference"/>
          <w:sz w:val="18"/>
          <w:szCs w:val="18"/>
        </w:rPr>
        <w:footnoteRef/>
      </w:r>
      <w:r>
        <w:rPr>
          <w:sz w:val="18"/>
          <w:szCs w:val="18"/>
        </w:rPr>
        <w:t>)</w:t>
      </w:r>
      <w:r w:rsidRPr="001E4B47">
        <w:rPr>
          <w:sz w:val="18"/>
          <w:szCs w:val="18"/>
        </w:rPr>
        <w:t xml:space="preserve">  Ebrahimi, A. (2024). </w:t>
      </w:r>
      <w:r w:rsidRPr="001E4B47">
        <w:rPr>
          <w:rStyle w:val="Emphasis"/>
          <w:sz w:val="18"/>
          <w:szCs w:val="18"/>
        </w:rPr>
        <w:t>Groundbreaking chip sovereignty: Europe’s strategic push in the semiconductor race.</w:t>
      </w:r>
      <w:r w:rsidRPr="001E4B47">
        <w:rPr>
          <w:sz w:val="18"/>
          <w:szCs w:val="18"/>
        </w:rPr>
        <w:t xml:space="preserve"> </w:t>
      </w:r>
      <w:r w:rsidRPr="001E4B47">
        <w:rPr>
          <w:sz w:val="18"/>
          <w:szCs w:val="18"/>
          <w:lang w:val="fr-BE"/>
        </w:rPr>
        <w:t>Ifri Memos, Institut français des relations internationales (IFRI). ISBN 979-10-373-0874-0.</w:t>
      </w:r>
    </w:p>
  </w:footnote>
  <w:footnote w:id="242">
    <w:p w14:paraId="1EF73B21" w14:textId="337F21EB" w:rsidR="00EC49AF" w:rsidRPr="001E4B47" w:rsidRDefault="00EC49AF" w:rsidP="00EC49AF">
      <w:pPr>
        <w:pStyle w:val="FootnoteText"/>
        <w:rPr>
          <w:sz w:val="18"/>
          <w:szCs w:val="18"/>
        </w:rPr>
      </w:pPr>
      <w:r>
        <w:rPr>
          <w:sz w:val="18"/>
          <w:szCs w:val="18"/>
          <w:lang w:val="fr-BE"/>
        </w:rPr>
        <w:t>(</w:t>
      </w:r>
      <w:r w:rsidRPr="00923415">
        <w:rPr>
          <w:rStyle w:val="FootnoteReference"/>
          <w:sz w:val="18"/>
          <w:szCs w:val="18"/>
        </w:rPr>
        <w:footnoteRef/>
      </w:r>
      <w:r>
        <w:rPr>
          <w:sz w:val="18"/>
          <w:szCs w:val="18"/>
          <w:lang w:val="fr-BE"/>
        </w:rPr>
        <w:t>)</w:t>
      </w:r>
      <w:r w:rsidRPr="001E4B47">
        <w:rPr>
          <w:sz w:val="18"/>
          <w:szCs w:val="18"/>
          <w:lang w:val="fr-BE"/>
        </w:rPr>
        <w:t xml:space="preserve"> </w:t>
      </w:r>
      <w:r w:rsidRPr="00E56E7B">
        <w:rPr>
          <w:sz w:val="18"/>
          <w:szCs w:val="18"/>
          <w:lang w:val="fr-BE"/>
        </w:rPr>
        <w:t xml:space="preserve"> </w:t>
      </w:r>
      <w:r w:rsidRPr="001E4B47">
        <w:rPr>
          <w:sz w:val="18"/>
          <w:szCs w:val="18"/>
          <w:lang w:val="fr-BE"/>
        </w:rPr>
        <w:t xml:space="preserve">DECISION Études &amp; Conseil. </w:t>
      </w:r>
      <w:r w:rsidRPr="001E4B47">
        <w:rPr>
          <w:sz w:val="18"/>
          <w:szCs w:val="18"/>
        </w:rPr>
        <w:t xml:space="preserve">(2024). </w:t>
      </w:r>
      <w:r w:rsidRPr="001E4B47">
        <w:rPr>
          <w:rStyle w:val="Emphasis"/>
          <w:sz w:val="18"/>
          <w:szCs w:val="18"/>
        </w:rPr>
        <w:t>Economic analysis of the EU and global chips ecosystem.</w:t>
      </w:r>
      <w:r w:rsidRPr="001E4B47">
        <w:rPr>
          <w:sz w:val="18"/>
          <w:szCs w:val="18"/>
        </w:rPr>
        <w:t xml:space="preserve"> European Commission, Directorate-General for Communications Networks, Content and Technology (DG CNECT).</w:t>
      </w:r>
    </w:p>
  </w:footnote>
  <w:footnote w:id="243">
    <w:p w14:paraId="0DA4215B" w14:textId="2F44F616"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DECISION Études &amp; Conseil. (2024). </w:t>
      </w:r>
      <w:r w:rsidRPr="001E4B47">
        <w:rPr>
          <w:rStyle w:val="Emphasis"/>
          <w:sz w:val="18"/>
          <w:szCs w:val="18"/>
        </w:rPr>
        <w:t>Economic analysis of the EU and global chips ecosystem.</w:t>
      </w:r>
      <w:r w:rsidRPr="001E4B47">
        <w:rPr>
          <w:sz w:val="18"/>
          <w:szCs w:val="18"/>
        </w:rPr>
        <w:t xml:space="preserve"> European Commission, Directorate-General for Communications Networks, Content and Technology (DG CNECT).</w:t>
      </w:r>
    </w:p>
  </w:footnote>
  <w:footnote w:id="244">
    <w:p w14:paraId="6CA054A8" w14:textId="03A168F0"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DECISION Études &amp; Conseil. (2024). </w:t>
      </w:r>
      <w:r w:rsidRPr="001E4B47">
        <w:rPr>
          <w:rStyle w:val="Emphasis"/>
          <w:sz w:val="18"/>
          <w:szCs w:val="18"/>
        </w:rPr>
        <w:t>Economic analysis of the EU and global chips ecosystem.</w:t>
      </w:r>
      <w:r w:rsidRPr="001E4B47">
        <w:rPr>
          <w:sz w:val="18"/>
          <w:szCs w:val="18"/>
        </w:rPr>
        <w:t xml:space="preserve"> European Commission, Directorate-General for Communications Networks, Content and Technology (DG CNECT).</w:t>
      </w:r>
    </w:p>
  </w:footnote>
  <w:footnote w:id="245">
    <w:p w14:paraId="5DDC9E80" w14:textId="6243627A"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DECISION Études &amp; Conseil. (2024). </w:t>
      </w:r>
      <w:r w:rsidRPr="001E4B47">
        <w:rPr>
          <w:rStyle w:val="Emphasis"/>
          <w:sz w:val="18"/>
          <w:szCs w:val="18"/>
        </w:rPr>
        <w:t>Economic analysis of the EU and global chips ecosystem.</w:t>
      </w:r>
      <w:r w:rsidRPr="001E4B47">
        <w:rPr>
          <w:sz w:val="18"/>
          <w:szCs w:val="18"/>
        </w:rPr>
        <w:t xml:space="preserve"> European Commission, Directorate-General for Communications Networks, Content and Technology (DG CNECT).</w:t>
      </w:r>
    </w:p>
  </w:footnote>
  <w:footnote w:id="246">
    <w:p w14:paraId="73B97CDF" w14:textId="4E25D15D" w:rsidR="00EC49AF" w:rsidRPr="00923415" w:rsidRDefault="00EC49AF" w:rsidP="00EC49AF">
      <w:pPr>
        <w:pStyle w:val="FootnoteText"/>
        <w:rPr>
          <w:sz w:val="18"/>
          <w:szCs w:val="18"/>
        </w:rPr>
      </w:pPr>
      <w:r>
        <w:rPr>
          <w:sz w:val="18"/>
          <w:szCs w:val="18"/>
          <w:lang w:val="it-IT"/>
        </w:rPr>
        <w:t>(</w:t>
      </w:r>
      <w:r w:rsidRPr="00923415">
        <w:rPr>
          <w:rStyle w:val="FootnoteReference"/>
          <w:sz w:val="18"/>
          <w:szCs w:val="18"/>
        </w:rPr>
        <w:footnoteRef/>
      </w:r>
      <w:r>
        <w:rPr>
          <w:sz w:val="18"/>
          <w:szCs w:val="18"/>
          <w:lang w:val="it-IT"/>
        </w:rPr>
        <w:t>)</w:t>
      </w:r>
      <w:r w:rsidRPr="00923415">
        <w:rPr>
          <w:sz w:val="18"/>
          <w:szCs w:val="18"/>
          <w:lang w:val="it-IT"/>
        </w:rPr>
        <w:t xml:space="preserve">  Cerutti, Isabella &amp; Nardo, Michela (2023). </w:t>
      </w:r>
      <w:r w:rsidRPr="001E4B47">
        <w:rPr>
          <w:rStyle w:val="Emphasis"/>
          <w:sz w:val="18"/>
          <w:szCs w:val="18"/>
        </w:rPr>
        <w:t>Semiconductors in the EU: State of play, future trends and vulnerabilities of the semiconductor supply chain</w:t>
      </w:r>
      <w:r w:rsidRPr="001E4B47">
        <w:rPr>
          <w:sz w:val="18"/>
          <w:szCs w:val="18"/>
        </w:rPr>
        <w:t xml:space="preserve">. JRC Technical Report, JRC133850. </w:t>
      </w:r>
    </w:p>
  </w:footnote>
  <w:footnote w:id="247">
    <w:p w14:paraId="2DF87831" w14:textId="1BDDBDF8" w:rsidR="00EC49AF" w:rsidRPr="001E4B47" w:rsidRDefault="00EC49AF" w:rsidP="00EC49AF">
      <w:pPr>
        <w:pStyle w:val="FootnoteText"/>
        <w:rPr>
          <w:sz w:val="18"/>
          <w:szCs w:val="18"/>
        </w:rPr>
      </w:pPr>
      <w:r>
        <w:rPr>
          <w:sz w:val="18"/>
          <w:szCs w:val="18"/>
          <w:lang w:val="en-IE"/>
        </w:rPr>
        <w:t>(</w:t>
      </w:r>
      <w:r w:rsidRPr="00923415">
        <w:rPr>
          <w:rStyle w:val="FootnoteReference"/>
          <w:sz w:val="18"/>
          <w:szCs w:val="18"/>
        </w:rPr>
        <w:footnoteRef/>
      </w:r>
      <w:r>
        <w:rPr>
          <w:sz w:val="18"/>
          <w:szCs w:val="18"/>
          <w:lang w:val="en-IE"/>
        </w:rPr>
        <w:t>)</w:t>
      </w:r>
      <w:r w:rsidRPr="00923415">
        <w:rPr>
          <w:sz w:val="18"/>
          <w:szCs w:val="18"/>
          <w:lang w:val="en-IE"/>
        </w:rPr>
        <w:t xml:space="preserve"> </w:t>
      </w:r>
      <w:r w:rsidRPr="007B4A38">
        <w:rPr>
          <w:sz w:val="18"/>
          <w:szCs w:val="18"/>
          <w:lang w:val="en-IE"/>
        </w:rPr>
        <w:t xml:space="preserve"> </w:t>
      </w:r>
      <w:r w:rsidRPr="00923415">
        <w:rPr>
          <w:sz w:val="18"/>
          <w:szCs w:val="18"/>
          <w:lang w:val="en-IE"/>
        </w:rPr>
        <w:t xml:space="preserve">Bonnet, P., Ciani, A., Molnar, J., &amp; Nardo, M. (2025). </w:t>
      </w:r>
      <w:r w:rsidRPr="001E4B47">
        <w:rPr>
          <w:rStyle w:val="Emphasis"/>
          <w:sz w:val="18"/>
          <w:szCs w:val="18"/>
        </w:rPr>
        <w:t>EU’s strengths and weaknesses in the global semiconductor sector</w:t>
      </w:r>
      <w:r w:rsidRPr="001E4B47">
        <w:rPr>
          <w:sz w:val="18"/>
          <w:szCs w:val="18"/>
        </w:rPr>
        <w:t xml:space="preserve"> (JRC141323, EUR 40253). Luxembourg: Publications Office of the European Union. </w:t>
      </w:r>
      <w:hyperlink r:id="rId35" w:history="1">
        <w:r w:rsidRPr="001E4B47">
          <w:rPr>
            <w:rStyle w:val="Hyperlink"/>
            <w:sz w:val="18"/>
            <w:szCs w:val="18"/>
          </w:rPr>
          <w:t>https://doi.org/10.2760/6302476</w:t>
        </w:r>
      </w:hyperlink>
    </w:p>
  </w:footnote>
  <w:footnote w:id="248">
    <w:p w14:paraId="3027A8F9" w14:textId="24CD9D20"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European Commission, Joint Research Centre (JRC). (2025). </w:t>
      </w:r>
      <w:r w:rsidRPr="001E4B47">
        <w:rPr>
          <w:rStyle w:val="Emphasis"/>
          <w:sz w:val="18"/>
          <w:szCs w:val="18"/>
        </w:rPr>
        <w:t>EU’s strengths and weaknesses in the global semiconductor sector (JRC141323).</w:t>
      </w:r>
      <w:r w:rsidRPr="001E4B47">
        <w:rPr>
          <w:sz w:val="18"/>
          <w:szCs w:val="18"/>
        </w:rPr>
        <w:t xml:space="preserve"> Luxembourg: Publications Office of the European Union.</w:t>
      </w:r>
    </w:p>
  </w:footnote>
  <w:footnote w:id="249">
    <w:p w14:paraId="7C8A22A2" w14:textId="7F1199C8"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European Court of Auditors. (2025). </w:t>
      </w:r>
      <w:r w:rsidRPr="001E4B47">
        <w:rPr>
          <w:rStyle w:val="Emphasis"/>
          <w:sz w:val="18"/>
          <w:szCs w:val="18"/>
        </w:rPr>
        <w:t>Special Report 12/2025 – The EU’s strategy for microchips: Reasonable progress in its implementation, but the Chips Act is very unlikely to be sufficient to reach the overly ambitious Digital Decade target.</w:t>
      </w:r>
      <w:r w:rsidRPr="001E4B47">
        <w:rPr>
          <w:sz w:val="18"/>
          <w:szCs w:val="18"/>
        </w:rPr>
        <w:t xml:space="preserve"> </w:t>
      </w:r>
    </w:p>
  </w:footnote>
  <w:footnote w:id="250">
    <w:p w14:paraId="5A5F9A4F" w14:textId="61458098"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Ebrahimi, A. (2024). </w:t>
      </w:r>
      <w:r w:rsidRPr="001E4B47">
        <w:rPr>
          <w:rStyle w:val="Emphasis"/>
          <w:sz w:val="18"/>
          <w:szCs w:val="18"/>
        </w:rPr>
        <w:t>Groundbreaking chip sovereignty: Europe’s strategic push in the semiconductor race.</w:t>
      </w:r>
      <w:r w:rsidRPr="001E4B47">
        <w:rPr>
          <w:sz w:val="18"/>
          <w:szCs w:val="18"/>
        </w:rPr>
        <w:t xml:space="preserve"> Ifri Memos, Institut français des relations internationales (IFRI). ISBN 979-10-373-0874-0.</w:t>
      </w:r>
    </w:p>
  </w:footnote>
  <w:footnote w:id="251">
    <w:p w14:paraId="20AFB379" w14:textId="426339A2"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w:t>
      </w:r>
      <w:r w:rsidRPr="001E4B47">
        <w:rPr>
          <w:rStyle w:val="Strong"/>
          <w:sz w:val="18"/>
          <w:szCs w:val="18"/>
        </w:rPr>
        <w:t>Boston Consulting Group (BCG) &amp; Semiconductor Industry Association (SIA).</w:t>
      </w:r>
      <w:r w:rsidRPr="001E4B47">
        <w:rPr>
          <w:sz w:val="18"/>
          <w:szCs w:val="18"/>
        </w:rPr>
        <w:t xml:space="preserve"> (May 2024). </w:t>
      </w:r>
      <w:r w:rsidRPr="001E4B47">
        <w:rPr>
          <w:rStyle w:val="Emphasis"/>
          <w:sz w:val="18"/>
          <w:szCs w:val="18"/>
        </w:rPr>
        <w:t>Emerging Resilience in the Semiconductor Supply Chain.</w:t>
      </w:r>
      <w:r w:rsidRPr="001E4B47">
        <w:rPr>
          <w:sz w:val="18"/>
          <w:szCs w:val="18"/>
        </w:rPr>
        <w:t xml:space="preserve"> </w:t>
      </w:r>
    </w:p>
  </w:footnote>
  <w:footnote w:id="252">
    <w:p w14:paraId="0F84FC95" w14:textId="73A6E3B3"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w:t>
      </w:r>
      <w:r w:rsidRPr="001E4B47">
        <w:rPr>
          <w:rStyle w:val="Strong"/>
          <w:sz w:val="18"/>
          <w:szCs w:val="18"/>
        </w:rPr>
        <w:t>McKinsey &amp; Company (2025).</w:t>
      </w:r>
      <w:r w:rsidRPr="001E4B47">
        <w:rPr>
          <w:sz w:val="18"/>
          <w:szCs w:val="18"/>
        </w:rPr>
        <w:t xml:space="preserve"> </w:t>
      </w:r>
      <w:r w:rsidRPr="001E4B47">
        <w:rPr>
          <w:rStyle w:val="Emphasis"/>
          <w:sz w:val="18"/>
          <w:szCs w:val="18"/>
        </w:rPr>
        <w:t>Semiconductors have a big opportunity but barriers to scale remain.</w:t>
      </w:r>
      <w:r w:rsidRPr="001E4B47">
        <w:rPr>
          <w:sz w:val="18"/>
          <w:szCs w:val="18"/>
        </w:rPr>
        <w:t xml:space="preserve"> February 2025.</w:t>
      </w:r>
    </w:p>
  </w:footnote>
  <w:footnote w:id="253">
    <w:p w14:paraId="7BDA8883" w14:textId="647A40C9"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w:t>
      </w:r>
      <w:r w:rsidRPr="001E4B47">
        <w:rPr>
          <w:rStyle w:val="Strong"/>
          <w:sz w:val="18"/>
          <w:szCs w:val="18"/>
        </w:rPr>
        <w:t>Deloitte.</w:t>
      </w:r>
      <w:r w:rsidRPr="001E4B47">
        <w:rPr>
          <w:sz w:val="18"/>
          <w:szCs w:val="18"/>
        </w:rPr>
        <w:t xml:space="preserve"> (2021). </w:t>
      </w:r>
      <w:r w:rsidRPr="001E4B47">
        <w:rPr>
          <w:rStyle w:val="Emphasis"/>
          <w:sz w:val="18"/>
          <w:szCs w:val="18"/>
        </w:rPr>
        <w:t>Measuring semiconductors’ economic impact.</w:t>
      </w:r>
      <w:r w:rsidRPr="001E4B47">
        <w:rPr>
          <w:sz w:val="18"/>
          <w:szCs w:val="18"/>
        </w:rPr>
        <w:t xml:space="preserve"> Deloitte Insights.</w:t>
      </w:r>
    </w:p>
  </w:footnote>
  <w:footnote w:id="254">
    <w:p w14:paraId="09B40620" w14:textId="41145B7A"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McKinsey &amp; Company. (2024). </w:t>
      </w:r>
      <w:r w:rsidRPr="001E4B47">
        <w:rPr>
          <w:rStyle w:val="Emphasis"/>
          <w:sz w:val="18"/>
          <w:szCs w:val="18"/>
        </w:rPr>
        <w:t>McKinsey on Semiconductors: Creating value, pursuing innovation, and optimizing operations.</w:t>
      </w:r>
      <w:r w:rsidRPr="001E4B47">
        <w:rPr>
          <w:sz w:val="18"/>
          <w:szCs w:val="18"/>
        </w:rPr>
        <w:t xml:space="preserve"> McKinsey &amp; Company.</w:t>
      </w:r>
    </w:p>
  </w:footnote>
  <w:footnote w:id="255">
    <w:p w14:paraId="5A5BA8E7" w14:textId="450625D8"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European Commission, Joint Research Centre (JRC). (2025). </w:t>
      </w:r>
      <w:r w:rsidRPr="001E4B47">
        <w:rPr>
          <w:rStyle w:val="Emphasis"/>
          <w:sz w:val="18"/>
          <w:szCs w:val="18"/>
        </w:rPr>
        <w:t>EU’s strengths and weaknesses in the global semiconductor sector (JRC141323).</w:t>
      </w:r>
      <w:r w:rsidRPr="001E4B47">
        <w:rPr>
          <w:sz w:val="18"/>
          <w:szCs w:val="18"/>
        </w:rPr>
        <w:t xml:space="preserve"> Luxembourg: Publications Office of the European Union.</w:t>
      </w:r>
    </w:p>
  </w:footnote>
  <w:footnote w:id="256">
    <w:p w14:paraId="096B975D" w14:textId="17E6B719"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European Commission, Joint Research Centre (JRC). (2025). </w:t>
      </w:r>
      <w:r w:rsidRPr="001E4B47">
        <w:rPr>
          <w:rStyle w:val="Emphasis"/>
          <w:sz w:val="18"/>
          <w:szCs w:val="18"/>
        </w:rPr>
        <w:t>EU’s strengths and weaknesses in the global semiconductor sector (JRC141323).</w:t>
      </w:r>
      <w:r w:rsidRPr="001E4B47">
        <w:rPr>
          <w:sz w:val="18"/>
          <w:szCs w:val="18"/>
        </w:rPr>
        <w:t xml:space="preserve"> Luxembourg: Publications Office of the European Union.</w:t>
      </w:r>
    </w:p>
  </w:footnote>
  <w:footnote w:id="257">
    <w:p w14:paraId="7F9A7E68" w14:textId="090AF594"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w:t>
      </w:r>
      <w:r w:rsidRPr="001E4B47">
        <w:rPr>
          <w:rStyle w:val="Strong"/>
          <w:sz w:val="18"/>
          <w:szCs w:val="18"/>
        </w:rPr>
        <w:t>Boston Consulting Group (BCG) &amp; Semiconductor Industry Association (SIA).</w:t>
      </w:r>
      <w:r w:rsidRPr="001E4B47">
        <w:rPr>
          <w:sz w:val="18"/>
          <w:szCs w:val="18"/>
        </w:rPr>
        <w:t xml:space="preserve"> (May 2024). </w:t>
      </w:r>
      <w:r w:rsidRPr="001E4B47">
        <w:rPr>
          <w:rStyle w:val="Emphasis"/>
          <w:sz w:val="18"/>
          <w:szCs w:val="18"/>
        </w:rPr>
        <w:t>Emerging Resilience in the Semiconductor Supply Chain.</w:t>
      </w:r>
      <w:r w:rsidRPr="001E4B47">
        <w:rPr>
          <w:sz w:val="18"/>
          <w:szCs w:val="18"/>
        </w:rPr>
        <w:t xml:space="preserve"> </w:t>
      </w:r>
    </w:p>
  </w:footnote>
  <w:footnote w:id="258">
    <w:p w14:paraId="64F061C0" w14:textId="047BEACA" w:rsidR="00EC49AF" w:rsidRPr="00C612D3" w:rsidRDefault="00EC49AF" w:rsidP="00EC49AF">
      <w:pPr>
        <w:pStyle w:val="FootnoteText"/>
        <w:rPr>
          <w:sz w:val="18"/>
          <w:szCs w:val="18"/>
          <w:lang w:val="fr-BE"/>
        </w:rPr>
      </w:pPr>
      <w:r>
        <w:rPr>
          <w:sz w:val="18"/>
          <w:szCs w:val="18"/>
        </w:rPr>
        <w:t>(</w:t>
      </w:r>
      <w:r w:rsidRPr="00923415">
        <w:rPr>
          <w:rStyle w:val="FootnoteReference"/>
          <w:sz w:val="18"/>
          <w:szCs w:val="18"/>
        </w:rPr>
        <w:footnoteRef/>
      </w:r>
      <w:r>
        <w:rPr>
          <w:sz w:val="18"/>
          <w:szCs w:val="18"/>
        </w:rPr>
        <w:t>)</w:t>
      </w:r>
      <w:r w:rsidRPr="001E4B47">
        <w:rPr>
          <w:sz w:val="18"/>
          <w:szCs w:val="18"/>
        </w:rPr>
        <w:t xml:space="preserve">  Ebrahimi, A. (2024). </w:t>
      </w:r>
      <w:r w:rsidRPr="001E4B47">
        <w:rPr>
          <w:rStyle w:val="Emphasis"/>
          <w:sz w:val="18"/>
          <w:szCs w:val="18"/>
        </w:rPr>
        <w:t>Groundbreaking chip sovereignty: Europe’s strategic push in the semiconductor race.</w:t>
      </w:r>
      <w:r w:rsidRPr="001E4B47">
        <w:rPr>
          <w:sz w:val="18"/>
          <w:szCs w:val="18"/>
        </w:rPr>
        <w:t xml:space="preserve"> </w:t>
      </w:r>
      <w:r w:rsidRPr="00C612D3">
        <w:rPr>
          <w:sz w:val="18"/>
          <w:szCs w:val="18"/>
          <w:lang w:val="fr-BE"/>
        </w:rPr>
        <w:t>Ifri Memos, Institut français des relations internationales (IFRI). ISBN 979-10-373-0874-0.</w:t>
      </w:r>
    </w:p>
  </w:footnote>
  <w:footnote w:id="259">
    <w:p w14:paraId="74E2FA42" w14:textId="20EAE774" w:rsidR="00EC49AF" w:rsidRPr="00F5084F" w:rsidRDefault="00EC49AF" w:rsidP="00EC49AF">
      <w:pPr>
        <w:pStyle w:val="FootnoteText"/>
        <w:rPr>
          <w:sz w:val="18"/>
          <w:szCs w:val="18"/>
        </w:rPr>
      </w:pPr>
      <w:r w:rsidRPr="00C612D3">
        <w:rPr>
          <w:sz w:val="18"/>
          <w:szCs w:val="18"/>
          <w:lang w:val="fr-BE"/>
        </w:rPr>
        <w:t>(</w:t>
      </w:r>
      <w:r w:rsidRPr="00923415">
        <w:rPr>
          <w:rStyle w:val="FootnoteReference"/>
          <w:sz w:val="18"/>
          <w:szCs w:val="18"/>
        </w:rPr>
        <w:footnoteRef/>
      </w:r>
      <w:r w:rsidRPr="00C612D3">
        <w:rPr>
          <w:sz w:val="18"/>
          <w:szCs w:val="18"/>
          <w:lang w:val="fr-BE"/>
        </w:rPr>
        <w:t xml:space="preserve">)  European Court of Auditors. </w:t>
      </w:r>
      <w:r w:rsidRPr="001E4B47">
        <w:rPr>
          <w:sz w:val="18"/>
          <w:szCs w:val="18"/>
        </w:rPr>
        <w:t xml:space="preserve">(2025). </w:t>
      </w:r>
      <w:r w:rsidRPr="001E4B47">
        <w:rPr>
          <w:rStyle w:val="Emphasis"/>
          <w:sz w:val="18"/>
          <w:szCs w:val="18"/>
        </w:rPr>
        <w:t>Special Report 12/2025 – The EU’s strategy for microchips: Reasonable progress in its implementation, but the Chips Act is very unlikely to be sufficient to reach the overly ambitious Digital Decade target.</w:t>
      </w:r>
      <w:r w:rsidRPr="001E4B47">
        <w:rPr>
          <w:sz w:val="18"/>
          <w:szCs w:val="18"/>
        </w:rPr>
        <w:t xml:space="preserve"> </w:t>
      </w:r>
    </w:p>
  </w:footnote>
  <w:footnote w:id="260">
    <w:p w14:paraId="42A7AB50" w14:textId="6EBE1D16"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European Commission, Joint Research Centre (JRC). (2025). </w:t>
      </w:r>
      <w:r w:rsidRPr="001E4B47">
        <w:rPr>
          <w:rStyle w:val="Emphasis"/>
          <w:sz w:val="18"/>
          <w:szCs w:val="18"/>
        </w:rPr>
        <w:t>EU’s strengths and weaknesses in the global semiconductor sector (JRC141323).</w:t>
      </w:r>
      <w:r w:rsidRPr="001E4B47">
        <w:rPr>
          <w:sz w:val="18"/>
          <w:szCs w:val="18"/>
        </w:rPr>
        <w:t xml:space="preserve"> Luxembourg: Publications Office of the European Union.</w:t>
      </w:r>
    </w:p>
  </w:footnote>
  <w:footnote w:id="261">
    <w:p w14:paraId="35640749" w14:textId="0E6ECDEE"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European Court of Auditors. (2025). </w:t>
      </w:r>
      <w:r w:rsidRPr="001E4B47">
        <w:rPr>
          <w:rStyle w:val="Emphasis"/>
          <w:sz w:val="18"/>
          <w:szCs w:val="18"/>
        </w:rPr>
        <w:t>Special Report 12/2025 – The EU’s strategy for microchips: Reasonable progress in its implementation, but the Chips Act is very unlikely to be sufficient to reach the overly ambitious Digital Decade target.</w:t>
      </w:r>
      <w:r w:rsidRPr="001E4B47">
        <w:rPr>
          <w:sz w:val="18"/>
          <w:szCs w:val="18"/>
        </w:rPr>
        <w:t xml:space="preserve"> </w:t>
      </w:r>
    </w:p>
  </w:footnote>
  <w:footnote w:id="262">
    <w:p w14:paraId="59785296" w14:textId="4BDEDD88"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Ebrahimi, A. (2024). </w:t>
      </w:r>
      <w:r w:rsidRPr="001E4B47">
        <w:rPr>
          <w:rStyle w:val="Emphasis"/>
          <w:sz w:val="18"/>
          <w:szCs w:val="18"/>
        </w:rPr>
        <w:t>Groundbreaking chip sovereignty: Europe’s strategic push in the semiconductor race.</w:t>
      </w:r>
      <w:r w:rsidRPr="001E4B47">
        <w:rPr>
          <w:sz w:val="18"/>
          <w:szCs w:val="18"/>
        </w:rPr>
        <w:t xml:space="preserve"> Ifri Memos, Institut français des relations internationales (IFRI). ISBN 979-10-373-0874-0.</w:t>
      </w:r>
    </w:p>
  </w:footnote>
  <w:footnote w:id="263">
    <w:p w14:paraId="780520E0" w14:textId="3FE57B7B"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w:t>
      </w:r>
      <w:r w:rsidRPr="001E4B47">
        <w:rPr>
          <w:rStyle w:val="Strong"/>
          <w:sz w:val="18"/>
          <w:szCs w:val="18"/>
        </w:rPr>
        <w:t>Boston Consulting Group (BCG) &amp; Semiconductor Industry Association (SIA).</w:t>
      </w:r>
      <w:r w:rsidRPr="001E4B47">
        <w:rPr>
          <w:sz w:val="18"/>
          <w:szCs w:val="18"/>
        </w:rPr>
        <w:t xml:space="preserve"> (May 2024). </w:t>
      </w:r>
      <w:r w:rsidRPr="001E4B47">
        <w:rPr>
          <w:rStyle w:val="Emphasis"/>
          <w:sz w:val="18"/>
          <w:szCs w:val="18"/>
        </w:rPr>
        <w:t>Emerging Resilience in the Semiconductor Supply Chain.</w:t>
      </w:r>
      <w:r w:rsidRPr="001E4B47">
        <w:rPr>
          <w:sz w:val="18"/>
          <w:szCs w:val="18"/>
        </w:rPr>
        <w:t xml:space="preserve"> </w:t>
      </w:r>
    </w:p>
  </w:footnote>
  <w:footnote w:id="264">
    <w:p w14:paraId="77CB3027" w14:textId="61BEE5B0"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European Commission, Joint Research Centre (JRC). (2025). </w:t>
      </w:r>
      <w:r w:rsidRPr="001E4B47">
        <w:rPr>
          <w:rStyle w:val="Emphasis"/>
          <w:sz w:val="18"/>
          <w:szCs w:val="18"/>
        </w:rPr>
        <w:t>EU’s strengths and weaknesses in the global semiconductor sector (JRC141323).</w:t>
      </w:r>
      <w:r w:rsidRPr="001E4B47">
        <w:rPr>
          <w:sz w:val="18"/>
          <w:szCs w:val="18"/>
        </w:rPr>
        <w:t xml:space="preserve"> Luxembourg: Publications Office of the European Union.</w:t>
      </w:r>
    </w:p>
  </w:footnote>
  <w:footnote w:id="265">
    <w:p w14:paraId="49032EE5" w14:textId="737E8021"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Ebrahimi, A. (2024). </w:t>
      </w:r>
      <w:r w:rsidRPr="001E4B47">
        <w:rPr>
          <w:rStyle w:val="Emphasis"/>
          <w:sz w:val="18"/>
          <w:szCs w:val="18"/>
        </w:rPr>
        <w:t>Groundbreaking chip sovereignty: Europe’s strategic push in the semiconductor race.</w:t>
      </w:r>
      <w:r w:rsidRPr="001E4B47">
        <w:rPr>
          <w:sz w:val="18"/>
          <w:szCs w:val="18"/>
        </w:rPr>
        <w:t xml:space="preserve"> Ifri Memos, Institut français des relations internationales (IFRI). ISBN 979-10-373-0874-0.</w:t>
      </w:r>
    </w:p>
  </w:footnote>
  <w:footnote w:id="266">
    <w:p w14:paraId="1A2AE23B" w14:textId="5706611B"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w:t>
      </w:r>
      <w:r w:rsidRPr="00BD008E">
        <w:rPr>
          <w:rStyle w:val="Strong"/>
          <w:b w:val="0"/>
          <w:sz w:val="18"/>
          <w:szCs w:val="18"/>
        </w:rPr>
        <w:t>Boston Consulting Group (BCG) &amp; Semiconductor Industry Association (SIA).</w:t>
      </w:r>
      <w:r w:rsidRPr="001E4B47">
        <w:rPr>
          <w:sz w:val="18"/>
          <w:szCs w:val="18"/>
        </w:rPr>
        <w:t xml:space="preserve"> (May 2024). </w:t>
      </w:r>
      <w:r w:rsidRPr="001E4B47">
        <w:rPr>
          <w:rStyle w:val="Emphasis"/>
          <w:sz w:val="18"/>
          <w:szCs w:val="18"/>
        </w:rPr>
        <w:t>Emerging Resilience in the Semiconductor Supply Chain.</w:t>
      </w:r>
      <w:r w:rsidRPr="001E4B47">
        <w:rPr>
          <w:sz w:val="18"/>
          <w:szCs w:val="18"/>
        </w:rPr>
        <w:t xml:space="preserve"> </w:t>
      </w:r>
    </w:p>
  </w:footnote>
  <w:footnote w:id="267">
    <w:p w14:paraId="7A35BF81" w14:textId="2AC83109"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European Court of Auditors. (2025). </w:t>
      </w:r>
      <w:r w:rsidRPr="001E4B47">
        <w:rPr>
          <w:rStyle w:val="Emphasis"/>
          <w:sz w:val="18"/>
          <w:szCs w:val="18"/>
        </w:rPr>
        <w:t>Special Report 12/2025 – The EU’s strategy for microchips: Reasonable progress in its implementation, but the Chips Act is very unlikely to be sufficient to reach the overly ambitious Digital Decade target.</w:t>
      </w:r>
      <w:r w:rsidRPr="001E4B47">
        <w:rPr>
          <w:sz w:val="18"/>
          <w:szCs w:val="18"/>
        </w:rPr>
        <w:t xml:space="preserve"> </w:t>
      </w:r>
    </w:p>
  </w:footnote>
  <w:footnote w:id="268">
    <w:p w14:paraId="7B00C267" w14:textId="5D0DF325"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w:t>
      </w:r>
      <w:r w:rsidRPr="00156B9D">
        <w:rPr>
          <w:sz w:val="18"/>
          <w:szCs w:val="18"/>
        </w:rPr>
        <w:t xml:space="preserve"> </w:t>
      </w:r>
      <w:r w:rsidRPr="00156B9D">
        <w:rPr>
          <w:rStyle w:val="Strong"/>
          <w:sz w:val="18"/>
          <w:szCs w:val="18"/>
        </w:rPr>
        <w:t>McKinsey &amp; Company (2025).</w:t>
      </w:r>
      <w:r w:rsidRPr="00156B9D">
        <w:rPr>
          <w:sz w:val="18"/>
          <w:szCs w:val="18"/>
        </w:rPr>
        <w:t xml:space="preserve"> </w:t>
      </w:r>
      <w:r w:rsidRPr="001E4B47">
        <w:rPr>
          <w:rStyle w:val="Emphasis"/>
          <w:sz w:val="18"/>
          <w:szCs w:val="18"/>
        </w:rPr>
        <w:t>Semiconductors have a big opportunity but barriers to scale remain.</w:t>
      </w:r>
      <w:r w:rsidRPr="001E4B47">
        <w:rPr>
          <w:sz w:val="18"/>
          <w:szCs w:val="18"/>
        </w:rPr>
        <w:t xml:space="preserve"> February 2025.</w:t>
      </w:r>
    </w:p>
  </w:footnote>
  <w:footnote w:id="269">
    <w:p w14:paraId="672EE413" w14:textId="7B35BA37"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w:t>
      </w:r>
      <w:r w:rsidRPr="00156B9D">
        <w:rPr>
          <w:rStyle w:val="Strong"/>
          <w:sz w:val="18"/>
          <w:szCs w:val="18"/>
        </w:rPr>
        <w:t>Deloitte.</w:t>
      </w:r>
      <w:r w:rsidRPr="001E4B47">
        <w:rPr>
          <w:sz w:val="18"/>
          <w:szCs w:val="18"/>
        </w:rPr>
        <w:t xml:space="preserve"> (2021). </w:t>
      </w:r>
      <w:r w:rsidRPr="001E4B47">
        <w:rPr>
          <w:rStyle w:val="Emphasis"/>
          <w:sz w:val="18"/>
          <w:szCs w:val="18"/>
        </w:rPr>
        <w:t>Measuring semiconductors’ economic impact.</w:t>
      </w:r>
      <w:r w:rsidRPr="001E4B47">
        <w:rPr>
          <w:sz w:val="18"/>
          <w:szCs w:val="18"/>
        </w:rPr>
        <w:t xml:space="preserve"> Deloitte Insights.</w:t>
      </w:r>
    </w:p>
  </w:footnote>
  <w:footnote w:id="270">
    <w:p w14:paraId="0CF09415" w14:textId="5735BFC6"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European Court of Auditors. (2025). </w:t>
      </w:r>
      <w:r w:rsidRPr="001E4B47">
        <w:rPr>
          <w:rStyle w:val="Emphasis"/>
          <w:sz w:val="18"/>
          <w:szCs w:val="18"/>
        </w:rPr>
        <w:t>Special Report 12/2025 – The EU’s strategy for microchips: Reasonable progress in its implementation, but the Chips Act is very unlikely to be sufficient to reach the overly ambitious Digital Decade target.</w:t>
      </w:r>
      <w:r w:rsidRPr="001E4B47">
        <w:rPr>
          <w:sz w:val="18"/>
          <w:szCs w:val="18"/>
        </w:rPr>
        <w:t xml:space="preserve"> </w:t>
      </w:r>
    </w:p>
  </w:footnote>
  <w:footnote w:id="271">
    <w:p w14:paraId="046DA1AE" w14:textId="65F21495"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European Commission, Joint Research Centre (JRC). (2025). </w:t>
      </w:r>
      <w:r w:rsidRPr="001E4B47">
        <w:rPr>
          <w:rStyle w:val="Emphasis"/>
          <w:sz w:val="18"/>
          <w:szCs w:val="18"/>
        </w:rPr>
        <w:t>EU’s strengths and weaknesses in the global semiconductor sector (JRC141323).</w:t>
      </w:r>
      <w:r w:rsidRPr="001E4B47">
        <w:rPr>
          <w:sz w:val="18"/>
          <w:szCs w:val="18"/>
        </w:rPr>
        <w:t xml:space="preserve"> Luxembourg: Publications Office of the European Union.</w:t>
      </w:r>
    </w:p>
  </w:footnote>
  <w:footnote w:id="272">
    <w:p w14:paraId="7CE03E97" w14:textId="440AE912"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European Commission, Joint Research Centre (JRC). (2025). </w:t>
      </w:r>
      <w:r w:rsidRPr="001E4B47">
        <w:rPr>
          <w:rStyle w:val="Emphasis"/>
          <w:sz w:val="18"/>
          <w:szCs w:val="18"/>
        </w:rPr>
        <w:t>EU’s strengths and weaknesses in the global semiconductor sector (JRC141323).</w:t>
      </w:r>
      <w:r w:rsidRPr="001E4B47">
        <w:rPr>
          <w:sz w:val="18"/>
          <w:szCs w:val="18"/>
        </w:rPr>
        <w:t xml:space="preserve"> Luxembourg: Publications Office of the European Union.</w:t>
      </w:r>
    </w:p>
  </w:footnote>
  <w:footnote w:id="273">
    <w:p w14:paraId="41CE1167" w14:textId="719C1EB8"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w:t>
      </w:r>
      <w:r w:rsidRPr="00156B9D">
        <w:rPr>
          <w:rStyle w:val="Strong"/>
          <w:sz w:val="18"/>
          <w:szCs w:val="18"/>
        </w:rPr>
        <w:t>Boston Consulting Group (BCG) &amp; Semiconductor Industry Association (SIA).</w:t>
      </w:r>
      <w:r w:rsidRPr="001E4B47">
        <w:rPr>
          <w:sz w:val="18"/>
          <w:szCs w:val="18"/>
        </w:rPr>
        <w:t xml:space="preserve"> (May 2024). </w:t>
      </w:r>
      <w:r w:rsidRPr="001E4B47">
        <w:rPr>
          <w:rStyle w:val="Emphasis"/>
          <w:sz w:val="18"/>
          <w:szCs w:val="18"/>
        </w:rPr>
        <w:t>Emerging Resilience in the Semiconductor Supply Chain.</w:t>
      </w:r>
    </w:p>
  </w:footnote>
  <w:footnote w:id="274">
    <w:p w14:paraId="197E81A6" w14:textId="0D53681E" w:rsidR="00EC49AF" w:rsidRPr="001E4B47" w:rsidRDefault="00EC49AF" w:rsidP="00EC49AF">
      <w:pPr>
        <w:pStyle w:val="FootnoteText"/>
        <w:rPr>
          <w:sz w:val="18"/>
          <w:szCs w:val="18"/>
          <w:lang w:val="nl-NL"/>
        </w:rPr>
      </w:pPr>
      <w:r>
        <w:rPr>
          <w:sz w:val="18"/>
          <w:szCs w:val="18"/>
        </w:rPr>
        <w:t>(</w:t>
      </w:r>
      <w:r w:rsidRPr="00923415">
        <w:rPr>
          <w:rStyle w:val="FootnoteReference"/>
          <w:sz w:val="18"/>
          <w:szCs w:val="18"/>
        </w:rPr>
        <w:footnoteRef/>
      </w:r>
      <w:r>
        <w:rPr>
          <w:sz w:val="18"/>
          <w:szCs w:val="18"/>
        </w:rPr>
        <w:t>)</w:t>
      </w:r>
      <w:r w:rsidRPr="001E4B47">
        <w:rPr>
          <w:sz w:val="18"/>
          <w:szCs w:val="18"/>
        </w:rPr>
        <w:t xml:space="preserve">  Bruegel. (2025). </w:t>
      </w:r>
      <w:r w:rsidRPr="001E4B47">
        <w:rPr>
          <w:rStyle w:val="Emphasis"/>
          <w:sz w:val="18"/>
          <w:szCs w:val="18"/>
        </w:rPr>
        <w:t>Europe’s technological divide: Radical novelties, diffusion, and the global race for frontier innovation</w:t>
      </w:r>
      <w:r w:rsidRPr="001E4B47">
        <w:rPr>
          <w:sz w:val="18"/>
          <w:szCs w:val="18"/>
        </w:rPr>
        <w:t xml:space="preserve"> (Working Paper 07/2025). </w:t>
      </w:r>
      <w:r w:rsidRPr="001E4B47">
        <w:rPr>
          <w:sz w:val="18"/>
          <w:szCs w:val="18"/>
          <w:lang w:val="nl-NL"/>
        </w:rPr>
        <w:t xml:space="preserve">Brussels: Bruegel. </w:t>
      </w:r>
      <w:hyperlink r:id="rId36" w:history="1">
        <w:r w:rsidR="00526CD9" w:rsidRPr="00526CD9">
          <w:rPr>
            <w:rStyle w:val="Hyperlink"/>
            <w:sz w:val="18"/>
            <w:szCs w:val="18"/>
            <w:lang w:val="nl-NL"/>
          </w:rPr>
          <w:t>https://www.bruegel.org/sites/default/files/2025-07/WP%2007%202025.pdf</w:t>
        </w:r>
      </w:hyperlink>
      <w:r w:rsidRPr="001E4B47">
        <w:rPr>
          <w:sz w:val="18"/>
          <w:szCs w:val="18"/>
          <w:lang w:val="nl-NL"/>
        </w:rPr>
        <w:t xml:space="preserve"> </w:t>
      </w:r>
    </w:p>
  </w:footnote>
  <w:footnote w:id="275">
    <w:p w14:paraId="25407FFE" w14:textId="3E32E403"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Patent families representing entirely new combinations of technology codes in the global patent system. In semiconductors, these identify frontier breakthroughs in materials, device structures, and manufacturing processes. Between 2019 and 2023, the EU produced only 804 such patents, compared with 3 203 in the US and 2 892 in China.</w:t>
      </w:r>
    </w:p>
  </w:footnote>
  <w:footnote w:id="276">
    <w:p w14:paraId="367B0013" w14:textId="53CDF055"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w:t>
      </w:r>
      <w:r w:rsidRPr="001E4B47">
        <w:rPr>
          <w:rStyle w:val="Strong"/>
          <w:sz w:val="18"/>
          <w:szCs w:val="18"/>
        </w:rPr>
        <w:t>McKinsey &amp; Company (2025).</w:t>
      </w:r>
      <w:r w:rsidRPr="001E4B47">
        <w:rPr>
          <w:sz w:val="18"/>
          <w:szCs w:val="18"/>
        </w:rPr>
        <w:t xml:space="preserve"> </w:t>
      </w:r>
      <w:r w:rsidRPr="001E4B47">
        <w:rPr>
          <w:rStyle w:val="Emphasis"/>
          <w:sz w:val="18"/>
          <w:szCs w:val="18"/>
        </w:rPr>
        <w:t>Semiconductors have a big opportunity but barriers to scale remain.</w:t>
      </w:r>
      <w:r w:rsidRPr="001E4B47">
        <w:rPr>
          <w:sz w:val="18"/>
          <w:szCs w:val="18"/>
        </w:rPr>
        <w:t xml:space="preserve"> February 2025.</w:t>
      </w:r>
    </w:p>
  </w:footnote>
  <w:footnote w:id="277">
    <w:p w14:paraId="27BEB9B6" w14:textId="1E89D7E1"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European Commission, Joint Research Centre (JRC). (2025). </w:t>
      </w:r>
      <w:r w:rsidRPr="001E4B47">
        <w:rPr>
          <w:rStyle w:val="Emphasis"/>
          <w:sz w:val="18"/>
          <w:szCs w:val="18"/>
        </w:rPr>
        <w:t>EU’s strengths and weaknesses in the global semiconductor sector (JRC141323).</w:t>
      </w:r>
      <w:r w:rsidRPr="001E4B47">
        <w:rPr>
          <w:sz w:val="18"/>
          <w:szCs w:val="18"/>
        </w:rPr>
        <w:t xml:space="preserve"> Luxembourg: Publications Office of the European Union.</w:t>
      </w:r>
    </w:p>
  </w:footnote>
  <w:footnote w:id="278">
    <w:p w14:paraId="5AE748AB" w14:textId="292B94E7"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European Court of Auditors. (2025). </w:t>
      </w:r>
      <w:r w:rsidRPr="001E4B47">
        <w:rPr>
          <w:rStyle w:val="Emphasis"/>
          <w:sz w:val="18"/>
          <w:szCs w:val="18"/>
        </w:rPr>
        <w:t>Special Report 12/2025 – The EU’s strategy for microchips: Reasonable progress in its implementation, but the Chips Act is very unlikely to be sufficient to reach the overly ambitious Digital Decade target.</w:t>
      </w:r>
      <w:r w:rsidRPr="001E4B47">
        <w:rPr>
          <w:sz w:val="18"/>
          <w:szCs w:val="18"/>
        </w:rPr>
        <w:t xml:space="preserve"> </w:t>
      </w:r>
    </w:p>
  </w:footnote>
  <w:footnote w:id="279">
    <w:p w14:paraId="75DBA1E2" w14:textId="07FC244F"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European Commission, Joint Research Centre (JRC). (2025). </w:t>
      </w:r>
      <w:r w:rsidRPr="001E4B47">
        <w:rPr>
          <w:rStyle w:val="Emphasis"/>
          <w:sz w:val="18"/>
          <w:szCs w:val="18"/>
        </w:rPr>
        <w:t>EU’s strengths and weaknesses in the global semiconductor sector (JRC141323).</w:t>
      </w:r>
      <w:r w:rsidRPr="001E4B47">
        <w:rPr>
          <w:sz w:val="18"/>
          <w:szCs w:val="18"/>
        </w:rPr>
        <w:t xml:space="preserve"> Luxembourg: Publications Office of the European Union.</w:t>
      </w:r>
    </w:p>
  </w:footnote>
  <w:footnote w:id="280">
    <w:p w14:paraId="05DE4C2C" w14:textId="6F099BA0"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DECISION Études &amp; Conseil (2024), </w:t>
      </w:r>
      <w:r w:rsidRPr="001E4B47">
        <w:rPr>
          <w:rStyle w:val="Emphasis"/>
          <w:sz w:val="18"/>
          <w:szCs w:val="18"/>
        </w:rPr>
        <w:t>Mapping of the European Semiconductor Industry and Value Chain: Company Distribution, Regional Clusters and Investment Dynamics</w:t>
      </w:r>
      <w:r w:rsidRPr="001E4B47">
        <w:rPr>
          <w:sz w:val="18"/>
          <w:szCs w:val="18"/>
        </w:rPr>
        <w:t>, study prepared for DG CONNECT, European Commission, Brussels.</w:t>
      </w:r>
    </w:p>
  </w:footnote>
  <w:footnote w:id="281">
    <w:p w14:paraId="3C1CEB35" w14:textId="5EA43A6A"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McKinsey &amp; Company (2025), </w:t>
      </w:r>
      <w:r w:rsidRPr="001E4B47">
        <w:rPr>
          <w:rStyle w:val="Emphasis"/>
          <w:sz w:val="18"/>
          <w:szCs w:val="18"/>
        </w:rPr>
        <w:t>Semiconductors Have a Big Opportunity, but Barriers to Scale Remain</w:t>
      </w:r>
      <w:r w:rsidRPr="001E4B47">
        <w:rPr>
          <w:sz w:val="18"/>
          <w:szCs w:val="18"/>
        </w:rPr>
        <w:t>, McKinsey Global Institute, April 2025.</w:t>
      </w:r>
    </w:p>
  </w:footnote>
  <w:footnote w:id="282">
    <w:p w14:paraId="3C782513" w14:textId="5D61E6EC"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European Commission, Joint Research Centre (2025), </w:t>
      </w:r>
      <w:r w:rsidRPr="001E4B47">
        <w:rPr>
          <w:rStyle w:val="Emphasis"/>
          <w:sz w:val="18"/>
          <w:szCs w:val="18"/>
        </w:rPr>
        <w:t>EU’s Strengths and Weaknesses in the Global Semiconductor Sector</w:t>
      </w:r>
      <w:r w:rsidRPr="001E4B47">
        <w:rPr>
          <w:sz w:val="18"/>
          <w:szCs w:val="18"/>
        </w:rPr>
        <w:t>, Publications Office of the European Union, Luxembourg, doi:10.2760/6302476.</w:t>
      </w:r>
    </w:p>
  </w:footnote>
  <w:footnote w:id="283">
    <w:p w14:paraId="6833150E" w14:textId="0FE4D397" w:rsidR="00EC49AF" w:rsidRPr="001E4B47" w:rsidRDefault="00EC49AF" w:rsidP="00EC49AF">
      <w:pPr>
        <w:pStyle w:val="NormalWeb"/>
        <w:spacing w:before="0" w:beforeAutospacing="0" w:after="0" w:afterAutospacing="0"/>
        <w:rPr>
          <w:sz w:val="18"/>
          <w:szCs w:val="18"/>
        </w:rPr>
      </w:pPr>
      <w:r>
        <w:rPr>
          <w:sz w:val="18"/>
          <w:szCs w:val="18"/>
          <w:lang w:val="sv-SE"/>
        </w:rPr>
        <w:t>(</w:t>
      </w:r>
      <w:r w:rsidRPr="00923415">
        <w:rPr>
          <w:rStyle w:val="FootnoteReference"/>
          <w:sz w:val="18"/>
          <w:szCs w:val="18"/>
        </w:rPr>
        <w:footnoteRef/>
      </w:r>
      <w:r>
        <w:rPr>
          <w:sz w:val="18"/>
          <w:szCs w:val="18"/>
          <w:lang w:val="sv-SE"/>
        </w:rPr>
        <w:t>)</w:t>
      </w:r>
      <w:r w:rsidRPr="001E4B47">
        <w:rPr>
          <w:sz w:val="18"/>
          <w:szCs w:val="18"/>
          <w:lang w:val="sv-SE"/>
        </w:rPr>
        <w:t xml:space="preserve"> </w:t>
      </w:r>
      <w:r w:rsidRPr="00923415">
        <w:rPr>
          <w:sz w:val="18"/>
          <w:szCs w:val="18"/>
          <w:lang w:val="pl-PL"/>
        </w:rPr>
        <w:t xml:space="preserve"> </w:t>
      </w:r>
      <w:r w:rsidRPr="001E4B47">
        <w:rPr>
          <w:sz w:val="18"/>
          <w:szCs w:val="18"/>
          <w:lang w:val="sv-SE"/>
        </w:rPr>
        <w:t xml:space="preserve">Bonnet, P., Ciani, A., Molnar, J., &amp; Nardo, M. (2025). </w:t>
      </w:r>
      <w:r w:rsidRPr="001E4B47">
        <w:rPr>
          <w:rStyle w:val="Emphasis"/>
          <w:sz w:val="18"/>
          <w:szCs w:val="18"/>
        </w:rPr>
        <w:t>EU’s strengths and weaknesses in the global semiconductor sector</w:t>
      </w:r>
      <w:r w:rsidRPr="001E4B47">
        <w:rPr>
          <w:sz w:val="18"/>
          <w:szCs w:val="18"/>
        </w:rPr>
        <w:t xml:space="preserve"> (EUR 40253 EN). Luxembourg: Publications Office of the European Union. https://doi.org/10.2760/6302476</w:t>
      </w:r>
    </w:p>
  </w:footnote>
  <w:footnote w:id="284">
    <w:p w14:paraId="0ABB9B0C" w14:textId="5895F1E4"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McKinsey &amp; Company. (2024). </w:t>
      </w:r>
      <w:r w:rsidRPr="001E4B47">
        <w:rPr>
          <w:rStyle w:val="Emphasis"/>
          <w:sz w:val="18"/>
          <w:szCs w:val="18"/>
        </w:rPr>
        <w:t>McKinsey on semiconductors: Creating value, pursuing innovation, and optimizing operations.</w:t>
      </w:r>
      <w:r w:rsidRPr="001E4B47">
        <w:rPr>
          <w:sz w:val="18"/>
          <w:szCs w:val="18"/>
        </w:rPr>
        <w:t xml:space="preserve"> New York: McKinsey Global Institute.</w:t>
      </w:r>
    </w:p>
  </w:footnote>
  <w:footnote w:id="285">
    <w:p w14:paraId="5A37D07B" w14:textId="0B6D8DD9" w:rsidR="00EC49AF" w:rsidRPr="001E4B47" w:rsidRDefault="00EC49AF" w:rsidP="00EC49AF">
      <w:pPr>
        <w:pStyle w:val="NormalWeb"/>
        <w:spacing w:before="0" w:beforeAutospacing="0" w:after="0" w:afterAutospacing="0"/>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European Court of Auditors. (2025). </w:t>
      </w:r>
      <w:r w:rsidRPr="001E4B47">
        <w:rPr>
          <w:rStyle w:val="Emphasis"/>
          <w:sz w:val="18"/>
          <w:szCs w:val="18"/>
        </w:rPr>
        <w:t>Special report 12/2025: The EU’s strategy for microchips – Reasonable progress in its implementation, but the Chips Act is very unlikely to be sufficient to reach the overly ambitious Digital Decade target.</w:t>
      </w:r>
    </w:p>
  </w:footnote>
  <w:footnote w:id="286">
    <w:p w14:paraId="2A45F692" w14:textId="04E78564"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McKinsey &amp; Company. (2025). </w:t>
      </w:r>
      <w:r w:rsidRPr="001E4B47">
        <w:rPr>
          <w:rStyle w:val="Emphasis"/>
          <w:sz w:val="18"/>
          <w:szCs w:val="18"/>
        </w:rPr>
        <w:t>Semiconductors have a big opportunity, but barriers to scale remain.</w:t>
      </w:r>
      <w:r w:rsidRPr="001E4B47">
        <w:rPr>
          <w:sz w:val="18"/>
          <w:szCs w:val="18"/>
        </w:rPr>
        <w:t xml:space="preserve"> New York: McKinsey Global Institute.</w:t>
      </w:r>
    </w:p>
  </w:footnote>
  <w:footnote w:id="287">
    <w:p w14:paraId="59110A7E" w14:textId="40F512B6"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Boston Consulting Group (BCG) &amp; Semiconductor Industry Association (SIA). (2024). </w:t>
      </w:r>
      <w:r w:rsidRPr="001E4B47">
        <w:rPr>
          <w:rStyle w:val="Emphasis"/>
          <w:sz w:val="18"/>
          <w:szCs w:val="18"/>
        </w:rPr>
        <w:t>Emerging resilience in the semiconductor supply chain.</w:t>
      </w:r>
      <w:r w:rsidRPr="001E4B47">
        <w:rPr>
          <w:sz w:val="18"/>
          <w:szCs w:val="18"/>
        </w:rPr>
        <w:t xml:space="preserve"> May 2024. Boston: Boston Consulting Group and Semiconductor Industry Association.</w:t>
      </w:r>
    </w:p>
  </w:footnote>
  <w:footnote w:id="288">
    <w:p w14:paraId="7DCC5A3D" w14:textId="14DBB19A" w:rsidR="00EC49AF" w:rsidRPr="00683962" w:rsidRDefault="00EC49AF" w:rsidP="00EC49AF">
      <w:pPr>
        <w:pStyle w:val="NormalWeb"/>
        <w:spacing w:before="0" w:beforeAutospacing="0" w:after="0" w:afterAutospacing="0"/>
        <w:rPr>
          <w:sz w:val="18"/>
          <w:szCs w:val="18"/>
        </w:rPr>
      </w:pPr>
      <w:r>
        <w:rPr>
          <w:sz w:val="18"/>
          <w:szCs w:val="18"/>
          <w:lang w:val="sv-SE"/>
        </w:rPr>
        <w:t>(</w:t>
      </w:r>
      <w:r w:rsidRPr="00923415">
        <w:rPr>
          <w:rStyle w:val="FootnoteReference"/>
          <w:sz w:val="18"/>
          <w:szCs w:val="18"/>
        </w:rPr>
        <w:footnoteRef/>
      </w:r>
      <w:r>
        <w:rPr>
          <w:sz w:val="18"/>
          <w:szCs w:val="18"/>
          <w:lang w:val="sv-SE"/>
        </w:rPr>
        <w:t>)</w:t>
      </w:r>
      <w:r w:rsidRPr="00683962">
        <w:rPr>
          <w:sz w:val="18"/>
          <w:szCs w:val="18"/>
          <w:lang w:val="sv-SE"/>
        </w:rPr>
        <w:t xml:space="preserve"> </w:t>
      </w:r>
      <w:r w:rsidRPr="00923415">
        <w:rPr>
          <w:sz w:val="18"/>
          <w:szCs w:val="18"/>
          <w:lang w:val="pl-PL"/>
        </w:rPr>
        <w:t xml:space="preserve"> </w:t>
      </w:r>
      <w:r w:rsidRPr="00683962">
        <w:rPr>
          <w:sz w:val="18"/>
          <w:szCs w:val="18"/>
          <w:lang w:val="sv-SE"/>
        </w:rPr>
        <w:t xml:space="preserve">Bonnet, P., Ciani, A., Molnar, J., &amp; Nardo, M. (2025). </w:t>
      </w:r>
      <w:r w:rsidRPr="00683962">
        <w:rPr>
          <w:rStyle w:val="Emphasis"/>
          <w:sz w:val="18"/>
          <w:szCs w:val="18"/>
        </w:rPr>
        <w:t>EU’s strengths and weaknesses in the global semiconductor sector</w:t>
      </w:r>
      <w:r w:rsidRPr="00683962">
        <w:rPr>
          <w:sz w:val="18"/>
          <w:szCs w:val="18"/>
        </w:rPr>
        <w:t xml:space="preserve"> (EUR 40253 EN). Luxembourg: Publications Office of the European Union. https://doi.org/10.2760/6302476</w:t>
      </w:r>
    </w:p>
  </w:footnote>
  <w:footnote w:id="289">
    <w:p w14:paraId="23AEC787" w14:textId="4B39207C" w:rsidR="00EC49AF" w:rsidRPr="00683962"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683962">
        <w:rPr>
          <w:sz w:val="18"/>
          <w:szCs w:val="18"/>
        </w:rPr>
        <w:t xml:space="preserve">  Deloitte. (2021). </w:t>
      </w:r>
      <w:r w:rsidRPr="00683962">
        <w:rPr>
          <w:rStyle w:val="Emphasis"/>
          <w:sz w:val="18"/>
          <w:szCs w:val="18"/>
        </w:rPr>
        <w:t>Measuring semiconductors’ economic impact: How many jobs does the semiconductor industry create?</w:t>
      </w:r>
      <w:r w:rsidRPr="00683962">
        <w:rPr>
          <w:sz w:val="18"/>
          <w:szCs w:val="18"/>
        </w:rPr>
        <w:t xml:space="preserve"> Deloitte Insights, September 2021.</w:t>
      </w:r>
    </w:p>
  </w:footnote>
  <w:footnote w:id="290">
    <w:p w14:paraId="03295924" w14:textId="69A01015" w:rsidR="00EC49AF" w:rsidRPr="00683962"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683962">
        <w:rPr>
          <w:sz w:val="18"/>
          <w:szCs w:val="18"/>
        </w:rPr>
        <w:t xml:space="preserve">  McKinsey &amp; Company. (2024). </w:t>
      </w:r>
      <w:r w:rsidRPr="00683962">
        <w:rPr>
          <w:rStyle w:val="Emphasis"/>
          <w:sz w:val="18"/>
          <w:szCs w:val="18"/>
        </w:rPr>
        <w:t>McKinsey on semiconductors: Creating value, pursuing innovation, and optimizing operations.</w:t>
      </w:r>
      <w:r w:rsidRPr="00683962">
        <w:rPr>
          <w:sz w:val="18"/>
          <w:szCs w:val="18"/>
        </w:rPr>
        <w:t xml:space="preserve"> New York: McKinsey Global Institute.</w:t>
      </w:r>
    </w:p>
  </w:footnote>
  <w:footnote w:id="291">
    <w:p w14:paraId="644D7E69" w14:textId="3C95EA11" w:rsidR="00EC49AF" w:rsidRPr="00683962"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683962">
        <w:rPr>
          <w:sz w:val="18"/>
          <w:szCs w:val="18"/>
        </w:rPr>
        <w:t xml:space="preserve">  McKinsey &amp; Company. (2025). </w:t>
      </w:r>
      <w:r w:rsidRPr="00683962">
        <w:rPr>
          <w:rStyle w:val="Emphasis"/>
          <w:sz w:val="18"/>
          <w:szCs w:val="18"/>
        </w:rPr>
        <w:t>Semiconductors have a big opportunity, but barriers to scale remain.</w:t>
      </w:r>
      <w:r w:rsidRPr="00683962">
        <w:rPr>
          <w:sz w:val="18"/>
          <w:szCs w:val="18"/>
        </w:rPr>
        <w:t xml:space="preserve"> New York: McKinsey Global Institute.</w:t>
      </w:r>
    </w:p>
  </w:footnote>
  <w:footnote w:id="292">
    <w:p w14:paraId="0BF7752A" w14:textId="5E41725A" w:rsidR="00EC49AF" w:rsidRPr="00683962"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683962">
        <w:rPr>
          <w:sz w:val="18"/>
          <w:szCs w:val="18"/>
        </w:rPr>
        <w:t xml:space="preserve">  European Chips Skills Academy. (2024). ECSA Skills Strategy 2024 (rev 20052025). https://chipsacademy.eu/wp-content/uploads/2025/05/ECSA-Skills-Strategy-2024-rev-20052025.pdf</w:t>
      </w:r>
    </w:p>
  </w:footnote>
  <w:footnote w:id="293">
    <w:p w14:paraId="2F568FC5" w14:textId="0FCCE148" w:rsidR="00EC49AF" w:rsidRPr="00683962" w:rsidRDefault="00EC49AF" w:rsidP="00EC49AF">
      <w:pPr>
        <w:pStyle w:val="NormalWeb"/>
        <w:spacing w:before="0" w:beforeAutospacing="0" w:after="0" w:afterAutospacing="0"/>
        <w:rPr>
          <w:sz w:val="18"/>
          <w:szCs w:val="18"/>
        </w:rPr>
      </w:pPr>
      <w:r>
        <w:rPr>
          <w:sz w:val="18"/>
          <w:szCs w:val="18"/>
          <w:lang w:val="sv-SE"/>
        </w:rPr>
        <w:t>(</w:t>
      </w:r>
      <w:r w:rsidRPr="00923415">
        <w:rPr>
          <w:rStyle w:val="FootnoteReference"/>
          <w:sz w:val="18"/>
          <w:szCs w:val="18"/>
        </w:rPr>
        <w:footnoteRef/>
      </w:r>
      <w:r>
        <w:rPr>
          <w:sz w:val="18"/>
          <w:szCs w:val="18"/>
          <w:lang w:val="sv-SE"/>
        </w:rPr>
        <w:t>)</w:t>
      </w:r>
      <w:r w:rsidRPr="00683962">
        <w:rPr>
          <w:sz w:val="18"/>
          <w:szCs w:val="18"/>
          <w:lang w:val="sv-SE"/>
        </w:rPr>
        <w:t xml:space="preserve"> </w:t>
      </w:r>
      <w:r w:rsidRPr="00923415">
        <w:rPr>
          <w:sz w:val="18"/>
          <w:szCs w:val="18"/>
          <w:lang w:val="pl-PL"/>
        </w:rPr>
        <w:t xml:space="preserve"> </w:t>
      </w:r>
      <w:r w:rsidRPr="00683962">
        <w:rPr>
          <w:sz w:val="18"/>
          <w:szCs w:val="18"/>
          <w:lang w:val="sv-SE"/>
        </w:rPr>
        <w:t xml:space="preserve">Bonnet, P., Ciani, A., Molnar, J., &amp; Nardo, M. (2025). </w:t>
      </w:r>
      <w:r w:rsidRPr="00683962">
        <w:rPr>
          <w:rStyle w:val="Emphasis"/>
          <w:sz w:val="18"/>
          <w:szCs w:val="18"/>
        </w:rPr>
        <w:t>EU’s strengths and weaknesses in the global semiconductor sector</w:t>
      </w:r>
      <w:r w:rsidRPr="00683962">
        <w:rPr>
          <w:sz w:val="18"/>
          <w:szCs w:val="18"/>
        </w:rPr>
        <w:t xml:space="preserve"> (EUR 40253 EN). Luxembourg: Publications Office of the European Union. https://doi.org/10.2760/6302476</w:t>
      </w:r>
    </w:p>
  </w:footnote>
  <w:footnote w:id="294">
    <w:p w14:paraId="26D6454B" w14:textId="41EB40ED"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683962">
        <w:rPr>
          <w:sz w:val="18"/>
          <w:szCs w:val="18"/>
        </w:rPr>
        <w:t xml:space="preserve">  Boston Consulting Group. (2024). </w:t>
      </w:r>
      <w:r w:rsidRPr="00683962">
        <w:rPr>
          <w:rStyle w:val="Emphasis"/>
          <w:sz w:val="18"/>
          <w:szCs w:val="18"/>
        </w:rPr>
        <w:t>Advanced packaging is reshaping the chip industry.</w:t>
      </w:r>
      <w:r w:rsidRPr="00683962">
        <w:rPr>
          <w:sz w:val="18"/>
          <w:szCs w:val="18"/>
        </w:rPr>
        <w:t xml:space="preserve"> Boston: Boston Consulting Group, February 2024.</w:t>
      </w:r>
    </w:p>
  </w:footnote>
  <w:footnote w:id="295">
    <w:p w14:paraId="052D2817" w14:textId="79269FA8" w:rsidR="00EC49AF" w:rsidRPr="00683962"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683962">
        <w:rPr>
          <w:sz w:val="18"/>
          <w:szCs w:val="18"/>
        </w:rPr>
        <w:t xml:space="preserve">  European Court of Auditors. (2025). </w:t>
      </w:r>
      <w:r w:rsidRPr="00683962">
        <w:rPr>
          <w:rStyle w:val="Emphasis"/>
          <w:sz w:val="18"/>
          <w:szCs w:val="18"/>
        </w:rPr>
        <w:t>Special Report 12/2025 – The EU’s strategy for microchips: Reasonable progress in its implementation, but the Chips Act is very unlikely to be sufficient to reach the overly ambitious Digital Decade target.</w:t>
      </w:r>
      <w:r w:rsidRPr="00683962">
        <w:rPr>
          <w:sz w:val="18"/>
          <w:szCs w:val="18"/>
        </w:rPr>
        <w:t xml:space="preserve"> </w:t>
      </w:r>
    </w:p>
  </w:footnote>
  <w:footnote w:id="296">
    <w:p w14:paraId="3067A5AA" w14:textId="59C7EEE2" w:rsidR="00EC49AF" w:rsidRPr="00683962"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683962">
        <w:rPr>
          <w:sz w:val="18"/>
          <w:szCs w:val="18"/>
        </w:rPr>
        <w:t xml:space="preserve">  McKinsey &amp; Company. (2024). </w:t>
      </w:r>
      <w:r w:rsidRPr="00683962">
        <w:rPr>
          <w:rStyle w:val="Emphasis"/>
          <w:sz w:val="18"/>
          <w:szCs w:val="18"/>
        </w:rPr>
        <w:t>McKinsey on semiconductors: Creating value, pursuing innovation, and optimizing operations.</w:t>
      </w:r>
      <w:r w:rsidRPr="00683962">
        <w:rPr>
          <w:sz w:val="18"/>
          <w:szCs w:val="18"/>
        </w:rPr>
        <w:t xml:space="preserve"> New York: McKinsey Global Institute.</w:t>
      </w:r>
    </w:p>
  </w:footnote>
  <w:footnote w:id="297">
    <w:p w14:paraId="134B4426" w14:textId="662441DF"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683962">
        <w:rPr>
          <w:sz w:val="18"/>
          <w:szCs w:val="18"/>
        </w:rPr>
        <w:t xml:space="preserve">  European Chips Skills Academy. (2024). ECSA Skills Strategy 2024 (rev 20052025). https://chipsacademy.eu/wp-content/uploads/2025/05/ECSA-Skills-Strategy-2024-rev-20052025.pdf</w:t>
      </w:r>
    </w:p>
  </w:footnote>
  <w:footnote w:id="298">
    <w:p w14:paraId="49823408" w14:textId="15894DD5" w:rsidR="00EC49AF" w:rsidRPr="0053321C" w:rsidRDefault="00EC49AF" w:rsidP="00EC49AF">
      <w:pPr>
        <w:pStyle w:val="FootnoteText"/>
        <w:rPr>
          <w:sz w:val="18"/>
          <w:szCs w:val="18"/>
          <w:lang w:val="en-IE"/>
        </w:rPr>
      </w:pPr>
      <w:r>
        <w:rPr>
          <w:sz w:val="18"/>
          <w:szCs w:val="18"/>
          <w:lang w:val="en-IE"/>
        </w:rPr>
        <w:t>(</w:t>
      </w:r>
      <w:r w:rsidRPr="00923415">
        <w:rPr>
          <w:rStyle w:val="FootnoteReference"/>
          <w:sz w:val="18"/>
          <w:szCs w:val="18"/>
        </w:rPr>
        <w:footnoteRef/>
      </w:r>
      <w:r>
        <w:rPr>
          <w:sz w:val="18"/>
          <w:szCs w:val="18"/>
          <w:lang w:val="en-IE"/>
        </w:rPr>
        <w:t>)</w:t>
      </w:r>
      <w:r w:rsidRPr="0053321C">
        <w:rPr>
          <w:sz w:val="18"/>
          <w:szCs w:val="18"/>
          <w:lang w:val="en-IE"/>
        </w:rPr>
        <w:t xml:space="preserve"> Interface (2024). Chip Production’s Ecological Footprint: Mapping Climate and Environmental Impact</w:t>
      </w:r>
      <w:r>
        <w:rPr>
          <w:sz w:val="18"/>
          <w:szCs w:val="18"/>
          <w:lang w:val="en-IE"/>
        </w:rPr>
        <w:t xml:space="preserve">. </w:t>
      </w:r>
      <w:hyperlink r:id="rId37" w:history="1">
        <w:r w:rsidRPr="002E614C">
          <w:rPr>
            <w:rStyle w:val="Hyperlink"/>
            <w:sz w:val="18"/>
            <w:szCs w:val="18"/>
            <w:lang w:val="en-IE"/>
          </w:rPr>
          <w:t>https://www.interface-eu.org/publications/chip-productions-ecological-footprint</w:t>
        </w:r>
      </w:hyperlink>
    </w:p>
  </w:footnote>
  <w:footnote w:id="299">
    <w:p w14:paraId="2312E2A9" w14:textId="17FFE5D3" w:rsidR="00EC49AF" w:rsidRPr="00156B9D" w:rsidRDefault="00EC49AF" w:rsidP="00EC49AF">
      <w:pPr>
        <w:pStyle w:val="FootnoteText"/>
        <w:rPr>
          <w:sz w:val="18"/>
          <w:szCs w:val="18"/>
        </w:rPr>
      </w:pPr>
      <w:r>
        <w:rPr>
          <w:sz w:val="18"/>
          <w:szCs w:val="18"/>
        </w:rPr>
        <w:t>(</w:t>
      </w:r>
      <w:r w:rsidRPr="00156B9D">
        <w:rPr>
          <w:rStyle w:val="FootnoteReference"/>
          <w:sz w:val="18"/>
          <w:szCs w:val="18"/>
        </w:rPr>
        <w:footnoteRef/>
      </w:r>
      <w:r>
        <w:rPr>
          <w:sz w:val="18"/>
          <w:szCs w:val="18"/>
        </w:rPr>
        <w:t xml:space="preserve">) </w:t>
      </w:r>
      <w:r w:rsidRPr="0053321C">
        <w:rPr>
          <w:sz w:val="18"/>
          <w:szCs w:val="18"/>
          <w:lang w:val="en-IE"/>
        </w:rPr>
        <w:t>Interface (2024). Chip Production’s Ecological Footprint: Mapping Climate and Environmental Impact</w:t>
      </w:r>
      <w:r>
        <w:rPr>
          <w:sz w:val="18"/>
          <w:szCs w:val="18"/>
          <w:lang w:val="en-IE"/>
        </w:rPr>
        <w:t xml:space="preserve">. </w:t>
      </w:r>
      <w:r w:rsidRPr="00156B9D">
        <w:rPr>
          <w:sz w:val="18"/>
          <w:szCs w:val="18"/>
        </w:rPr>
        <w:t xml:space="preserve"> </w:t>
      </w:r>
      <w:hyperlink r:id="rId38" w:history="1">
        <w:r w:rsidRPr="00156B9D">
          <w:rPr>
            <w:color w:val="094FD1"/>
            <w:sz w:val="18"/>
            <w:szCs w:val="18"/>
            <w:u w:val="single" w:color="094FD1"/>
          </w:rPr>
          <w:t>https://www.interface-eu.org/publications/chip-productions-ecological-footprint</w:t>
        </w:r>
      </w:hyperlink>
    </w:p>
  </w:footnote>
  <w:footnote w:id="300">
    <w:p w14:paraId="268E3960" w14:textId="4F209303" w:rsidR="00EC49AF" w:rsidRPr="00156B9D" w:rsidRDefault="00EC49AF" w:rsidP="00EC49AF">
      <w:pPr>
        <w:pStyle w:val="FootnoteText"/>
        <w:rPr>
          <w:sz w:val="18"/>
          <w:szCs w:val="18"/>
        </w:rPr>
      </w:pPr>
      <w:r>
        <w:rPr>
          <w:sz w:val="18"/>
          <w:szCs w:val="18"/>
        </w:rPr>
        <w:t>(</w:t>
      </w:r>
      <w:r w:rsidRPr="00156B9D">
        <w:rPr>
          <w:rStyle w:val="FootnoteReference"/>
          <w:sz w:val="18"/>
          <w:szCs w:val="18"/>
        </w:rPr>
        <w:footnoteRef/>
      </w:r>
      <w:r>
        <w:rPr>
          <w:sz w:val="18"/>
          <w:szCs w:val="18"/>
        </w:rPr>
        <w:t>)</w:t>
      </w:r>
      <w:r w:rsidRPr="00156B9D">
        <w:rPr>
          <w:sz w:val="18"/>
          <w:szCs w:val="18"/>
        </w:rPr>
        <w:t xml:space="preserve"> </w:t>
      </w:r>
      <w:r>
        <w:rPr>
          <w:sz w:val="18"/>
          <w:szCs w:val="18"/>
        </w:rPr>
        <w:t xml:space="preserve"> </w:t>
      </w:r>
      <w:r w:rsidRPr="0053321C">
        <w:rPr>
          <w:sz w:val="18"/>
          <w:szCs w:val="18"/>
          <w:lang w:val="en-IE"/>
        </w:rPr>
        <w:t>Interface (2024). Chip Production’s Ecological Footprint: Mapping Climate and Environmental Impact</w:t>
      </w:r>
      <w:r>
        <w:rPr>
          <w:sz w:val="18"/>
          <w:szCs w:val="18"/>
          <w:lang w:val="en-IE"/>
        </w:rPr>
        <w:t xml:space="preserve">. </w:t>
      </w:r>
      <w:r w:rsidRPr="00156B9D">
        <w:rPr>
          <w:sz w:val="18"/>
          <w:szCs w:val="18"/>
        </w:rPr>
        <w:t xml:space="preserve"> </w:t>
      </w:r>
      <w:hyperlink r:id="rId39" w:history="1">
        <w:r w:rsidRPr="00156B9D">
          <w:rPr>
            <w:color w:val="094FD1"/>
            <w:sz w:val="18"/>
            <w:szCs w:val="18"/>
            <w:u w:val="single" w:color="094FD1"/>
          </w:rPr>
          <w:t>https://www.interface-eu.org/publications/chip-productions-ecological-footprint</w:t>
        </w:r>
      </w:hyperlink>
    </w:p>
  </w:footnote>
  <w:footnote w:id="301">
    <w:p w14:paraId="393BD265" w14:textId="06C976A1" w:rsidR="00EC49AF" w:rsidRPr="00E202FB" w:rsidRDefault="00EC49AF" w:rsidP="00EC49AF">
      <w:pPr>
        <w:spacing w:after="0"/>
        <w:rPr>
          <w:sz w:val="18"/>
          <w:szCs w:val="18"/>
          <w:u w:val="single"/>
        </w:rPr>
      </w:pPr>
      <w:r w:rsidRPr="00E202FB">
        <w:rPr>
          <w:sz w:val="18"/>
          <w:szCs w:val="18"/>
          <w:vertAlign w:val="superscript"/>
        </w:rPr>
        <w:t>(</w:t>
      </w:r>
      <w:r w:rsidRPr="00E202FB">
        <w:rPr>
          <w:sz w:val="18"/>
          <w:szCs w:val="18"/>
          <w:vertAlign w:val="superscript"/>
        </w:rPr>
        <w:footnoteRef/>
      </w:r>
      <w:r w:rsidRPr="00E202FB">
        <w:rPr>
          <w:sz w:val="18"/>
          <w:szCs w:val="18"/>
          <w:vertAlign w:val="superscript"/>
        </w:rPr>
        <w:t xml:space="preserve">) </w:t>
      </w:r>
      <w:r w:rsidRPr="00E202FB">
        <w:rPr>
          <w:sz w:val="18"/>
          <w:szCs w:val="18"/>
          <w:lang w:val="en-US"/>
        </w:rPr>
        <w:t xml:space="preserve">See Impact Assessment to: </w:t>
      </w:r>
      <w:r w:rsidRPr="00E202FB">
        <w:rPr>
          <w:i/>
          <w:sz w:val="18"/>
          <w:szCs w:val="18"/>
          <w:lang w:val="en-US"/>
        </w:rPr>
        <w:t xml:space="preserve">Regulation (EU) No 517/2014 of the European Parliament and of the Council of 16 April 2014 on fluorinated greenhouse gases and repealing Regulation (EC) No 842/2006 Text with EEA relevance: </w:t>
      </w:r>
      <w:r w:rsidRPr="00E202FB">
        <w:rPr>
          <w:sz w:val="18"/>
          <w:szCs w:val="18"/>
        </w:rPr>
        <w:t xml:space="preserve"> </w:t>
      </w:r>
      <w:hyperlink r:id="rId40" w:history="1">
        <w:r w:rsidRPr="00E202FB">
          <w:rPr>
            <w:rStyle w:val="Hyperlink"/>
            <w:rFonts w:eastAsia="MS Mincho"/>
            <w:sz w:val="18"/>
            <w:szCs w:val="18"/>
          </w:rPr>
          <w:t>https://ec.europa.eu/clima/document/download/9013881e-8d5d-429e-9112-c908f127c833_en?filename=f-gases_impact_assessment_en.pdf</w:t>
        </w:r>
      </w:hyperlink>
    </w:p>
  </w:footnote>
  <w:footnote w:id="302">
    <w:p w14:paraId="47034136" w14:textId="0789956B" w:rsidR="00EC49AF" w:rsidRPr="00E202FB" w:rsidRDefault="00EC49AF" w:rsidP="00EC49AF">
      <w:pPr>
        <w:spacing w:after="0"/>
        <w:rPr>
          <w:sz w:val="18"/>
          <w:szCs w:val="18"/>
        </w:rPr>
      </w:pPr>
      <w:r w:rsidRPr="00E202FB">
        <w:rPr>
          <w:sz w:val="18"/>
          <w:szCs w:val="18"/>
          <w:vertAlign w:val="superscript"/>
        </w:rPr>
        <w:t>(</w:t>
      </w:r>
      <w:r w:rsidRPr="00E202FB">
        <w:rPr>
          <w:sz w:val="18"/>
          <w:szCs w:val="18"/>
          <w:vertAlign w:val="superscript"/>
        </w:rPr>
        <w:footnoteRef/>
      </w:r>
      <w:r w:rsidRPr="00E202FB">
        <w:rPr>
          <w:sz w:val="18"/>
          <w:szCs w:val="18"/>
          <w:vertAlign w:val="superscript"/>
        </w:rPr>
        <w:t xml:space="preserve">) </w:t>
      </w:r>
      <w:hyperlink r:id="rId41" w:history="1">
        <w:r w:rsidRPr="00E202FB">
          <w:rPr>
            <w:rFonts w:eastAsia="MS Mincho"/>
            <w:color w:val="094FD1"/>
            <w:sz w:val="18"/>
            <w:szCs w:val="18"/>
            <w:u w:color="094FD1"/>
          </w:rPr>
          <w:t>https://www.electronicspecifier.com/industries/alternative-energy/european-fluorinated-greenhouse-gas-emissions-cut-by-42</w:t>
        </w:r>
      </w:hyperlink>
    </w:p>
  </w:footnote>
  <w:footnote w:id="303">
    <w:p w14:paraId="62E98A42" w14:textId="60377F7D" w:rsidR="00EC49AF" w:rsidRPr="00E202FB" w:rsidRDefault="00EC49AF" w:rsidP="00EC49AF">
      <w:pPr>
        <w:pStyle w:val="FootnoteText"/>
        <w:rPr>
          <w:sz w:val="18"/>
          <w:szCs w:val="18"/>
        </w:rPr>
      </w:pPr>
      <w:r w:rsidRPr="00E202FB">
        <w:rPr>
          <w:sz w:val="18"/>
          <w:szCs w:val="18"/>
        </w:rPr>
        <w:t>(</w:t>
      </w:r>
      <w:r w:rsidRPr="00E202FB">
        <w:rPr>
          <w:rStyle w:val="FootnoteReference"/>
          <w:sz w:val="18"/>
          <w:szCs w:val="18"/>
        </w:rPr>
        <w:footnoteRef/>
      </w:r>
      <w:r w:rsidRPr="00E202FB">
        <w:rPr>
          <w:sz w:val="18"/>
          <w:szCs w:val="18"/>
        </w:rPr>
        <w:t xml:space="preserve">) </w:t>
      </w:r>
      <w:hyperlink r:id="rId42" w:history="1">
        <w:r w:rsidRPr="00E202FB">
          <w:rPr>
            <w:color w:val="094FD1"/>
            <w:sz w:val="18"/>
            <w:szCs w:val="18"/>
            <w:u w:val="single" w:color="094FD1"/>
          </w:rPr>
          <w:t>https://www.interface-eu.org/publications/chip-productions-ecological-footprint</w:t>
        </w:r>
      </w:hyperlink>
    </w:p>
  </w:footnote>
  <w:footnote w:id="304">
    <w:p w14:paraId="3469F76B" w14:textId="2FB4BF3F" w:rsidR="00EC49AF" w:rsidRPr="007F292A" w:rsidRDefault="00EC49AF" w:rsidP="00EC49AF">
      <w:pPr>
        <w:pStyle w:val="FootnoteText"/>
        <w:rPr>
          <w:sz w:val="18"/>
          <w:szCs w:val="18"/>
        </w:rPr>
      </w:pPr>
      <w:r w:rsidRPr="007F292A">
        <w:rPr>
          <w:sz w:val="18"/>
          <w:szCs w:val="18"/>
        </w:rPr>
        <w:t>(</w:t>
      </w:r>
      <w:r w:rsidRPr="00E202FB">
        <w:rPr>
          <w:rStyle w:val="FootnoteReference"/>
          <w:sz w:val="18"/>
          <w:szCs w:val="18"/>
        </w:rPr>
        <w:footnoteRef/>
      </w:r>
      <w:r w:rsidRPr="007F292A">
        <w:rPr>
          <w:sz w:val="18"/>
          <w:szCs w:val="18"/>
        </w:rPr>
        <w:t xml:space="preserve">)  </w:t>
      </w:r>
      <w:hyperlink r:id="rId43" w:history="1">
        <w:r w:rsidRPr="007F292A">
          <w:rPr>
            <w:rStyle w:val="Hyperlink"/>
            <w:sz w:val="18"/>
            <w:szCs w:val="18"/>
          </w:rPr>
          <w:t>https://www.interface-eu.org/publications/semiconductor-emission-explorer</w:t>
        </w:r>
      </w:hyperlink>
    </w:p>
  </w:footnote>
  <w:footnote w:id="305">
    <w:p w14:paraId="60459DDC" w14:textId="44198F9B" w:rsidR="00EC49AF" w:rsidRPr="007F292A" w:rsidRDefault="00EC49AF" w:rsidP="00EC49AF">
      <w:pPr>
        <w:pStyle w:val="FootnoteText"/>
        <w:rPr>
          <w:sz w:val="18"/>
          <w:szCs w:val="18"/>
        </w:rPr>
      </w:pPr>
      <w:r w:rsidRPr="007F292A">
        <w:rPr>
          <w:sz w:val="18"/>
          <w:szCs w:val="18"/>
        </w:rPr>
        <w:t>(</w:t>
      </w:r>
      <w:r w:rsidRPr="002D4FC7">
        <w:rPr>
          <w:rStyle w:val="FootnoteReference"/>
          <w:sz w:val="18"/>
          <w:szCs w:val="18"/>
        </w:rPr>
        <w:footnoteRef/>
      </w:r>
      <w:r w:rsidRPr="007F292A">
        <w:rPr>
          <w:sz w:val="18"/>
          <w:szCs w:val="18"/>
        </w:rPr>
        <w:t xml:space="preserve">)  </w:t>
      </w:r>
      <w:hyperlink r:id="rId44" w:history="1">
        <w:r w:rsidRPr="007F292A">
          <w:rPr>
            <w:rStyle w:val="Hyperlink"/>
            <w:sz w:val="18"/>
            <w:szCs w:val="18"/>
          </w:rPr>
          <w:t>https://www.interface-eu.org/publications/semiconductor-emission-explorer</w:t>
        </w:r>
      </w:hyperlink>
      <w:r w:rsidRPr="007F292A">
        <w:rPr>
          <w:sz w:val="18"/>
          <w:szCs w:val="18"/>
        </w:rPr>
        <w:t xml:space="preserve"> </w:t>
      </w:r>
    </w:p>
  </w:footnote>
  <w:footnote w:id="306">
    <w:p w14:paraId="69C5E087" w14:textId="699C8CC7" w:rsidR="00EC49AF" w:rsidRPr="002D4FC7" w:rsidRDefault="00EC49AF" w:rsidP="00EC49AF">
      <w:pPr>
        <w:spacing w:after="0"/>
        <w:rPr>
          <w:sz w:val="18"/>
          <w:szCs w:val="18"/>
        </w:rPr>
      </w:pPr>
      <w:r w:rsidRPr="002D4FC7">
        <w:rPr>
          <w:sz w:val="18"/>
          <w:szCs w:val="18"/>
        </w:rPr>
        <w:t>(</w:t>
      </w:r>
      <w:r w:rsidRPr="002D4FC7">
        <w:rPr>
          <w:sz w:val="18"/>
          <w:szCs w:val="18"/>
          <w:vertAlign w:val="superscript"/>
        </w:rPr>
        <w:footnoteRef/>
      </w:r>
      <w:r w:rsidRPr="002D4FC7">
        <w:rPr>
          <w:sz w:val="18"/>
          <w:szCs w:val="18"/>
        </w:rPr>
        <w:t xml:space="preserve">) </w:t>
      </w:r>
      <w:hyperlink r:id="rId45" w:history="1">
        <w:r w:rsidRPr="002D4FC7">
          <w:rPr>
            <w:rStyle w:val="Hyperlink"/>
            <w:sz w:val="18"/>
            <w:szCs w:val="18"/>
          </w:rPr>
          <w:t>Scope 2 Guidance.pdf</w:t>
        </w:r>
      </w:hyperlink>
    </w:p>
  </w:footnote>
  <w:footnote w:id="307">
    <w:p w14:paraId="6743928D" w14:textId="23A6FE3C" w:rsidR="00EC49AF" w:rsidRPr="002D4FC7" w:rsidRDefault="00EC49AF" w:rsidP="00EC49AF">
      <w:pPr>
        <w:spacing w:after="0"/>
        <w:rPr>
          <w:sz w:val="18"/>
          <w:szCs w:val="18"/>
        </w:rPr>
      </w:pPr>
      <w:r w:rsidRPr="002D4FC7">
        <w:rPr>
          <w:sz w:val="18"/>
          <w:szCs w:val="18"/>
          <w:vertAlign w:val="superscript"/>
          <w:lang w:val="en-IE"/>
        </w:rPr>
        <w:t>(</w:t>
      </w:r>
      <w:r w:rsidRPr="002D4FC7">
        <w:rPr>
          <w:sz w:val="18"/>
          <w:szCs w:val="18"/>
          <w:vertAlign w:val="superscript"/>
        </w:rPr>
        <w:footnoteRef/>
      </w:r>
      <w:r w:rsidRPr="002D4FC7">
        <w:rPr>
          <w:sz w:val="18"/>
          <w:szCs w:val="18"/>
          <w:vertAlign w:val="superscript"/>
          <w:lang w:val="en-IE"/>
        </w:rPr>
        <w:t xml:space="preserve">) </w:t>
      </w:r>
      <w:r w:rsidRPr="002D4FC7">
        <w:rPr>
          <w:sz w:val="18"/>
          <w:szCs w:val="18"/>
        </w:rPr>
        <w:t xml:space="preserve"> </w:t>
      </w:r>
      <w:hyperlink r:id="rId46" w:history="1">
        <w:r w:rsidRPr="002D4FC7">
          <w:rPr>
            <w:rStyle w:val="Hyperlink"/>
            <w:sz w:val="18"/>
            <w:szCs w:val="18"/>
            <w:lang w:val="en-IE"/>
          </w:rPr>
          <w:t>Scope 2 Guidance.pdf</w:t>
        </w:r>
      </w:hyperlink>
    </w:p>
  </w:footnote>
  <w:footnote w:id="308">
    <w:p w14:paraId="265A2090" w14:textId="2026132E" w:rsidR="00EC49AF" w:rsidRPr="002D4FC7" w:rsidRDefault="00EC49AF" w:rsidP="00EC49AF">
      <w:pPr>
        <w:spacing w:after="0"/>
        <w:rPr>
          <w:sz w:val="18"/>
          <w:szCs w:val="18"/>
        </w:rPr>
      </w:pPr>
      <w:r w:rsidRPr="002D4FC7">
        <w:rPr>
          <w:sz w:val="18"/>
          <w:szCs w:val="18"/>
          <w:vertAlign w:val="superscript"/>
          <w:lang w:val="en-IE"/>
        </w:rPr>
        <w:t>(</w:t>
      </w:r>
      <w:r w:rsidRPr="002D4FC7">
        <w:rPr>
          <w:sz w:val="18"/>
          <w:szCs w:val="18"/>
          <w:vertAlign w:val="superscript"/>
        </w:rPr>
        <w:footnoteRef/>
      </w:r>
      <w:r w:rsidRPr="002D4FC7">
        <w:rPr>
          <w:sz w:val="18"/>
          <w:szCs w:val="18"/>
          <w:vertAlign w:val="superscript"/>
          <w:lang w:val="en-IE"/>
        </w:rPr>
        <w:t xml:space="preserve">) </w:t>
      </w:r>
      <w:hyperlink r:id="rId47" w:history="1">
        <w:r w:rsidRPr="002D4FC7">
          <w:rPr>
            <w:color w:val="094FD1"/>
            <w:sz w:val="18"/>
            <w:szCs w:val="18"/>
            <w:u w:val="single" w:color="094FD1"/>
            <w:lang w:val="en-IE"/>
          </w:rPr>
          <w:t>https://www.interface-eu.org/publications/chip-productions-ecological-footprint</w:t>
        </w:r>
      </w:hyperlink>
    </w:p>
  </w:footnote>
  <w:footnote w:id="309">
    <w:p w14:paraId="6A9FF905" w14:textId="65A4ACF2" w:rsidR="00EC49AF" w:rsidRPr="002D4FC7" w:rsidRDefault="00EC49AF" w:rsidP="00EC49AF">
      <w:pPr>
        <w:pStyle w:val="FootnoteText"/>
        <w:rPr>
          <w:sz w:val="18"/>
          <w:szCs w:val="18"/>
          <w:lang w:val="en-IE"/>
        </w:rPr>
      </w:pPr>
      <w:r w:rsidRPr="002D4FC7">
        <w:rPr>
          <w:sz w:val="18"/>
          <w:szCs w:val="18"/>
        </w:rPr>
        <w:t>(</w:t>
      </w:r>
      <w:r w:rsidRPr="002D4FC7">
        <w:rPr>
          <w:rStyle w:val="FootnoteReference"/>
          <w:sz w:val="18"/>
          <w:szCs w:val="18"/>
        </w:rPr>
        <w:footnoteRef/>
      </w:r>
      <w:r w:rsidRPr="002D4FC7">
        <w:rPr>
          <w:sz w:val="18"/>
          <w:szCs w:val="18"/>
        </w:rPr>
        <w:t>)Own calculations</w:t>
      </w:r>
    </w:p>
  </w:footnote>
  <w:footnote w:id="310">
    <w:p w14:paraId="16212450" w14:textId="6A171F56" w:rsidR="00EC49AF" w:rsidRPr="002D4FC7" w:rsidRDefault="00EC49AF" w:rsidP="00EC49AF">
      <w:pPr>
        <w:pStyle w:val="FootnoteText"/>
        <w:rPr>
          <w:sz w:val="18"/>
          <w:szCs w:val="18"/>
          <w:lang w:val="en-IE"/>
        </w:rPr>
      </w:pPr>
      <w:r w:rsidRPr="002D4FC7">
        <w:rPr>
          <w:sz w:val="18"/>
          <w:szCs w:val="18"/>
        </w:rPr>
        <w:t>(</w:t>
      </w:r>
      <w:r w:rsidRPr="002D4FC7">
        <w:rPr>
          <w:rStyle w:val="FootnoteReference"/>
          <w:sz w:val="18"/>
          <w:szCs w:val="18"/>
        </w:rPr>
        <w:footnoteRef/>
      </w:r>
      <w:r w:rsidRPr="002D4FC7">
        <w:rPr>
          <w:sz w:val="18"/>
          <w:szCs w:val="18"/>
        </w:rPr>
        <w:t>)</w:t>
      </w:r>
      <w:hyperlink r:id="rId48" w:history="1">
        <w:r w:rsidRPr="002D4FC7">
          <w:rPr>
            <w:rStyle w:val="Hyperlink"/>
            <w:sz w:val="18"/>
            <w:szCs w:val="18"/>
          </w:rPr>
          <w:t>Die Setup - imec.netzero</w:t>
        </w:r>
      </w:hyperlink>
      <w:r w:rsidRPr="002D4FC7">
        <w:rPr>
          <w:sz w:val="18"/>
          <w:szCs w:val="18"/>
        </w:rPr>
        <w:t>; technologies: N28 (Logic Mobile SoC, 300 mm), Germany - average</w:t>
      </w:r>
      <w:r w:rsidR="00F274DD">
        <w:rPr>
          <w:sz w:val="18"/>
          <w:szCs w:val="18"/>
        </w:rPr>
        <w:t xml:space="preserve"> </w:t>
      </w:r>
      <w:r w:rsidRPr="002D4FC7">
        <w:rPr>
          <w:sz w:val="18"/>
          <w:szCs w:val="18"/>
        </w:rPr>
        <w:t>; 10 mm die size X and die size Y: yield 85%; IPCC Tier 2C with combustion abatement model</w:t>
      </w:r>
    </w:p>
  </w:footnote>
  <w:footnote w:id="311">
    <w:p w14:paraId="107ACF55" w14:textId="5873FDDD" w:rsidR="00EC49AF" w:rsidRPr="007F292A" w:rsidRDefault="00EC49AF" w:rsidP="00EC49AF">
      <w:pPr>
        <w:spacing w:after="0"/>
        <w:rPr>
          <w:sz w:val="18"/>
          <w:szCs w:val="18"/>
          <w:lang w:val="en-IE"/>
        </w:rPr>
      </w:pPr>
      <w:r w:rsidRPr="007F292A">
        <w:rPr>
          <w:sz w:val="18"/>
          <w:szCs w:val="18"/>
          <w:lang w:val="en-IE"/>
        </w:rPr>
        <w:t>(</w:t>
      </w:r>
      <w:r w:rsidRPr="002D4FC7">
        <w:rPr>
          <w:sz w:val="18"/>
          <w:szCs w:val="18"/>
          <w:vertAlign w:val="superscript"/>
        </w:rPr>
        <w:footnoteRef/>
      </w:r>
      <w:r w:rsidRPr="007F292A">
        <w:rPr>
          <w:sz w:val="18"/>
          <w:szCs w:val="18"/>
          <w:lang w:val="en-IE"/>
        </w:rPr>
        <w:t xml:space="preserve">)  </w:t>
      </w:r>
      <w:hyperlink r:id="rId49" w:history="1">
        <w:r w:rsidRPr="007F292A">
          <w:rPr>
            <w:color w:val="094FD1"/>
            <w:sz w:val="18"/>
            <w:szCs w:val="18"/>
            <w:u w:val="single" w:color="094FD1"/>
            <w:lang w:val="en-IE"/>
          </w:rPr>
          <w:t>https://www.interface-eu.org/publications/chip-productions-ecological-footprint</w:t>
        </w:r>
      </w:hyperlink>
    </w:p>
  </w:footnote>
  <w:footnote w:id="312">
    <w:p w14:paraId="254C3B36" w14:textId="7A00FF69" w:rsidR="006C4042" w:rsidRPr="006C4042" w:rsidRDefault="006C4042">
      <w:pPr>
        <w:pStyle w:val="FootnoteText"/>
      </w:pPr>
      <w:r>
        <w:t>(</w:t>
      </w:r>
      <w:r>
        <w:rPr>
          <w:rStyle w:val="FootnoteReference"/>
        </w:rPr>
        <w:footnoteRef/>
      </w:r>
      <w:r>
        <w:t xml:space="preserve">) </w:t>
      </w:r>
      <w:hyperlink r:id="rId50" w:history="1">
        <w:r w:rsidRPr="002D4FC7">
          <w:rPr>
            <w:rStyle w:val="Hyperlink"/>
            <w:sz w:val="18"/>
            <w:szCs w:val="18"/>
          </w:rPr>
          <w:t>Die Setup - imec.netzero</w:t>
        </w:r>
      </w:hyperlink>
      <w:r w:rsidRPr="002D4FC7">
        <w:rPr>
          <w:sz w:val="18"/>
          <w:szCs w:val="18"/>
        </w:rPr>
        <w:t>; technologies: N28 (Logic Mobile SoC, 300 mm), Germany - average</w:t>
      </w:r>
      <w:r>
        <w:rPr>
          <w:sz w:val="18"/>
          <w:szCs w:val="18"/>
        </w:rPr>
        <w:t xml:space="preserve"> </w:t>
      </w:r>
      <w:r w:rsidRPr="002D4FC7">
        <w:rPr>
          <w:sz w:val="18"/>
          <w:szCs w:val="18"/>
        </w:rPr>
        <w:t>; 10 mm die size X and die size Y: yield 85%; IPCC Tier 2C with combustion abatement model</w:t>
      </w:r>
    </w:p>
  </w:footnote>
  <w:footnote w:id="313">
    <w:p w14:paraId="5270A12E" w14:textId="02595CE9" w:rsidR="00EC49AF" w:rsidRPr="002D4FC7" w:rsidRDefault="00EC49AF" w:rsidP="00EC49AF">
      <w:pPr>
        <w:spacing w:after="0"/>
        <w:rPr>
          <w:sz w:val="18"/>
          <w:szCs w:val="18"/>
        </w:rPr>
      </w:pPr>
      <w:r w:rsidRPr="002D4FC7">
        <w:rPr>
          <w:sz w:val="18"/>
          <w:szCs w:val="18"/>
          <w:vertAlign w:val="superscript"/>
        </w:rPr>
        <w:t>(</w:t>
      </w:r>
      <w:r w:rsidRPr="002D4FC7">
        <w:rPr>
          <w:sz w:val="18"/>
          <w:szCs w:val="18"/>
          <w:vertAlign w:val="superscript"/>
        </w:rPr>
        <w:footnoteRef/>
      </w:r>
      <w:r w:rsidRPr="002D4FC7">
        <w:rPr>
          <w:sz w:val="18"/>
          <w:szCs w:val="18"/>
          <w:vertAlign w:val="superscript"/>
        </w:rPr>
        <w:t xml:space="preserve">) </w:t>
      </w:r>
      <w:r w:rsidRPr="002D4FC7">
        <w:rPr>
          <w:sz w:val="18"/>
          <w:szCs w:val="18"/>
        </w:rPr>
        <w:t>2023 data are taken into account as from 1st January 2024, a cogeneration plant at the Dresden site came under the operational control of GF and the emissions from the plant are being reported as scope 1 emissions. Before 1st January 2024 they were categorised as scope 2 emissions.</w:t>
      </w:r>
    </w:p>
  </w:footnote>
  <w:footnote w:id="314">
    <w:p w14:paraId="45E44F7B" w14:textId="16CDCB9C" w:rsidR="00EC49AF" w:rsidRPr="002D4FC7" w:rsidRDefault="00EC49AF" w:rsidP="00EC49AF">
      <w:pPr>
        <w:pStyle w:val="FootnoteText"/>
        <w:rPr>
          <w:sz w:val="18"/>
          <w:szCs w:val="18"/>
        </w:rPr>
      </w:pPr>
      <w:r w:rsidRPr="002D4FC7">
        <w:rPr>
          <w:sz w:val="18"/>
          <w:szCs w:val="18"/>
        </w:rPr>
        <w:t>(</w:t>
      </w:r>
      <w:r w:rsidRPr="002D4FC7">
        <w:rPr>
          <w:rStyle w:val="FootnoteReference"/>
          <w:sz w:val="18"/>
          <w:szCs w:val="18"/>
        </w:rPr>
        <w:footnoteRef/>
      </w:r>
      <w:r w:rsidRPr="002D4FC7">
        <w:rPr>
          <w:sz w:val="18"/>
          <w:szCs w:val="18"/>
        </w:rPr>
        <w:t xml:space="preserve">) </w:t>
      </w:r>
      <w:hyperlink r:id="rId51" w:history="1">
        <w:r w:rsidRPr="002D4FC7">
          <w:rPr>
            <w:rStyle w:val="Hyperlink"/>
            <w:sz w:val="18"/>
            <w:szCs w:val="18"/>
          </w:rPr>
          <w:t>Die Setup - imec.netzero</w:t>
        </w:r>
      </w:hyperlink>
      <w:r w:rsidRPr="002D4FC7">
        <w:rPr>
          <w:sz w:val="18"/>
          <w:szCs w:val="18"/>
        </w:rPr>
        <w:t>; technologies: N28 (Logic Mobile SoC, 300 mm), Germany - average</w:t>
      </w:r>
      <w:r w:rsidR="00F274DD">
        <w:rPr>
          <w:sz w:val="18"/>
          <w:szCs w:val="18"/>
        </w:rPr>
        <w:t xml:space="preserve"> </w:t>
      </w:r>
      <w:r w:rsidRPr="002D4FC7">
        <w:rPr>
          <w:sz w:val="18"/>
          <w:szCs w:val="18"/>
        </w:rPr>
        <w:t>; 10 mm die size X and die size Y: yield 85%; IPCC Tier 2C with combustion abatement model</w:t>
      </w:r>
    </w:p>
  </w:footnote>
  <w:footnote w:id="315">
    <w:p w14:paraId="62C9FF7E" w14:textId="01F76859" w:rsidR="00EC49AF" w:rsidRPr="001E4B47" w:rsidRDefault="00EC49AF" w:rsidP="00EC49AF">
      <w:pPr>
        <w:spacing w:after="0"/>
        <w:rPr>
          <w:sz w:val="18"/>
          <w:szCs w:val="18"/>
        </w:rPr>
      </w:pPr>
      <w:r w:rsidRPr="002D4FC7">
        <w:rPr>
          <w:sz w:val="18"/>
          <w:szCs w:val="18"/>
        </w:rPr>
        <w:t>(</w:t>
      </w:r>
      <w:r w:rsidRPr="002D4FC7">
        <w:rPr>
          <w:sz w:val="18"/>
          <w:szCs w:val="18"/>
          <w:vertAlign w:val="superscript"/>
        </w:rPr>
        <w:footnoteRef/>
      </w:r>
      <w:r w:rsidRPr="002D4FC7">
        <w:rPr>
          <w:sz w:val="18"/>
          <w:szCs w:val="18"/>
        </w:rPr>
        <w:t xml:space="preserve">) </w:t>
      </w:r>
      <w:hyperlink r:id="rId52" w:anchor=":~:text=GlobalFoundries%20Dresden%20has%20the%20following%20capacity:%20*,Management%20*%20Display%20*%20Automotive%20Microcontroller%20Units">
        <w:r w:rsidRPr="002D4FC7">
          <w:rPr>
            <w:rStyle w:val="Hyperlink"/>
            <w:sz w:val="18"/>
            <w:szCs w:val="18"/>
          </w:rPr>
          <w:t>Dresden: Facts, figures, data | GlobalFoundries</w:t>
        </w:r>
      </w:hyperlink>
    </w:p>
  </w:footnote>
  <w:footnote w:id="316">
    <w:p w14:paraId="7A5B6E7E" w14:textId="19D7DCB5" w:rsidR="00EC49AF" w:rsidRPr="002D4FC7" w:rsidRDefault="00EC49AF" w:rsidP="00EC49AF">
      <w:pPr>
        <w:spacing w:after="0"/>
        <w:rPr>
          <w:sz w:val="18"/>
          <w:szCs w:val="18"/>
        </w:rPr>
      </w:pPr>
      <w:r w:rsidRPr="002D4FC7">
        <w:rPr>
          <w:sz w:val="18"/>
          <w:szCs w:val="18"/>
          <w:vertAlign w:val="superscript"/>
        </w:rPr>
        <w:t>(</w:t>
      </w:r>
      <w:r w:rsidRPr="002D4FC7">
        <w:rPr>
          <w:sz w:val="18"/>
          <w:szCs w:val="18"/>
          <w:vertAlign w:val="superscript"/>
        </w:rPr>
        <w:footnoteRef/>
      </w:r>
      <w:r w:rsidRPr="002D4FC7">
        <w:rPr>
          <w:sz w:val="18"/>
          <w:szCs w:val="18"/>
          <w:vertAlign w:val="superscript"/>
        </w:rPr>
        <w:t xml:space="preserve">) </w:t>
      </w:r>
      <w:hyperlink r:id="rId53">
        <w:r w:rsidRPr="002D4FC7">
          <w:rPr>
            <w:rStyle w:val="Hyperlink"/>
            <w:sz w:val="18"/>
            <w:szCs w:val="18"/>
          </w:rPr>
          <w:t>CDP_-GlobalFoundries-Inc.-09-10-2024-CORPORATE_public_version.pdf</w:t>
        </w:r>
      </w:hyperlink>
    </w:p>
  </w:footnote>
  <w:footnote w:id="317">
    <w:p w14:paraId="20AAE34B" w14:textId="74DEFEB8" w:rsidR="00EC49AF" w:rsidRPr="002D4FC7" w:rsidRDefault="00EC49AF" w:rsidP="00EC49AF">
      <w:pPr>
        <w:spacing w:after="0"/>
        <w:rPr>
          <w:sz w:val="18"/>
          <w:szCs w:val="18"/>
        </w:rPr>
      </w:pPr>
      <w:r w:rsidRPr="002D4FC7">
        <w:rPr>
          <w:sz w:val="18"/>
          <w:szCs w:val="18"/>
        </w:rPr>
        <w:t>(</w:t>
      </w:r>
      <w:r w:rsidRPr="002D4FC7">
        <w:rPr>
          <w:sz w:val="18"/>
          <w:szCs w:val="18"/>
          <w:vertAlign w:val="superscript"/>
        </w:rPr>
        <w:footnoteRef/>
      </w:r>
      <w:r w:rsidRPr="002D4FC7">
        <w:rPr>
          <w:sz w:val="18"/>
          <w:szCs w:val="18"/>
        </w:rPr>
        <w:t xml:space="preserve">)  </w:t>
      </w:r>
      <w:hyperlink r:id="rId54">
        <w:r w:rsidRPr="002D4FC7">
          <w:rPr>
            <w:rStyle w:val="Hyperlink"/>
            <w:sz w:val="18"/>
            <w:szCs w:val="18"/>
          </w:rPr>
          <w:t>CDP_-GlobalFoundries-Inc.-09-10-2024-CORPORATE_public_version.pdf</w:t>
        </w:r>
      </w:hyperlink>
    </w:p>
  </w:footnote>
  <w:footnote w:id="318">
    <w:p w14:paraId="56DE701D" w14:textId="29DEC737" w:rsidR="00EC49AF" w:rsidRPr="002D4FC7" w:rsidRDefault="00EC49AF" w:rsidP="00EC49AF">
      <w:pPr>
        <w:spacing w:after="0"/>
        <w:rPr>
          <w:sz w:val="18"/>
          <w:szCs w:val="18"/>
        </w:rPr>
      </w:pPr>
      <w:r w:rsidRPr="002D4FC7">
        <w:rPr>
          <w:sz w:val="18"/>
          <w:szCs w:val="18"/>
        </w:rPr>
        <w:t>(</w:t>
      </w:r>
      <w:r w:rsidRPr="002D4FC7">
        <w:rPr>
          <w:sz w:val="18"/>
          <w:szCs w:val="18"/>
          <w:vertAlign w:val="superscript"/>
        </w:rPr>
        <w:footnoteRef/>
      </w:r>
      <w:r w:rsidRPr="002D4FC7">
        <w:rPr>
          <w:sz w:val="18"/>
          <w:szCs w:val="18"/>
        </w:rPr>
        <w:t xml:space="preserve">)  </w:t>
      </w:r>
      <w:hyperlink r:id="rId55">
        <w:r w:rsidRPr="002D4FC7">
          <w:rPr>
            <w:rStyle w:val="Hyperlink"/>
            <w:sz w:val="18"/>
            <w:szCs w:val="18"/>
          </w:rPr>
          <w:t>CDP_-GlobalFoundries-Inc.-09-10-2024-CORPORATE_public_version.pdf</w:t>
        </w:r>
      </w:hyperlink>
    </w:p>
  </w:footnote>
  <w:footnote w:id="319">
    <w:p w14:paraId="53529FF0" w14:textId="7F72572D" w:rsidR="00373AA3" w:rsidRPr="00373AA3" w:rsidRDefault="006C4042">
      <w:pPr>
        <w:pStyle w:val="FootnoteText"/>
        <w:rPr>
          <w:lang w:val="en-IE"/>
        </w:rPr>
      </w:pPr>
      <w:r>
        <w:t>(</w:t>
      </w:r>
      <w:r w:rsidR="00373AA3">
        <w:rPr>
          <w:rStyle w:val="FootnoteReference"/>
        </w:rPr>
        <w:footnoteRef/>
      </w:r>
      <w:r>
        <w:t>)</w:t>
      </w:r>
      <w:r w:rsidR="00373AA3">
        <w:t xml:space="preserve"> </w:t>
      </w:r>
      <w:hyperlink r:id="rId56" w:history="1">
        <w:r w:rsidR="00373AA3" w:rsidRPr="002D4FC7">
          <w:rPr>
            <w:rStyle w:val="Hyperlink"/>
            <w:sz w:val="18"/>
            <w:szCs w:val="18"/>
          </w:rPr>
          <w:t>Die Setup - imec.netzero</w:t>
        </w:r>
      </w:hyperlink>
      <w:r w:rsidR="00373AA3" w:rsidRPr="002D4FC7">
        <w:rPr>
          <w:sz w:val="18"/>
          <w:szCs w:val="18"/>
        </w:rPr>
        <w:t>; technologies: N28 (Logic Mobile SoC, 300 mm), Germany - average</w:t>
      </w:r>
      <w:r w:rsidR="00373AA3">
        <w:rPr>
          <w:sz w:val="18"/>
          <w:szCs w:val="18"/>
        </w:rPr>
        <w:t xml:space="preserve"> </w:t>
      </w:r>
      <w:r w:rsidR="00373AA3" w:rsidRPr="002D4FC7">
        <w:rPr>
          <w:sz w:val="18"/>
          <w:szCs w:val="18"/>
        </w:rPr>
        <w:t>; 10 mm die size X and die size Y: yield 85%; IPCC Tier 2C with combustion abatement model</w:t>
      </w:r>
    </w:p>
  </w:footnote>
  <w:footnote w:id="320">
    <w:p w14:paraId="2E7FE765" w14:textId="628D51E2" w:rsidR="00EC49AF" w:rsidRPr="002D4FC7" w:rsidRDefault="00EC49AF" w:rsidP="00EC49AF">
      <w:pPr>
        <w:pStyle w:val="FootnoteText"/>
        <w:rPr>
          <w:sz w:val="18"/>
          <w:szCs w:val="18"/>
        </w:rPr>
      </w:pPr>
      <w:r w:rsidRPr="002D4FC7">
        <w:rPr>
          <w:sz w:val="18"/>
          <w:szCs w:val="18"/>
        </w:rPr>
        <w:t>(</w:t>
      </w:r>
      <w:r w:rsidRPr="002D4FC7">
        <w:rPr>
          <w:rStyle w:val="FootnoteReference"/>
          <w:sz w:val="18"/>
          <w:szCs w:val="18"/>
        </w:rPr>
        <w:footnoteRef/>
      </w:r>
      <w:r w:rsidRPr="002D4FC7">
        <w:rPr>
          <w:sz w:val="18"/>
          <w:szCs w:val="18"/>
        </w:rPr>
        <w:t>)</w:t>
      </w:r>
      <w:r w:rsidRPr="002D4FC7">
        <w:rPr>
          <w:sz w:val="18"/>
          <w:szCs w:val="18"/>
          <w:lang w:val="en-IE"/>
        </w:rPr>
        <w:t xml:space="preserve"> Interface (2024). Chip Production’s Ecological Footprint: Mapping Climate and Environmental Impact. </w:t>
      </w:r>
      <w:r w:rsidRPr="002D4FC7">
        <w:rPr>
          <w:sz w:val="18"/>
          <w:szCs w:val="18"/>
        </w:rPr>
        <w:t xml:space="preserve"> </w:t>
      </w:r>
      <w:hyperlink r:id="rId57" w:history="1">
        <w:r w:rsidRPr="002D4FC7">
          <w:rPr>
            <w:color w:val="094FD1"/>
            <w:sz w:val="18"/>
            <w:szCs w:val="18"/>
            <w:u w:val="single" w:color="094FD1"/>
          </w:rPr>
          <w:t>https://www.interface-eu.org/publications/chip-productions-ecological-footprint</w:t>
        </w:r>
      </w:hyperlink>
    </w:p>
  </w:footnote>
  <w:footnote w:id="321">
    <w:p w14:paraId="7BDCE5E1" w14:textId="6636C432" w:rsidR="00EC49AF" w:rsidRPr="001E4B47" w:rsidRDefault="00EC49AF" w:rsidP="00EC49AF">
      <w:pPr>
        <w:pStyle w:val="FootnoteText"/>
        <w:rPr>
          <w:sz w:val="18"/>
          <w:szCs w:val="18"/>
        </w:rPr>
      </w:pPr>
      <w:r w:rsidRPr="002D4FC7">
        <w:rPr>
          <w:sz w:val="18"/>
          <w:szCs w:val="18"/>
        </w:rPr>
        <w:t>(</w:t>
      </w:r>
      <w:r w:rsidRPr="002D4FC7">
        <w:rPr>
          <w:rStyle w:val="FootnoteReference"/>
          <w:sz w:val="18"/>
          <w:szCs w:val="18"/>
        </w:rPr>
        <w:footnoteRef/>
      </w:r>
      <w:r w:rsidRPr="002D4FC7">
        <w:rPr>
          <w:sz w:val="18"/>
          <w:szCs w:val="18"/>
        </w:rPr>
        <w:t xml:space="preserve">) IMEC. (2022). </w:t>
      </w:r>
      <w:r w:rsidRPr="002D4FC7">
        <w:rPr>
          <w:rStyle w:val="Emphasis"/>
          <w:sz w:val="18"/>
          <w:szCs w:val="18"/>
        </w:rPr>
        <w:t>Sustainable Semiconductor Manufacturing: A Path Forward.</w:t>
      </w:r>
      <w:r w:rsidRPr="002D4FC7">
        <w:rPr>
          <w:sz w:val="18"/>
          <w:szCs w:val="18"/>
        </w:rPr>
        <w:t xml:space="preserve"> IMEC Research Report.</w:t>
      </w:r>
    </w:p>
  </w:footnote>
  <w:footnote w:id="322">
    <w:p w14:paraId="646BE0EC" w14:textId="43170625" w:rsidR="00EC49AF" w:rsidRPr="002D4FC7" w:rsidRDefault="00EC49AF" w:rsidP="00EC49AF">
      <w:pPr>
        <w:pStyle w:val="FootnoteText"/>
        <w:rPr>
          <w:sz w:val="18"/>
          <w:szCs w:val="18"/>
        </w:rPr>
      </w:pPr>
      <w:r w:rsidRPr="002D4FC7">
        <w:rPr>
          <w:sz w:val="18"/>
          <w:szCs w:val="18"/>
        </w:rPr>
        <w:t>(</w:t>
      </w:r>
      <w:r w:rsidRPr="002D4FC7">
        <w:rPr>
          <w:rStyle w:val="FootnoteReference"/>
          <w:sz w:val="18"/>
          <w:szCs w:val="18"/>
        </w:rPr>
        <w:footnoteRef/>
      </w:r>
      <w:r w:rsidRPr="002D4FC7">
        <w:rPr>
          <w:sz w:val="18"/>
          <w:szCs w:val="18"/>
        </w:rPr>
        <w:t xml:space="preserve">) International Energy Agency (IEA). (2023). </w:t>
      </w:r>
      <w:r w:rsidRPr="002D4FC7">
        <w:rPr>
          <w:rStyle w:val="Emphasis"/>
          <w:sz w:val="18"/>
          <w:szCs w:val="18"/>
        </w:rPr>
        <w:t>Energy Efficiency in Industry: Semiconductor Manufacturing Focus.</w:t>
      </w:r>
      <w:r w:rsidRPr="002D4FC7">
        <w:rPr>
          <w:sz w:val="18"/>
          <w:szCs w:val="18"/>
        </w:rPr>
        <w:t xml:space="preserve"> Paris: IEA.</w:t>
      </w:r>
    </w:p>
  </w:footnote>
  <w:footnote w:id="323">
    <w:p w14:paraId="19A0A510" w14:textId="71F86624" w:rsidR="00EC49AF" w:rsidRPr="002D4FC7" w:rsidRDefault="00EC49AF" w:rsidP="00EC49AF">
      <w:pPr>
        <w:pStyle w:val="FootnoteText"/>
        <w:rPr>
          <w:sz w:val="18"/>
          <w:szCs w:val="18"/>
        </w:rPr>
      </w:pPr>
      <w:r w:rsidRPr="002D4FC7">
        <w:rPr>
          <w:sz w:val="18"/>
          <w:szCs w:val="18"/>
        </w:rPr>
        <w:t>(</w:t>
      </w:r>
      <w:r w:rsidRPr="002D4FC7">
        <w:rPr>
          <w:rStyle w:val="FootnoteReference"/>
          <w:sz w:val="18"/>
          <w:szCs w:val="18"/>
        </w:rPr>
        <w:footnoteRef/>
      </w:r>
      <w:r w:rsidRPr="002D4FC7">
        <w:rPr>
          <w:sz w:val="18"/>
          <w:szCs w:val="18"/>
        </w:rPr>
        <w:t xml:space="preserve">) European Commission, Joint Research Centre (JRC). (2025). </w:t>
      </w:r>
      <w:r w:rsidRPr="002D4FC7">
        <w:rPr>
          <w:rStyle w:val="Emphasis"/>
          <w:sz w:val="18"/>
          <w:szCs w:val="18"/>
        </w:rPr>
        <w:t>EU’s strengths and weaknesses in the global semiconductor sector (JRC141323).</w:t>
      </w:r>
      <w:r w:rsidRPr="002D4FC7">
        <w:rPr>
          <w:sz w:val="18"/>
          <w:szCs w:val="18"/>
        </w:rPr>
        <w:t xml:space="preserve"> Luxembourg: Publications Office of the European Union.</w:t>
      </w:r>
    </w:p>
  </w:footnote>
  <w:footnote w:id="324">
    <w:p w14:paraId="42E91CCC" w14:textId="092DE94F" w:rsidR="00EC49AF" w:rsidRPr="002D4FC7" w:rsidRDefault="00EC49AF" w:rsidP="00EC49AF">
      <w:pPr>
        <w:pStyle w:val="FootnoteText"/>
        <w:rPr>
          <w:sz w:val="18"/>
          <w:szCs w:val="18"/>
        </w:rPr>
      </w:pPr>
      <w:r w:rsidRPr="002D4FC7">
        <w:rPr>
          <w:sz w:val="18"/>
          <w:szCs w:val="18"/>
        </w:rPr>
        <w:t>(</w:t>
      </w:r>
      <w:r w:rsidRPr="002D4FC7">
        <w:rPr>
          <w:rStyle w:val="FootnoteReference"/>
          <w:sz w:val="18"/>
          <w:szCs w:val="18"/>
        </w:rPr>
        <w:footnoteRef/>
      </w:r>
      <w:r w:rsidRPr="002D4FC7">
        <w:rPr>
          <w:sz w:val="18"/>
          <w:szCs w:val="18"/>
        </w:rPr>
        <w:t xml:space="preserve">) McKinsey &amp; Company. (2025). </w:t>
      </w:r>
      <w:r w:rsidRPr="002D4FC7">
        <w:rPr>
          <w:rStyle w:val="Emphasis"/>
          <w:sz w:val="18"/>
          <w:szCs w:val="18"/>
        </w:rPr>
        <w:t>Semiconductors have a big opportunity—but barriers to scale remain.</w:t>
      </w:r>
      <w:r w:rsidRPr="002D4FC7">
        <w:rPr>
          <w:sz w:val="18"/>
          <w:szCs w:val="18"/>
        </w:rPr>
        <w:t xml:space="preserve"> McKinsey Global Institute.</w:t>
      </w:r>
    </w:p>
  </w:footnote>
  <w:footnote w:id="325">
    <w:p w14:paraId="04028A9D" w14:textId="32A5326B" w:rsidR="00EC49AF" w:rsidRPr="002D4FC7" w:rsidRDefault="00EC49AF" w:rsidP="00EC49AF">
      <w:pPr>
        <w:pStyle w:val="FootnoteText"/>
        <w:rPr>
          <w:sz w:val="18"/>
          <w:szCs w:val="18"/>
        </w:rPr>
      </w:pPr>
      <w:r w:rsidRPr="002D4FC7">
        <w:rPr>
          <w:sz w:val="18"/>
          <w:szCs w:val="18"/>
        </w:rPr>
        <w:t>(</w:t>
      </w:r>
      <w:r w:rsidRPr="002D4FC7">
        <w:rPr>
          <w:rStyle w:val="FootnoteReference"/>
          <w:sz w:val="18"/>
          <w:szCs w:val="18"/>
        </w:rPr>
        <w:footnoteRef/>
      </w:r>
      <w:r w:rsidRPr="002D4FC7">
        <w:rPr>
          <w:sz w:val="18"/>
          <w:szCs w:val="18"/>
        </w:rPr>
        <w:t xml:space="preserve">) IMEC. (2022). </w:t>
      </w:r>
      <w:r w:rsidRPr="002D4FC7">
        <w:rPr>
          <w:rStyle w:val="Emphasis"/>
          <w:sz w:val="18"/>
          <w:szCs w:val="18"/>
        </w:rPr>
        <w:t>Sustainable Semiconductor Manufacturing: A Path Forward.</w:t>
      </w:r>
      <w:r w:rsidRPr="002D4FC7">
        <w:rPr>
          <w:sz w:val="18"/>
          <w:szCs w:val="18"/>
        </w:rPr>
        <w:t xml:space="preserve"> IMEC Research Report.</w:t>
      </w:r>
    </w:p>
  </w:footnote>
  <w:footnote w:id="326">
    <w:p w14:paraId="708C6DF7" w14:textId="5FF08F88" w:rsidR="00EC49AF" w:rsidRPr="002D4FC7" w:rsidRDefault="00EC49AF" w:rsidP="00EC49AF">
      <w:pPr>
        <w:spacing w:after="0"/>
        <w:rPr>
          <w:sz w:val="18"/>
          <w:szCs w:val="18"/>
        </w:rPr>
      </w:pPr>
      <w:r w:rsidRPr="002D4FC7">
        <w:rPr>
          <w:sz w:val="18"/>
          <w:szCs w:val="18"/>
        </w:rPr>
        <w:t>(</w:t>
      </w:r>
      <w:r w:rsidRPr="002D4FC7">
        <w:rPr>
          <w:sz w:val="18"/>
          <w:szCs w:val="18"/>
          <w:vertAlign w:val="superscript"/>
        </w:rPr>
        <w:footnoteRef/>
      </w:r>
      <w:r w:rsidRPr="002D4FC7">
        <w:rPr>
          <w:sz w:val="18"/>
          <w:szCs w:val="18"/>
        </w:rPr>
        <w:t>) Calculations based on total water withdrawals by Global Foundries in 2023 (</w:t>
      </w:r>
      <w:hyperlink r:id="rId58">
        <w:r w:rsidRPr="002D4FC7">
          <w:rPr>
            <w:rStyle w:val="Hyperlink"/>
            <w:sz w:val="18"/>
            <w:szCs w:val="18"/>
          </w:rPr>
          <w:t>CDP_-GlobalFoundries-Inc.-09-10-2024-CORPORATE_public_version.pdf</w:t>
        </w:r>
      </w:hyperlink>
      <w:r w:rsidRPr="002D4FC7">
        <w:rPr>
          <w:sz w:val="18"/>
          <w:szCs w:val="18"/>
        </w:rPr>
        <w:t xml:space="preserve"> ) assuming total wafer shipments of 2.2 Mio wpy</w:t>
      </w:r>
    </w:p>
  </w:footnote>
  <w:footnote w:id="327">
    <w:p w14:paraId="5663A121" w14:textId="07436BB0" w:rsidR="00EC49AF" w:rsidRPr="002D4FC7" w:rsidRDefault="00EC49AF" w:rsidP="00EC49AF">
      <w:pPr>
        <w:spacing w:after="0"/>
        <w:rPr>
          <w:sz w:val="18"/>
          <w:szCs w:val="18"/>
        </w:rPr>
      </w:pPr>
      <w:r w:rsidRPr="002D4FC7">
        <w:rPr>
          <w:sz w:val="18"/>
          <w:szCs w:val="18"/>
          <w:vertAlign w:val="superscript"/>
        </w:rPr>
        <w:footnoteRef/>
      </w:r>
      <w:r w:rsidRPr="002D4FC7">
        <w:rPr>
          <w:sz w:val="18"/>
          <w:szCs w:val="18"/>
          <w:vertAlign w:val="superscript"/>
        </w:rPr>
        <w:t xml:space="preserve"> </w:t>
      </w:r>
      <w:hyperlink r:id="rId59">
        <w:r w:rsidRPr="002D4FC7">
          <w:rPr>
            <w:rStyle w:val="Hyperlink"/>
            <w:sz w:val="18"/>
            <w:szCs w:val="18"/>
          </w:rPr>
          <w:t>Water-Europe-Socio-Economic-Study-1.pdf</w:t>
        </w:r>
      </w:hyperlink>
    </w:p>
  </w:footnote>
  <w:footnote w:id="328">
    <w:p w14:paraId="47294754" w14:textId="24F7E475" w:rsidR="00EC49AF" w:rsidRPr="002D4FC7" w:rsidRDefault="00EC49AF" w:rsidP="00EC49AF">
      <w:pPr>
        <w:spacing w:after="0"/>
        <w:rPr>
          <w:sz w:val="18"/>
          <w:szCs w:val="18"/>
        </w:rPr>
      </w:pPr>
      <w:r w:rsidRPr="002D4FC7">
        <w:rPr>
          <w:sz w:val="18"/>
          <w:szCs w:val="18"/>
        </w:rPr>
        <w:t>(</w:t>
      </w:r>
      <w:r w:rsidRPr="002D4FC7">
        <w:rPr>
          <w:sz w:val="18"/>
          <w:szCs w:val="18"/>
          <w:vertAlign w:val="superscript"/>
        </w:rPr>
        <w:footnoteRef/>
      </w:r>
      <w:r w:rsidRPr="002D4FC7">
        <w:rPr>
          <w:sz w:val="18"/>
          <w:szCs w:val="18"/>
        </w:rPr>
        <w:t>) Ian King (2022): Chipmakers’ $52 Billion US Bonanza Imperils Environmental Gains. Bloomberg.</w:t>
      </w:r>
    </w:p>
  </w:footnote>
  <w:footnote w:id="329">
    <w:p w14:paraId="15A24147" w14:textId="3F3929AF" w:rsidR="00EC49AF" w:rsidRPr="002D4FC7" w:rsidRDefault="00EC49AF" w:rsidP="00EC49AF">
      <w:pPr>
        <w:spacing w:after="0"/>
        <w:rPr>
          <w:sz w:val="18"/>
          <w:szCs w:val="18"/>
        </w:rPr>
      </w:pPr>
      <w:r w:rsidRPr="002D4FC7">
        <w:rPr>
          <w:sz w:val="18"/>
          <w:szCs w:val="18"/>
        </w:rPr>
        <w:t>(</w:t>
      </w:r>
      <w:r w:rsidRPr="002D4FC7">
        <w:rPr>
          <w:sz w:val="18"/>
          <w:szCs w:val="18"/>
          <w:vertAlign w:val="superscript"/>
        </w:rPr>
        <w:footnoteRef/>
      </w:r>
      <w:r w:rsidRPr="002D4FC7">
        <w:rPr>
          <w:sz w:val="18"/>
          <w:szCs w:val="18"/>
        </w:rPr>
        <w:t xml:space="preserve">) </w:t>
      </w:r>
      <w:hyperlink r:id="rId60" w:history="1">
        <w:r w:rsidRPr="002D4FC7">
          <w:rPr>
            <w:rStyle w:val="Hyperlink"/>
            <w:sz w:val="18"/>
            <w:szCs w:val="18"/>
          </w:rPr>
          <w:t>Waste | NXP Semiconductors</w:t>
        </w:r>
      </w:hyperlink>
    </w:p>
  </w:footnote>
  <w:footnote w:id="330">
    <w:p w14:paraId="0CAEF984" w14:textId="628B4130" w:rsidR="00EC49AF" w:rsidRPr="002D4FC7" w:rsidRDefault="00EC49AF" w:rsidP="00EC49AF">
      <w:pPr>
        <w:spacing w:after="0"/>
        <w:rPr>
          <w:b/>
          <w:sz w:val="18"/>
          <w:szCs w:val="18"/>
        </w:rPr>
      </w:pPr>
      <w:r w:rsidRPr="002D4FC7">
        <w:rPr>
          <w:sz w:val="18"/>
          <w:szCs w:val="18"/>
          <w:vertAlign w:val="superscript"/>
        </w:rPr>
        <w:t>(</w:t>
      </w:r>
      <w:r w:rsidRPr="002D4FC7">
        <w:rPr>
          <w:sz w:val="18"/>
          <w:szCs w:val="18"/>
          <w:vertAlign w:val="superscript"/>
        </w:rPr>
        <w:footnoteRef/>
      </w:r>
      <w:r w:rsidRPr="002D4FC7">
        <w:rPr>
          <w:sz w:val="18"/>
          <w:szCs w:val="18"/>
          <w:vertAlign w:val="superscript"/>
        </w:rPr>
        <w:t xml:space="preserve">) </w:t>
      </w:r>
      <w:r w:rsidRPr="002D4FC7">
        <w:rPr>
          <w:sz w:val="18"/>
          <w:szCs w:val="18"/>
        </w:rPr>
        <w:t xml:space="preserve"> </w:t>
      </w:r>
      <w:r w:rsidRPr="002D4FC7">
        <w:rPr>
          <w:sz w:val="18"/>
          <w:szCs w:val="18"/>
          <w:lang w:val="en-IE"/>
        </w:rPr>
        <w:t xml:space="preserve">Interface (2024). Chip Production’s Ecological Footprint: Mapping Climate and Environmental Impact. </w:t>
      </w:r>
      <w:r w:rsidRPr="002D4FC7">
        <w:rPr>
          <w:sz w:val="18"/>
          <w:szCs w:val="18"/>
        </w:rPr>
        <w:t xml:space="preserve"> </w:t>
      </w:r>
      <w:hyperlink r:id="rId61" w:history="1">
        <w:r w:rsidRPr="002D4FC7">
          <w:rPr>
            <w:rStyle w:val="Hyperlink"/>
            <w:sz w:val="18"/>
            <w:szCs w:val="18"/>
          </w:rPr>
          <w:t>Chip Production’s Ecological Footprint: Mapping Climate and Environmental Impact</w:t>
        </w:r>
      </w:hyperlink>
    </w:p>
  </w:footnote>
  <w:footnote w:id="331">
    <w:p w14:paraId="2FA703B0" w14:textId="1350B278" w:rsidR="00EC49AF" w:rsidRPr="002D4FC7" w:rsidRDefault="00EC49AF" w:rsidP="00EC49AF">
      <w:pPr>
        <w:spacing w:after="0"/>
        <w:rPr>
          <w:sz w:val="18"/>
          <w:szCs w:val="18"/>
        </w:rPr>
      </w:pPr>
      <w:r w:rsidRPr="002D4FC7">
        <w:rPr>
          <w:sz w:val="18"/>
          <w:szCs w:val="18"/>
        </w:rPr>
        <w:t>(</w:t>
      </w:r>
      <w:r w:rsidRPr="002D4FC7">
        <w:rPr>
          <w:sz w:val="18"/>
          <w:szCs w:val="18"/>
          <w:vertAlign w:val="superscript"/>
        </w:rPr>
        <w:footnoteRef/>
      </w:r>
      <w:r w:rsidRPr="002D4FC7">
        <w:rPr>
          <w:sz w:val="18"/>
          <w:szCs w:val="18"/>
        </w:rPr>
        <w:t xml:space="preserve">)  </w:t>
      </w:r>
      <w:hyperlink r:id="rId62" w:history="1">
        <w:r w:rsidRPr="002D4FC7">
          <w:rPr>
            <w:rStyle w:val="Hyperlink"/>
            <w:sz w:val="18"/>
            <w:szCs w:val="18"/>
          </w:rPr>
          <w:t>Waste | NXP Semiconductors</w:t>
        </w:r>
      </w:hyperlink>
    </w:p>
  </w:footnote>
  <w:footnote w:id="332">
    <w:p w14:paraId="35453C66" w14:textId="19DB6BE1" w:rsidR="00EC49AF" w:rsidRPr="002D4FC7" w:rsidRDefault="00EC49AF" w:rsidP="00EC49AF">
      <w:pPr>
        <w:spacing w:after="0"/>
        <w:rPr>
          <w:sz w:val="18"/>
          <w:szCs w:val="18"/>
        </w:rPr>
      </w:pPr>
      <w:r w:rsidRPr="002D4FC7">
        <w:rPr>
          <w:sz w:val="18"/>
          <w:szCs w:val="18"/>
        </w:rPr>
        <w:t>(</w:t>
      </w:r>
      <w:r w:rsidRPr="002D4FC7">
        <w:rPr>
          <w:sz w:val="18"/>
          <w:szCs w:val="18"/>
          <w:vertAlign w:val="superscript"/>
        </w:rPr>
        <w:footnoteRef/>
      </w:r>
      <w:r w:rsidRPr="002D4FC7">
        <w:rPr>
          <w:sz w:val="18"/>
          <w:szCs w:val="18"/>
        </w:rPr>
        <w:t xml:space="preserve">)  </w:t>
      </w:r>
      <w:hyperlink r:id="rId63" w:history="1">
        <w:r w:rsidRPr="002D4FC7">
          <w:rPr>
            <w:rStyle w:val="Hyperlink"/>
            <w:sz w:val="18"/>
            <w:szCs w:val="18"/>
          </w:rPr>
          <w:t>Waste | NXP Semiconductors</w:t>
        </w:r>
      </w:hyperlink>
    </w:p>
  </w:footnote>
  <w:footnote w:id="333">
    <w:p w14:paraId="3C2AD724" w14:textId="11C658C1" w:rsidR="00EC49AF" w:rsidRPr="002D4FC7" w:rsidRDefault="00EC49AF" w:rsidP="00EC49AF">
      <w:pPr>
        <w:spacing w:after="0"/>
        <w:rPr>
          <w:sz w:val="18"/>
          <w:szCs w:val="18"/>
        </w:rPr>
      </w:pPr>
      <w:r w:rsidRPr="002D4FC7">
        <w:rPr>
          <w:sz w:val="18"/>
          <w:szCs w:val="18"/>
        </w:rPr>
        <w:t>(</w:t>
      </w:r>
      <w:r w:rsidRPr="002D4FC7">
        <w:rPr>
          <w:sz w:val="18"/>
          <w:szCs w:val="18"/>
          <w:vertAlign w:val="superscript"/>
        </w:rPr>
        <w:footnoteRef/>
      </w:r>
      <w:r w:rsidRPr="002D4FC7">
        <w:rPr>
          <w:sz w:val="18"/>
          <w:szCs w:val="18"/>
        </w:rPr>
        <w:t xml:space="preserve">)  </w:t>
      </w:r>
      <w:r w:rsidRPr="002D4FC7">
        <w:rPr>
          <w:sz w:val="18"/>
          <w:szCs w:val="18"/>
          <w:lang w:val="en-IE"/>
        </w:rPr>
        <w:t xml:space="preserve">Interface (2024). Chip Production’s Ecological Footprint: Mapping Climate and Environmental Impact. </w:t>
      </w:r>
      <w:r w:rsidRPr="002D4FC7">
        <w:rPr>
          <w:sz w:val="18"/>
          <w:szCs w:val="18"/>
        </w:rPr>
        <w:t xml:space="preserve"> </w:t>
      </w:r>
      <w:hyperlink r:id="rId64" w:history="1">
        <w:r w:rsidRPr="002D4FC7">
          <w:rPr>
            <w:rStyle w:val="Hyperlink"/>
            <w:sz w:val="18"/>
            <w:szCs w:val="18"/>
          </w:rPr>
          <w:t>Chip Production’s Ecological Footprint: Mapping Climate and Environmental Impact</w:t>
        </w:r>
      </w:hyperlink>
    </w:p>
  </w:footnote>
  <w:footnote w:id="334">
    <w:p w14:paraId="528C61DC" w14:textId="63D7016E" w:rsidR="00EC49AF" w:rsidRPr="002D4FC7" w:rsidRDefault="00EC49AF" w:rsidP="00EC49AF">
      <w:pPr>
        <w:spacing w:after="0"/>
        <w:rPr>
          <w:sz w:val="18"/>
          <w:szCs w:val="18"/>
        </w:rPr>
      </w:pPr>
      <w:r w:rsidRPr="002D4FC7">
        <w:rPr>
          <w:sz w:val="18"/>
          <w:szCs w:val="18"/>
        </w:rPr>
        <w:t>(</w:t>
      </w:r>
      <w:r w:rsidRPr="002D4FC7">
        <w:rPr>
          <w:sz w:val="18"/>
          <w:szCs w:val="18"/>
          <w:vertAlign w:val="superscript"/>
        </w:rPr>
        <w:footnoteRef/>
      </w:r>
      <w:r w:rsidRPr="002D4FC7">
        <w:rPr>
          <w:sz w:val="18"/>
          <w:szCs w:val="18"/>
        </w:rPr>
        <w:t xml:space="preserve">) </w:t>
      </w:r>
      <w:hyperlink r:id="rId65" w:history="1">
        <w:r w:rsidRPr="002D4FC7">
          <w:rPr>
            <w:rStyle w:val="Hyperlink"/>
            <w:sz w:val="18"/>
            <w:szCs w:val="18"/>
          </w:rPr>
          <w:t>https://www.gasworld.com/story/industrys-first-neon-gas-recycling-technology-announced-by-sk-hynix-temc/2136766.article/</w:t>
        </w:r>
      </w:hyperlink>
    </w:p>
  </w:footnote>
  <w:footnote w:id="335">
    <w:p w14:paraId="6E931055" w14:textId="332B7930" w:rsidR="00EC49AF" w:rsidRPr="00F5084F" w:rsidRDefault="00EC49AF" w:rsidP="00EC49AF">
      <w:pPr>
        <w:spacing w:after="0"/>
        <w:rPr>
          <w:sz w:val="18"/>
          <w:szCs w:val="18"/>
        </w:rPr>
      </w:pPr>
      <w:r w:rsidRPr="002D4FC7">
        <w:rPr>
          <w:sz w:val="18"/>
          <w:szCs w:val="18"/>
          <w:vertAlign w:val="superscript"/>
        </w:rPr>
        <w:t>(</w:t>
      </w:r>
      <w:r w:rsidRPr="002D4FC7">
        <w:rPr>
          <w:sz w:val="18"/>
          <w:szCs w:val="18"/>
          <w:vertAlign w:val="superscript"/>
        </w:rPr>
        <w:footnoteRef/>
      </w:r>
      <w:r w:rsidRPr="002D4FC7">
        <w:rPr>
          <w:sz w:val="18"/>
          <w:szCs w:val="18"/>
          <w:vertAlign w:val="superscript"/>
        </w:rPr>
        <w:t xml:space="preserve">) </w:t>
      </w:r>
      <w:r w:rsidRPr="002D4FC7">
        <w:rPr>
          <w:sz w:val="18"/>
          <w:szCs w:val="18"/>
        </w:rPr>
        <w:t xml:space="preserve">Ibid </w:t>
      </w:r>
      <w:r w:rsidRPr="002D4FC7">
        <w:rPr>
          <w:sz w:val="18"/>
          <w:szCs w:val="18"/>
          <w:lang w:val="en-IE"/>
        </w:rPr>
        <w:t xml:space="preserve">Interface (2024). Chip Production’s Ecological Footprint: Mapping Climate and Environmental Impact. </w:t>
      </w:r>
      <w:hyperlink r:id="rId66" w:history="1">
        <w:r w:rsidRPr="002D4FC7">
          <w:rPr>
            <w:rStyle w:val="Hyperlink"/>
            <w:sz w:val="18"/>
            <w:szCs w:val="18"/>
          </w:rPr>
          <w:t>Chip Production’s Ecological Footprint: Mapping Climate and Environmental Impact</w:t>
        </w:r>
      </w:hyperlink>
    </w:p>
  </w:footnote>
  <w:footnote w:id="336">
    <w:p w14:paraId="1AE67DCC" w14:textId="01479891"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European Commission, Joint Research Centre (JRC). (2025). </w:t>
      </w:r>
      <w:r w:rsidRPr="001E4B47">
        <w:rPr>
          <w:rStyle w:val="Emphasis"/>
          <w:sz w:val="18"/>
          <w:szCs w:val="18"/>
        </w:rPr>
        <w:t>EU’s strengths and weaknesses in the global semiconductor sector (JRC141323).</w:t>
      </w:r>
      <w:r w:rsidRPr="001E4B47">
        <w:rPr>
          <w:sz w:val="18"/>
          <w:szCs w:val="18"/>
        </w:rPr>
        <w:t xml:space="preserve"> Luxembourg: Publications Office of the European Union.</w:t>
      </w:r>
    </w:p>
  </w:footnote>
  <w:footnote w:id="337">
    <w:p w14:paraId="1774CAC3" w14:textId="32B4ABD9"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w:t>
      </w:r>
      <w:r w:rsidRPr="00F63F76">
        <w:rPr>
          <w:sz w:val="18"/>
          <w:szCs w:val="18"/>
        </w:rPr>
        <w:t xml:space="preserve"> </w:t>
      </w:r>
      <w:r w:rsidRPr="001E4B47">
        <w:rPr>
          <w:sz w:val="18"/>
          <w:szCs w:val="18"/>
        </w:rPr>
        <w:t xml:space="preserve">SEMI. (2023). </w:t>
      </w:r>
      <w:r w:rsidRPr="001E4B47">
        <w:rPr>
          <w:rStyle w:val="Emphasis"/>
          <w:sz w:val="18"/>
          <w:szCs w:val="18"/>
        </w:rPr>
        <w:t>Sustainability in the Semiconductor Manufacturing Supply Chain.</w:t>
      </w:r>
      <w:r w:rsidRPr="001E4B47">
        <w:rPr>
          <w:sz w:val="18"/>
          <w:szCs w:val="18"/>
        </w:rPr>
        <w:t xml:space="preserve"> SEMI Global Update.</w:t>
      </w:r>
    </w:p>
  </w:footnote>
  <w:footnote w:id="338">
    <w:p w14:paraId="76935189" w14:textId="58316E03"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McKinsey &amp; Company. (2025). </w:t>
      </w:r>
      <w:r w:rsidRPr="001E4B47">
        <w:rPr>
          <w:rStyle w:val="Emphasis"/>
          <w:sz w:val="18"/>
          <w:szCs w:val="18"/>
        </w:rPr>
        <w:t>Semiconductors have a big opportunity—but barriers to scale remain.</w:t>
      </w:r>
      <w:r w:rsidRPr="001E4B47">
        <w:rPr>
          <w:sz w:val="18"/>
          <w:szCs w:val="18"/>
        </w:rPr>
        <w:t xml:space="preserve"> McKinsey Global Institute.</w:t>
      </w:r>
    </w:p>
  </w:footnote>
  <w:footnote w:id="339">
    <w:p w14:paraId="0CABE58A" w14:textId="7B5647AF"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w:t>
      </w:r>
      <w:r w:rsidRPr="00F63F76">
        <w:rPr>
          <w:sz w:val="18"/>
          <w:szCs w:val="18"/>
        </w:rPr>
        <w:t xml:space="preserve"> </w:t>
      </w:r>
      <w:r w:rsidRPr="001E4B47">
        <w:rPr>
          <w:sz w:val="18"/>
          <w:szCs w:val="18"/>
        </w:rPr>
        <w:t xml:space="preserve">IMEC. (2022). </w:t>
      </w:r>
      <w:r w:rsidRPr="001E4B47">
        <w:rPr>
          <w:rStyle w:val="Emphasis"/>
          <w:sz w:val="18"/>
          <w:szCs w:val="18"/>
        </w:rPr>
        <w:t>Sustainable Semiconductor Manufacturing: A Path Forward.</w:t>
      </w:r>
      <w:r w:rsidRPr="001E4B47">
        <w:rPr>
          <w:sz w:val="18"/>
          <w:szCs w:val="18"/>
        </w:rPr>
        <w:t xml:space="preserve"> IMEC Research Report.</w:t>
      </w:r>
    </w:p>
  </w:footnote>
  <w:footnote w:id="340">
    <w:p w14:paraId="3991A0D8" w14:textId="3808FDF5"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w:t>
      </w:r>
      <w:r w:rsidRPr="00F63F76">
        <w:rPr>
          <w:sz w:val="18"/>
          <w:szCs w:val="18"/>
        </w:rPr>
        <w:t xml:space="preserve"> </w:t>
      </w:r>
      <w:r w:rsidRPr="001E4B47">
        <w:rPr>
          <w:sz w:val="18"/>
          <w:szCs w:val="18"/>
        </w:rPr>
        <w:t xml:space="preserve">SEMI. (2023). </w:t>
      </w:r>
      <w:r w:rsidRPr="001E4B47">
        <w:rPr>
          <w:rStyle w:val="Emphasis"/>
          <w:sz w:val="18"/>
          <w:szCs w:val="18"/>
        </w:rPr>
        <w:t>Sustainability in the Semiconductor Manufacturing Supply Chain.</w:t>
      </w:r>
      <w:r w:rsidRPr="001E4B47">
        <w:rPr>
          <w:sz w:val="18"/>
          <w:szCs w:val="18"/>
        </w:rPr>
        <w:t xml:space="preserve"> SEMI Global Update.</w:t>
      </w:r>
    </w:p>
  </w:footnote>
  <w:footnote w:id="341">
    <w:p w14:paraId="22D463C6" w14:textId="2B390FC1"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European Court of Auditors. (2025). </w:t>
      </w:r>
      <w:r w:rsidRPr="001E4B47">
        <w:rPr>
          <w:rStyle w:val="Emphasis"/>
          <w:sz w:val="18"/>
          <w:szCs w:val="18"/>
        </w:rPr>
        <w:t>Special Report 12/2025 – The EU’s strategy for microchips: Reasonable progress in its implementation, but the Chips Act is very unlikely to be sufficient to reach the overly ambitious Digital Decade target.</w:t>
      </w:r>
      <w:r w:rsidRPr="001E4B47">
        <w:rPr>
          <w:sz w:val="18"/>
          <w:szCs w:val="18"/>
        </w:rPr>
        <w:t xml:space="preserve"> </w:t>
      </w:r>
    </w:p>
  </w:footnote>
  <w:footnote w:id="342">
    <w:p w14:paraId="49046C95" w14:textId="6BC9ADD7" w:rsidR="00EC49AF" w:rsidRPr="00F5084F"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European Commission, Joint Research Centre (JRC). (2025). </w:t>
      </w:r>
      <w:r w:rsidRPr="001E4B47">
        <w:rPr>
          <w:rStyle w:val="Emphasis"/>
          <w:sz w:val="18"/>
          <w:szCs w:val="18"/>
        </w:rPr>
        <w:t>EU’s strengths and weaknesses in the global semiconductor sector (JRC141323).</w:t>
      </w:r>
      <w:r w:rsidRPr="001E4B47">
        <w:rPr>
          <w:sz w:val="18"/>
          <w:szCs w:val="18"/>
        </w:rPr>
        <w:t xml:space="preserve"> Luxembourg: Publications Office of the European Union.</w:t>
      </w:r>
    </w:p>
  </w:footnote>
  <w:footnote w:id="343">
    <w:p w14:paraId="009F2E99" w14:textId="55122351" w:rsidR="0055733C" w:rsidRPr="0055733C" w:rsidRDefault="0055733C">
      <w:pPr>
        <w:pStyle w:val="FootnoteText"/>
        <w:rPr>
          <w:lang w:val="en-IE"/>
        </w:rPr>
      </w:pPr>
      <w:r>
        <w:t>(</w:t>
      </w:r>
      <w:r>
        <w:rPr>
          <w:rStyle w:val="FootnoteReference"/>
        </w:rPr>
        <w:footnoteRef/>
      </w:r>
      <w:r>
        <w:t xml:space="preserve">) </w:t>
      </w:r>
      <w:hyperlink r:id="rId67" w:history="1">
        <w:r w:rsidRPr="002D4FC7">
          <w:rPr>
            <w:rStyle w:val="Hyperlink"/>
            <w:sz w:val="18"/>
            <w:szCs w:val="18"/>
          </w:rPr>
          <w:t>Die Setup - imec.netzero</w:t>
        </w:r>
      </w:hyperlink>
      <w:r w:rsidRPr="002D4FC7">
        <w:rPr>
          <w:sz w:val="18"/>
          <w:szCs w:val="18"/>
        </w:rPr>
        <w:t>; technologies: N28 (Logic Mobile SoC, 300 mm), Germany - average</w:t>
      </w:r>
      <w:r>
        <w:rPr>
          <w:sz w:val="18"/>
          <w:szCs w:val="18"/>
        </w:rPr>
        <w:t xml:space="preserve"> </w:t>
      </w:r>
      <w:r w:rsidRPr="002D4FC7">
        <w:rPr>
          <w:sz w:val="18"/>
          <w:szCs w:val="18"/>
        </w:rPr>
        <w:t>; 10 mm die size X and die size Y: yield 85%; IPCC Tier 2C with combustion abatement model</w:t>
      </w:r>
    </w:p>
  </w:footnote>
  <w:footnote w:id="344">
    <w:p w14:paraId="4332AE61" w14:textId="287C5411" w:rsidR="0055733C" w:rsidRPr="0055733C" w:rsidRDefault="0055733C">
      <w:pPr>
        <w:pStyle w:val="FootnoteText"/>
        <w:rPr>
          <w:sz w:val="18"/>
          <w:szCs w:val="18"/>
        </w:rPr>
      </w:pPr>
      <w:r>
        <w:t>(</w:t>
      </w:r>
      <w:r>
        <w:rPr>
          <w:rStyle w:val="FootnoteReference"/>
        </w:rPr>
        <w:footnoteRef/>
      </w:r>
      <w:r>
        <w:t xml:space="preserve">) </w:t>
      </w:r>
      <w:hyperlink r:id="rId68" w:history="1">
        <w:r w:rsidRPr="002D4FC7">
          <w:rPr>
            <w:rStyle w:val="Hyperlink"/>
            <w:sz w:val="18"/>
            <w:szCs w:val="18"/>
          </w:rPr>
          <w:t>Die Setup - imec.netzero</w:t>
        </w:r>
      </w:hyperlink>
      <w:r w:rsidRPr="002D4FC7">
        <w:rPr>
          <w:sz w:val="18"/>
          <w:szCs w:val="18"/>
        </w:rPr>
        <w:t>; technologies: N28 (Logic Mobile SoC, 300 mm), Germany - average</w:t>
      </w:r>
      <w:r>
        <w:rPr>
          <w:sz w:val="18"/>
          <w:szCs w:val="18"/>
        </w:rPr>
        <w:t xml:space="preserve"> </w:t>
      </w:r>
      <w:r w:rsidRPr="002D4FC7">
        <w:rPr>
          <w:sz w:val="18"/>
          <w:szCs w:val="18"/>
        </w:rPr>
        <w:t>; 10 mm die size X and die size Y: yield 85%; IPCC Tier 2C with combustion abatement model</w:t>
      </w:r>
    </w:p>
  </w:footnote>
  <w:footnote w:id="345">
    <w:p w14:paraId="03FB25AF" w14:textId="5E774920" w:rsidR="0055733C" w:rsidRPr="0055733C" w:rsidRDefault="0055733C">
      <w:pPr>
        <w:pStyle w:val="FootnoteText"/>
        <w:rPr>
          <w:lang w:val="en-IE"/>
        </w:rPr>
      </w:pPr>
      <w:r>
        <w:t>(</w:t>
      </w:r>
      <w:r>
        <w:rPr>
          <w:rStyle w:val="FootnoteReference"/>
        </w:rPr>
        <w:footnoteRef/>
      </w:r>
      <w:r>
        <w:t xml:space="preserve">) </w:t>
      </w:r>
      <w:hyperlink r:id="rId69" w:history="1">
        <w:r w:rsidRPr="002D4FC7">
          <w:rPr>
            <w:rStyle w:val="Hyperlink"/>
            <w:sz w:val="18"/>
            <w:szCs w:val="18"/>
          </w:rPr>
          <w:t>Die Setup - imec.netzero</w:t>
        </w:r>
      </w:hyperlink>
      <w:r w:rsidRPr="002D4FC7">
        <w:rPr>
          <w:sz w:val="18"/>
          <w:szCs w:val="18"/>
        </w:rPr>
        <w:t>; technologies: N28 (Logic Mobile SoC, 300 mm), Germany - average</w:t>
      </w:r>
      <w:r>
        <w:rPr>
          <w:sz w:val="18"/>
          <w:szCs w:val="18"/>
        </w:rPr>
        <w:t xml:space="preserve"> </w:t>
      </w:r>
      <w:r w:rsidRPr="002D4FC7">
        <w:rPr>
          <w:sz w:val="18"/>
          <w:szCs w:val="18"/>
        </w:rPr>
        <w:t>; 10 mm die size X and die size Y: yield 85%; IPCC Tier 2C with combustion abatement model</w:t>
      </w:r>
    </w:p>
  </w:footnote>
  <w:footnote w:id="346">
    <w:p w14:paraId="49C67F2C" w14:textId="4C0383BC"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w:t>
      </w:r>
      <w:r w:rsidRPr="00F63F76">
        <w:rPr>
          <w:sz w:val="18"/>
          <w:szCs w:val="18"/>
        </w:rPr>
        <w:t xml:space="preserve"> </w:t>
      </w:r>
      <w:r w:rsidRPr="001E4B47">
        <w:rPr>
          <w:sz w:val="18"/>
          <w:szCs w:val="18"/>
        </w:rPr>
        <w:t xml:space="preserve">IMEC. (2022). </w:t>
      </w:r>
      <w:r w:rsidRPr="001E4B47">
        <w:rPr>
          <w:rStyle w:val="Emphasis"/>
          <w:sz w:val="18"/>
          <w:szCs w:val="18"/>
        </w:rPr>
        <w:t>Sustainable Semiconductor Manufacturing: A Path Forward.</w:t>
      </w:r>
      <w:r w:rsidRPr="001E4B47">
        <w:rPr>
          <w:sz w:val="18"/>
          <w:szCs w:val="18"/>
        </w:rPr>
        <w:t xml:space="preserve"> IMEC Research Report.</w:t>
      </w:r>
    </w:p>
  </w:footnote>
  <w:footnote w:id="347">
    <w:p w14:paraId="5F099C2A" w14:textId="3DE19412"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McKinsey (2025). </w:t>
      </w:r>
      <w:r w:rsidRPr="001E4B47">
        <w:rPr>
          <w:rStyle w:val="Emphasis"/>
          <w:sz w:val="18"/>
          <w:szCs w:val="18"/>
        </w:rPr>
        <w:t>Semiconductors have a big opportunity—but barriers to scale remain.</w:t>
      </w:r>
      <w:r w:rsidRPr="001E4B47">
        <w:rPr>
          <w:sz w:val="18"/>
          <w:szCs w:val="18"/>
        </w:rPr>
        <w:t xml:space="preserve"> McKinsey Global Institute.</w:t>
      </w:r>
    </w:p>
  </w:footnote>
  <w:footnote w:id="348">
    <w:p w14:paraId="0EB8E7A7" w14:textId="03767A65"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4276F4">
        <w:rPr>
          <w:sz w:val="18"/>
          <w:szCs w:val="18"/>
        </w:rPr>
        <w:t xml:space="preserve"> </w:t>
      </w:r>
      <w:r w:rsidRPr="001E4B47">
        <w:rPr>
          <w:sz w:val="18"/>
          <w:szCs w:val="18"/>
        </w:rPr>
        <w:t xml:space="preserve">International Energy Agency (IEA). (2023). </w:t>
      </w:r>
      <w:r w:rsidRPr="001E4B47">
        <w:rPr>
          <w:rStyle w:val="Emphasis"/>
          <w:sz w:val="18"/>
          <w:szCs w:val="18"/>
        </w:rPr>
        <w:t>Energy Efficiency in Industry: Semiconductor Manufacturing Focus.</w:t>
      </w:r>
      <w:r w:rsidRPr="001E4B47">
        <w:rPr>
          <w:sz w:val="18"/>
          <w:szCs w:val="18"/>
        </w:rPr>
        <w:t xml:space="preserve"> Paris: IEA.</w:t>
      </w:r>
    </w:p>
  </w:footnote>
  <w:footnote w:id="349">
    <w:p w14:paraId="669BB6D3" w14:textId="11FA490A"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European Commission, Joint Research Centre (JRC). (2025). </w:t>
      </w:r>
      <w:r w:rsidRPr="001E4B47">
        <w:rPr>
          <w:rStyle w:val="Emphasis"/>
          <w:sz w:val="18"/>
          <w:szCs w:val="18"/>
        </w:rPr>
        <w:t>EU’s strengths and weaknesses in the global semiconductor sector (JRC141323).</w:t>
      </w:r>
      <w:r w:rsidRPr="001E4B47">
        <w:rPr>
          <w:sz w:val="18"/>
          <w:szCs w:val="18"/>
        </w:rPr>
        <w:t xml:space="preserve"> Luxembourg: Publications Office of the European Union.</w:t>
      </w:r>
    </w:p>
  </w:footnote>
  <w:footnote w:id="350">
    <w:p w14:paraId="7EC1AF97" w14:textId="49D0B795"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McKinsey (2025). </w:t>
      </w:r>
      <w:r w:rsidRPr="001E4B47">
        <w:rPr>
          <w:rStyle w:val="Emphasis"/>
          <w:sz w:val="18"/>
          <w:szCs w:val="18"/>
        </w:rPr>
        <w:t>Semiconductors have a big opportunity—but barriers to scale remain.</w:t>
      </w:r>
      <w:r w:rsidRPr="001E4B47">
        <w:rPr>
          <w:sz w:val="18"/>
          <w:szCs w:val="18"/>
        </w:rPr>
        <w:t xml:space="preserve"> McKinsey Global Institute.</w:t>
      </w:r>
    </w:p>
  </w:footnote>
  <w:footnote w:id="351">
    <w:p w14:paraId="677A261E" w14:textId="383D3BCE"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European Commission, Joint Research Centre (JRC). (2025). </w:t>
      </w:r>
      <w:r w:rsidRPr="001E4B47">
        <w:rPr>
          <w:rStyle w:val="Emphasis"/>
          <w:sz w:val="18"/>
          <w:szCs w:val="18"/>
        </w:rPr>
        <w:t>EU’s strengths and weaknesses in the global semiconductor sector (JRC141323).</w:t>
      </w:r>
      <w:r w:rsidRPr="001E4B47">
        <w:rPr>
          <w:sz w:val="18"/>
          <w:szCs w:val="18"/>
        </w:rPr>
        <w:t xml:space="preserve"> Luxembourg: Publications Office of the European Union.</w:t>
      </w:r>
    </w:p>
  </w:footnote>
  <w:footnote w:id="352">
    <w:p w14:paraId="54154D40" w14:textId="671FBCBF"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International Energy Agency (IEA). (2023). </w:t>
      </w:r>
      <w:r w:rsidRPr="001E4B47">
        <w:rPr>
          <w:rStyle w:val="Emphasis"/>
          <w:sz w:val="18"/>
          <w:szCs w:val="18"/>
        </w:rPr>
        <w:t>Energy Efficiency in Industry: Semiconductor Manufacturing Focus.</w:t>
      </w:r>
      <w:r w:rsidRPr="001E4B47">
        <w:rPr>
          <w:sz w:val="18"/>
          <w:szCs w:val="18"/>
        </w:rPr>
        <w:t xml:space="preserve"> Paris: IEA.</w:t>
      </w:r>
    </w:p>
  </w:footnote>
  <w:footnote w:id="353">
    <w:p w14:paraId="50416FDC" w14:textId="4798E1A0"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w:t>
      </w:r>
      <w:r w:rsidRPr="00F63F76">
        <w:rPr>
          <w:sz w:val="18"/>
          <w:szCs w:val="18"/>
        </w:rPr>
        <w:t xml:space="preserve"> </w:t>
      </w:r>
      <w:r w:rsidRPr="001E4B47">
        <w:rPr>
          <w:sz w:val="18"/>
          <w:szCs w:val="18"/>
        </w:rPr>
        <w:t xml:space="preserve">IMEC. (2022). </w:t>
      </w:r>
      <w:r w:rsidRPr="001E4B47">
        <w:rPr>
          <w:rStyle w:val="Emphasis"/>
          <w:sz w:val="18"/>
          <w:szCs w:val="18"/>
        </w:rPr>
        <w:t>Sustainable Semiconductor Manufacturing: A Path Forward.</w:t>
      </w:r>
      <w:r w:rsidRPr="001E4B47">
        <w:rPr>
          <w:sz w:val="18"/>
          <w:szCs w:val="18"/>
        </w:rPr>
        <w:t xml:space="preserve"> IMEC Research Report.</w:t>
      </w:r>
    </w:p>
  </w:footnote>
  <w:footnote w:id="354">
    <w:p w14:paraId="796D1C11" w14:textId="4F1482BA" w:rsidR="00EC49AF" w:rsidRPr="001E4B47" w:rsidRDefault="00EC49AF" w:rsidP="00EC49AF">
      <w:pPr>
        <w:pStyle w:val="FootnoteText"/>
        <w:rPr>
          <w:sz w:val="18"/>
          <w:szCs w:val="18"/>
        </w:rPr>
      </w:pPr>
      <w:r>
        <w:rPr>
          <w:sz w:val="18"/>
          <w:szCs w:val="18"/>
        </w:rPr>
        <w:t>(</w:t>
      </w:r>
      <w:r w:rsidRPr="00923415">
        <w:rPr>
          <w:rStyle w:val="FootnoteReference"/>
          <w:sz w:val="18"/>
          <w:szCs w:val="18"/>
        </w:rPr>
        <w:footnoteRef/>
      </w:r>
      <w:r>
        <w:rPr>
          <w:sz w:val="18"/>
          <w:szCs w:val="18"/>
        </w:rPr>
        <w:t>)</w:t>
      </w:r>
      <w:r w:rsidRPr="001E4B47">
        <w:rPr>
          <w:sz w:val="18"/>
          <w:szCs w:val="18"/>
        </w:rPr>
        <w:t xml:space="preserve">  McKinsey (2025). </w:t>
      </w:r>
      <w:r w:rsidRPr="001E4B47">
        <w:rPr>
          <w:rStyle w:val="Emphasis"/>
          <w:sz w:val="18"/>
          <w:szCs w:val="18"/>
        </w:rPr>
        <w:t>Semiconductors have a big opportunity—but barriers to scale remain.</w:t>
      </w:r>
      <w:r w:rsidRPr="001E4B47">
        <w:rPr>
          <w:sz w:val="18"/>
          <w:szCs w:val="18"/>
        </w:rPr>
        <w:t xml:space="preserve"> McKinsey Global Institute.</w:t>
      </w:r>
    </w:p>
  </w:footnote>
  <w:footnote w:id="355">
    <w:p w14:paraId="69DAAD83" w14:textId="60E7FDF9" w:rsidR="00EC49AF" w:rsidRPr="008F0A3C" w:rsidRDefault="00EC49AF" w:rsidP="00EC49AF">
      <w:pPr>
        <w:pStyle w:val="FootnoteText"/>
        <w:rPr>
          <w:sz w:val="18"/>
          <w:szCs w:val="18"/>
        </w:rPr>
      </w:pPr>
      <w:r w:rsidRPr="008F0A3C">
        <w:rPr>
          <w:sz w:val="18"/>
          <w:szCs w:val="18"/>
        </w:rPr>
        <w:t>(</w:t>
      </w:r>
      <w:r w:rsidRPr="008F0A3C">
        <w:rPr>
          <w:rStyle w:val="FootnoteReference"/>
          <w:sz w:val="18"/>
          <w:szCs w:val="18"/>
        </w:rPr>
        <w:footnoteRef/>
      </w:r>
      <w:r w:rsidRPr="008F0A3C">
        <w:rPr>
          <w:sz w:val="18"/>
          <w:szCs w:val="18"/>
        </w:rPr>
        <w:t xml:space="preserve">)  IMEC. (2022). </w:t>
      </w:r>
      <w:r w:rsidRPr="008F0A3C">
        <w:rPr>
          <w:rStyle w:val="Emphasis"/>
          <w:sz w:val="18"/>
          <w:szCs w:val="18"/>
        </w:rPr>
        <w:t>Sustainable Semiconductor Manufacturing: A Path Forward.</w:t>
      </w:r>
      <w:r w:rsidRPr="008F0A3C">
        <w:rPr>
          <w:sz w:val="18"/>
          <w:szCs w:val="18"/>
        </w:rPr>
        <w:t xml:space="preserve"> IMEC Research Report.</w:t>
      </w:r>
    </w:p>
  </w:footnote>
  <w:footnote w:id="356">
    <w:p w14:paraId="053F65D1" w14:textId="3F072295" w:rsidR="00EC49AF" w:rsidRPr="008F0A3C" w:rsidRDefault="00EC49AF" w:rsidP="00EC49AF">
      <w:pPr>
        <w:pStyle w:val="FootnoteText"/>
        <w:rPr>
          <w:sz w:val="18"/>
          <w:szCs w:val="18"/>
        </w:rPr>
      </w:pPr>
      <w:r w:rsidRPr="008F0A3C">
        <w:rPr>
          <w:sz w:val="18"/>
          <w:szCs w:val="18"/>
        </w:rPr>
        <w:t>(</w:t>
      </w:r>
      <w:r w:rsidRPr="008F0A3C">
        <w:rPr>
          <w:rStyle w:val="FootnoteReference"/>
          <w:sz w:val="18"/>
          <w:szCs w:val="18"/>
        </w:rPr>
        <w:footnoteRef/>
      </w:r>
      <w:r w:rsidRPr="008F0A3C">
        <w:rPr>
          <w:sz w:val="18"/>
          <w:szCs w:val="18"/>
        </w:rPr>
        <w:t xml:space="preserve">)  McKinsey (2025). </w:t>
      </w:r>
      <w:r w:rsidRPr="008F0A3C">
        <w:rPr>
          <w:rStyle w:val="Emphasis"/>
          <w:sz w:val="18"/>
          <w:szCs w:val="18"/>
        </w:rPr>
        <w:t>Semiconductors have a big opportunity—but barriers to scale remain.</w:t>
      </w:r>
      <w:r w:rsidRPr="008F0A3C">
        <w:rPr>
          <w:sz w:val="18"/>
          <w:szCs w:val="18"/>
        </w:rPr>
        <w:t xml:space="preserve"> McKinsey Global Institute.</w:t>
      </w:r>
    </w:p>
  </w:footnote>
  <w:footnote w:id="357">
    <w:p w14:paraId="6C31B3A0" w14:textId="0FC681E7" w:rsidR="00EC49AF" w:rsidRPr="008F0A3C" w:rsidRDefault="00EC49AF" w:rsidP="00EC49AF">
      <w:pPr>
        <w:pStyle w:val="FootnoteText"/>
        <w:rPr>
          <w:sz w:val="18"/>
          <w:szCs w:val="18"/>
        </w:rPr>
      </w:pPr>
      <w:r w:rsidRPr="008F0A3C">
        <w:rPr>
          <w:sz w:val="18"/>
          <w:szCs w:val="18"/>
        </w:rPr>
        <w:t>(</w:t>
      </w:r>
      <w:r w:rsidRPr="008F0A3C">
        <w:rPr>
          <w:rStyle w:val="FootnoteReference"/>
          <w:sz w:val="18"/>
          <w:szCs w:val="18"/>
        </w:rPr>
        <w:footnoteRef/>
      </w:r>
      <w:r w:rsidRPr="008F0A3C">
        <w:rPr>
          <w:sz w:val="18"/>
          <w:szCs w:val="18"/>
        </w:rPr>
        <w:t xml:space="preserve">)  Boston Consulting Group (BCG). (2024). </w:t>
      </w:r>
      <w:r w:rsidRPr="008F0A3C">
        <w:rPr>
          <w:rStyle w:val="Emphasis"/>
          <w:sz w:val="18"/>
          <w:szCs w:val="18"/>
        </w:rPr>
        <w:t>Advanced packaging is reshaping the chip industry.</w:t>
      </w:r>
      <w:r w:rsidRPr="008F0A3C">
        <w:rPr>
          <w:sz w:val="18"/>
          <w:szCs w:val="18"/>
        </w:rPr>
        <w:t xml:space="preserve"> BCG Report.</w:t>
      </w:r>
    </w:p>
  </w:footnote>
  <w:footnote w:id="358">
    <w:p w14:paraId="49C503E0" w14:textId="4D72313E" w:rsidR="00EC49AF" w:rsidRPr="008F0A3C" w:rsidRDefault="00EC49AF" w:rsidP="00EC49AF">
      <w:pPr>
        <w:pStyle w:val="FootnoteText"/>
        <w:rPr>
          <w:sz w:val="18"/>
          <w:szCs w:val="18"/>
        </w:rPr>
      </w:pPr>
      <w:r w:rsidRPr="008F0A3C">
        <w:rPr>
          <w:sz w:val="18"/>
          <w:szCs w:val="18"/>
        </w:rPr>
        <w:t>(</w:t>
      </w:r>
      <w:r w:rsidRPr="008F0A3C">
        <w:rPr>
          <w:rStyle w:val="FootnoteReference"/>
          <w:sz w:val="18"/>
          <w:szCs w:val="18"/>
        </w:rPr>
        <w:footnoteRef/>
      </w:r>
      <w:r w:rsidRPr="008F0A3C">
        <w:rPr>
          <w:sz w:val="18"/>
          <w:szCs w:val="18"/>
        </w:rPr>
        <w:t xml:space="preserve">)  European Commission, Joint Research Centre (JRC). (2025). </w:t>
      </w:r>
      <w:r w:rsidRPr="008F0A3C">
        <w:rPr>
          <w:rStyle w:val="Emphasis"/>
          <w:sz w:val="18"/>
          <w:szCs w:val="18"/>
        </w:rPr>
        <w:t>EU’s strengths and weaknesses in the global semiconductor sector (JRC141323).</w:t>
      </w:r>
      <w:r w:rsidRPr="008F0A3C">
        <w:rPr>
          <w:sz w:val="18"/>
          <w:szCs w:val="18"/>
        </w:rPr>
        <w:t xml:space="preserve"> Luxembourg: Publications Office of the European Union.</w:t>
      </w:r>
    </w:p>
  </w:footnote>
  <w:footnote w:id="359">
    <w:p w14:paraId="263280DE" w14:textId="30D7E573" w:rsidR="00EC49AF" w:rsidRPr="008F0A3C" w:rsidRDefault="00EC49AF" w:rsidP="00EC49AF">
      <w:pPr>
        <w:pStyle w:val="FootnoteText"/>
        <w:rPr>
          <w:sz w:val="18"/>
          <w:szCs w:val="18"/>
        </w:rPr>
      </w:pPr>
      <w:r w:rsidRPr="008F0A3C">
        <w:rPr>
          <w:sz w:val="18"/>
          <w:szCs w:val="18"/>
        </w:rPr>
        <w:t>(</w:t>
      </w:r>
      <w:r w:rsidRPr="008F0A3C">
        <w:rPr>
          <w:rStyle w:val="FootnoteReference"/>
          <w:sz w:val="18"/>
          <w:szCs w:val="18"/>
        </w:rPr>
        <w:footnoteRef/>
      </w:r>
      <w:r w:rsidRPr="008F0A3C">
        <w:rPr>
          <w:sz w:val="18"/>
          <w:szCs w:val="18"/>
        </w:rPr>
        <w:t xml:space="preserve">)  McKinsey (2025). </w:t>
      </w:r>
      <w:r w:rsidRPr="008F0A3C">
        <w:rPr>
          <w:rStyle w:val="Emphasis"/>
          <w:sz w:val="18"/>
          <w:szCs w:val="18"/>
        </w:rPr>
        <w:t>Semiconductors have a big opportunity—but barriers to scale remain.</w:t>
      </w:r>
      <w:r w:rsidRPr="008F0A3C">
        <w:rPr>
          <w:sz w:val="18"/>
          <w:szCs w:val="18"/>
        </w:rPr>
        <w:t xml:space="preserve"> McKinsey Global Institute.</w:t>
      </w:r>
    </w:p>
  </w:footnote>
  <w:footnote w:id="360">
    <w:p w14:paraId="7A868BFA" w14:textId="658A4305" w:rsidR="00EC49AF" w:rsidRPr="008F0A3C" w:rsidRDefault="00EC49AF" w:rsidP="00EC49AF">
      <w:pPr>
        <w:pStyle w:val="FootnoteText"/>
        <w:rPr>
          <w:sz w:val="18"/>
          <w:szCs w:val="18"/>
        </w:rPr>
      </w:pPr>
      <w:r w:rsidRPr="008F0A3C">
        <w:rPr>
          <w:sz w:val="18"/>
          <w:szCs w:val="18"/>
        </w:rPr>
        <w:t>(</w:t>
      </w:r>
      <w:r w:rsidRPr="008F0A3C">
        <w:rPr>
          <w:rStyle w:val="FootnoteReference"/>
          <w:sz w:val="18"/>
          <w:szCs w:val="18"/>
        </w:rPr>
        <w:footnoteRef/>
      </w:r>
      <w:r w:rsidRPr="008F0A3C">
        <w:rPr>
          <w:sz w:val="18"/>
          <w:szCs w:val="18"/>
        </w:rPr>
        <w:t xml:space="preserve">)  European Court of Auditors. (2025). </w:t>
      </w:r>
      <w:r w:rsidRPr="008F0A3C">
        <w:rPr>
          <w:rStyle w:val="Emphasis"/>
          <w:sz w:val="18"/>
          <w:szCs w:val="18"/>
        </w:rPr>
        <w:t>Special Report 12/2025 – The EU’s strategy for microchips: Reasonable progress in its implementation, but the Chips Act is very unlikely to be sufficient to reach the overly ambitious Digital Decade target.</w:t>
      </w:r>
      <w:r w:rsidRPr="008F0A3C">
        <w:rPr>
          <w:sz w:val="18"/>
          <w:szCs w:val="18"/>
        </w:rPr>
        <w:t xml:space="preserve"> </w:t>
      </w:r>
    </w:p>
  </w:footnote>
  <w:footnote w:id="361">
    <w:p w14:paraId="16B4F307" w14:textId="0439F348" w:rsidR="00EC49AF" w:rsidRPr="008F0A3C" w:rsidRDefault="00EC49AF" w:rsidP="00EC49AF">
      <w:pPr>
        <w:pStyle w:val="FootnoteText"/>
        <w:rPr>
          <w:sz w:val="18"/>
          <w:szCs w:val="18"/>
          <w:lang w:val="fr-BE"/>
        </w:rPr>
      </w:pPr>
      <w:r w:rsidRPr="008F0A3C">
        <w:rPr>
          <w:sz w:val="18"/>
          <w:szCs w:val="18"/>
        </w:rPr>
        <w:t>(</w:t>
      </w:r>
      <w:r w:rsidRPr="008F0A3C">
        <w:rPr>
          <w:rStyle w:val="FootnoteReference"/>
          <w:sz w:val="18"/>
          <w:szCs w:val="18"/>
        </w:rPr>
        <w:footnoteRef/>
      </w:r>
      <w:r w:rsidRPr="008F0A3C">
        <w:rPr>
          <w:sz w:val="18"/>
          <w:szCs w:val="18"/>
        </w:rPr>
        <w:t xml:space="preserve">)  Ebrahimi, A. (2024). </w:t>
      </w:r>
      <w:r w:rsidRPr="008F0A3C">
        <w:rPr>
          <w:rStyle w:val="Emphasis"/>
          <w:sz w:val="18"/>
          <w:szCs w:val="18"/>
        </w:rPr>
        <w:t>Groundbreaking chip sovereignty: Europe’s strategic push in the semiconductor race.</w:t>
      </w:r>
      <w:r w:rsidRPr="008F0A3C">
        <w:rPr>
          <w:sz w:val="18"/>
          <w:szCs w:val="18"/>
        </w:rPr>
        <w:t xml:space="preserve"> </w:t>
      </w:r>
      <w:r w:rsidRPr="008F0A3C">
        <w:rPr>
          <w:sz w:val="18"/>
          <w:szCs w:val="18"/>
          <w:lang w:val="fr-BE"/>
        </w:rPr>
        <w:t>Ifri Memos, Institut français des relations internationales (IFRI). ISBN 979-10-373-0874-0.</w:t>
      </w:r>
    </w:p>
  </w:footnote>
  <w:footnote w:id="362">
    <w:p w14:paraId="36DC1B1A" w14:textId="3E36CA2D" w:rsidR="00EC49AF" w:rsidRPr="008F0A3C" w:rsidRDefault="00EC49AF" w:rsidP="00EC49AF">
      <w:pPr>
        <w:pStyle w:val="FootnoteText"/>
        <w:rPr>
          <w:sz w:val="18"/>
          <w:szCs w:val="18"/>
        </w:rPr>
      </w:pPr>
      <w:r w:rsidRPr="008F0A3C">
        <w:rPr>
          <w:sz w:val="18"/>
          <w:szCs w:val="18"/>
          <w:lang w:val="fr-BE"/>
        </w:rPr>
        <w:t>(</w:t>
      </w:r>
      <w:r w:rsidRPr="008F0A3C">
        <w:rPr>
          <w:rStyle w:val="FootnoteReference"/>
          <w:sz w:val="18"/>
          <w:szCs w:val="18"/>
        </w:rPr>
        <w:footnoteRef/>
      </w:r>
      <w:r w:rsidRPr="008F0A3C">
        <w:rPr>
          <w:sz w:val="18"/>
          <w:szCs w:val="18"/>
          <w:lang w:val="fr-BE"/>
        </w:rPr>
        <w:t xml:space="preserve">) </w:t>
      </w:r>
      <w:r w:rsidRPr="008F0A3C">
        <w:rPr>
          <w:sz w:val="18"/>
          <w:szCs w:val="18"/>
          <w:lang w:val="fr-FR"/>
        </w:rPr>
        <w:t xml:space="preserve"> </w:t>
      </w:r>
      <w:r w:rsidRPr="008F0A3C">
        <w:rPr>
          <w:sz w:val="18"/>
          <w:szCs w:val="18"/>
          <w:lang w:val="fr-BE"/>
        </w:rPr>
        <w:t xml:space="preserve">IMEC. </w:t>
      </w:r>
      <w:r w:rsidRPr="008F0A3C">
        <w:rPr>
          <w:sz w:val="18"/>
          <w:szCs w:val="18"/>
        </w:rPr>
        <w:t xml:space="preserve">(2022). </w:t>
      </w:r>
      <w:r w:rsidRPr="008F0A3C">
        <w:rPr>
          <w:rStyle w:val="Emphasis"/>
          <w:sz w:val="18"/>
          <w:szCs w:val="18"/>
        </w:rPr>
        <w:t>Sustainable Semiconductor Manufacturing: A Path Forward.</w:t>
      </w:r>
      <w:r w:rsidRPr="008F0A3C">
        <w:rPr>
          <w:sz w:val="18"/>
          <w:szCs w:val="18"/>
        </w:rPr>
        <w:t xml:space="preserve"> IMEC Research Report.</w:t>
      </w:r>
    </w:p>
  </w:footnote>
  <w:footnote w:id="363">
    <w:p w14:paraId="350879D4" w14:textId="56F702F4" w:rsidR="00EC49AF" w:rsidRPr="008F0A3C" w:rsidRDefault="00EC49AF" w:rsidP="00EC49AF">
      <w:pPr>
        <w:pStyle w:val="FootnoteText"/>
        <w:rPr>
          <w:sz w:val="18"/>
          <w:szCs w:val="18"/>
        </w:rPr>
      </w:pPr>
      <w:r w:rsidRPr="008F0A3C">
        <w:rPr>
          <w:sz w:val="18"/>
          <w:szCs w:val="18"/>
        </w:rPr>
        <w:t>(</w:t>
      </w:r>
      <w:r w:rsidRPr="008F0A3C">
        <w:rPr>
          <w:rStyle w:val="FootnoteReference"/>
          <w:sz w:val="18"/>
          <w:szCs w:val="18"/>
        </w:rPr>
        <w:footnoteRef/>
      </w:r>
      <w:r w:rsidRPr="008F0A3C">
        <w:rPr>
          <w:sz w:val="18"/>
          <w:szCs w:val="18"/>
        </w:rPr>
        <w:t xml:space="preserve">)  SEMI. (2023). </w:t>
      </w:r>
      <w:r w:rsidRPr="008F0A3C">
        <w:rPr>
          <w:rStyle w:val="Emphasis"/>
          <w:sz w:val="18"/>
          <w:szCs w:val="18"/>
        </w:rPr>
        <w:t>Sustainability in the Semiconductor Manufacturing Supply Chain.</w:t>
      </w:r>
      <w:r w:rsidRPr="008F0A3C">
        <w:rPr>
          <w:sz w:val="18"/>
          <w:szCs w:val="18"/>
        </w:rPr>
        <w:t xml:space="preserve"> SEMI Global Update.</w:t>
      </w:r>
    </w:p>
  </w:footnote>
  <w:footnote w:id="364">
    <w:p w14:paraId="4EE23CEA" w14:textId="51CE86B8" w:rsidR="008F0A3C" w:rsidRPr="008F0A3C" w:rsidRDefault="008F0A3C" w:rsidP="008F0A3C">
      <w:pPr>
        <w:spacing w:after="0"/>
        <w:rPr>
          <w:sz w:val="18"/>
          <w:szCs w:val="18"/>
        </w:rPr>
      </w:pPr>
      <w:r w:rsidRPr="008F0A3C">
        <w:rPr>
          <w:sz w:val="18"/>
          <w:szCs w:val="18"/>
        </w:rPr>
        <w:t>(</w:t>
      </w:r>
      <w:r w:rsidRPr="008F0A3C">
        <w:rPr>
          <w:rStyle w:val="FootnoteReference"/>
          <w:sz w:val="18"/>
          <w:szCs w:val="18"/>
        </w:rPr>
        <w:footnoteRef/>
      </w:r>
      <w:r w:rsidRPr="008F0A3C">
        <w:rPr>
          <w:sz w:val="18"/>
          <w:szCs w:val="18"/>
        </w:rPr>
        <w:t xml:space="preserve">) </w:t>
      </w:r>
      <w:hyperlink r:id="rId70">
        <w:r w:rsidRPr="008F0A3C">
          <w:rPr>
            <w:rStyle w:val="Hyperlink"/>
            <w:sz w:val="18"/>
            <w:szCs w:val="18"/>
          </w:rPr>
          <w:t>CDP_-GlobalFoundries-Inc.-09-10-2024-CORPORATE_public_version.pdf</w:t>
        </w:r>
      </w:hyperlink>
    </w:p>
  </w:footnote>
  <w:footnote w:id="365">
    <w:p w14:paraId="2F01F9B7" w14:textId="3F58AFE7" w:rsidR="008F0A3C" w:rsidRPr="008F0A3C" w:rsidRDefault="008F0A3C">
      <w:pPr>
        <w:pStyle w:val="FootnoteText"/>
      </w:pPr>
      <w:r w:rsidRPr="008F0A3C">
        <w:rPr>
          <w:sz w:val="18"/>
          <w:szCs w:val="18"/>
        </w:rPr>
        <w:t>(</w:t>
      </w:r>
      <w:r w:rsidRPr="008F0A3C">
        <w:rPr>
          <w:rStyle w:val="FootnoteReference"/>
          <w:sz w:val="18"/>
          <w:szCs w:val="18"/>
        </w:rPr>
        <w:footnoteRef/>
      </w:r>
      <w:r w:rsidRPr="008F0A3C">
        <w:rPr>
          <w:sz w:val="18"/>
          <w:szCs w:val="18"/>
        </w:rPr>
        <w:t xml:space="preserve">) </w:t>
      </w:r>
      <w:hyperlink r:id="rId71" w:history="1">
        <w:r w:rsidRPr="008F0A3C">
          <w:rPr>
            <w:rStyle w:val="Hyperlink"/>
            <w:sz w:val="18"/>
            <w:szCs w:val="18"/>
          </w:rPr>
          <w:t>Die Setup - imec.netzero</w:t>
        </w:r>
      </w:hyperlink>
      <w:r w:rsidRPr="008F0A3C">
        <w:rPr>
          <w:sz w:val="18"/>
          <w:szCs w:val="18"/>
        </w:rPr>
        <w:t>; technologies: N28 (Logic Mobile SoC, 300 mm), Germany - average ; 10 mm die size X and die size Y: yield 85%; IPCC Tier 2C with combustion abatement model</w:t>
      </w:r>
    </w:p>
  </w:footnote>
  <w:footnote w:id="366">
    <w:p w14:paraId="77924D76" w14:textId="2F69D9A3" w:rsidR="00007F40" w:rsidRPr="00007F40" w:rsidRDefault="00007F40">
      <w:pPr>
        <w:pStyle w:val="FootnoteText"/>
        <w:rPr>
          <w:sz w:val="18"/>
          <w:szCs w:val="18"/>
        </w:rPr>
      </w:pPr>
      <w:r w:rsidRPr="00007F40">
        <w:rPr>
          <w:sz w:val="18"/>
          <w:szCs w:val="18"/>
        </w:rPr>
        <w:t>(</w:t>
      </w:r>
      <w:r w:rsidRPr="00007F40">
        <w:rPr>
          <w:rStyle w:val="FootnoteReference"/>
          <w:sz w:val="18"/>
          <w:szCs w:val="18"/>
        </w:rPr>
        <w:footnoteRef/>
      </w:r>
      <w:r w:rsidRPr="00007F40">
        <w:rPr>
          <w:sz w:val="18"/>
          <w:szCs w:val="18"/>
        </w:rPr>
        <w:t xml:space="preserve">) </w:t>
      </w:r>
      <w:hyperlink r:id="rId72" w:history="1">
        <w:r w:rsidRPr="00007F40">
          <w:rPr>
            <w:rStyle w:val="Hyperlink"/>
            <w:sz w:val="18"/>
            <w:szCs w:val="18"/>
          </w:rPr>
          <w:t>Die Setup - imec.netzero</w:t>
        </w:r>
      </w:hyperlink>
      <w:r w:rsidRPr="00007F40">
        <w:rPr>
          <w:sz w:val="18"/>
          <w:szCs w:val="18"/>
        </w:rPr>
        <w:t>; technologies: N28 (Logic Mobile SoC, 300 mm), Germany - average ; 10 mm die size X and die size Y: yield 85%; IPCC Tier 2C with combustion abatement model</w:t>
      </w:r>
    </w:p>
  </w:footnote>
  <w:footnote w:id="367">
    <w:p w14:paraId="16301E7A" w14:textId="1389FADE" w:rsidR="00007F40" w:rsidRPr="00007F40" w:rsidRDefault="00007F40">
      <w:pPr>
        <w:pStyle w:val="FootnoteText"/>
        <w:rPr>
          <w:sz w:val="18"/>
          <w:szCs w:val="18"/>
        </w:rPr>
      </w:pPr>
      <w:r w:rsidRPr="00007F40">
        <w:rPr>
          <w:sz w:val="18"/>
          <w:szCs w:val="18"/>
        </w:rPr>
        <w:t>(</w:t>
      </w:r>
      <w:r w:rsidRPr="00007F40">
        <w:rPr>
          <w:rStyle w:val="FootnoteReference"/>
          <w:sz w:val="18"/>
          <w:szCs w:val="18"/>
        </w:rPr>
        <w:footnoteRef/>
      </w:r>
      <w:r w:rsidRPr="00007F40">
        <w:rPr>
          <w:sz w:val="18"/>
          <w:szCs w:val="18"/>
        </w:rPr>
        <w:t xml:space="preserve">) </w:t>
      </w:r>
      <w:hyperlink r:id="rId73" w:history="1">
        <w:r w:rsidRPr="00007F40">
          <w:rPr>
            <w:rStyle w:val="Hyperlink"/>
            <w:sz w:val="18"/>
            <w:szCs w:val="18"/>
          </w:rPr>
          <w:t>Die Setup - imec.netzero</w:t>
        </w:r>
      </w:hyperlink>
      <w:r w:rsidRPr="00007F40">
        <w:rPr>
          <w:sz w:val="18"/>
          <w:szCs w:val="18"/>
        </w:rPr>
        <w:t>; technologies: N28 (Logic Mobile SoC, 300 mm), Germany - average ; 10 mm die size X and die size Y: yield 85%; IPCC Tier 2C with combustion abatement model</w:t>
      </w:r>
    </w:p>
  </w:footnote>
  <w:footnote w:id="368">
    <w:p w14:paraId="4E1103D5" w14:textId="354E2FBB" w:rsidR="00007F40" w:rsidRPr="00007F40" w:rsidRDefault="00007F40">
      <w:pPr>
        <w:pStyle w:val="FootnoteText"/>
      </w:pPr>
      <w:r w:rsidRPr="00007F40">
        <w:rPr>
          <w:sz w:val="18"/>
          <w:szCs w:val="18"/>
        </w:rPr>
        <w:t>(</w:t>
      </w:r>
      <w:r w:rsidRPr="00007F40">
        <w:rPr>
          <w:rStyle w:val="FootnoteReference"/>
          <w:sz w:val="18"/>
          <w:szCs w:val="18"/>
        </w:rPr>
        <w:footnoteRef/>
      </w:r>
      <w:r w:rsidRPr="00007F40">
        <w:rPr>
          <w:sz w:val="18"/>
          <w:szCs w:val="18"/>
        </w:rPr>
        <w:t xml:space="preserve">) </w:t>
      </w:r>
      <w:hyperlink r:id="rId74" w:history="1">
        <w:r w:rsidRPr="00007F40">
          <w:rPr>
            <w:rStyle w:val="Hyperlink"/>
            <w:sz w:val="18"/>
            <w:szCs w:val="18"/>
          </w:rPr>
          <w:t>Die Setup - imec.netzero</w:t>
        </w:r>
      </w:hyperlink>
      <w:r w:rsidRPr="00007F40">
        <w:rPr>
          <w:sz w:val="18"/>
          <w:szCs w:val="18"/>
        </w:rPr>
        <w:t>; technologies: N28 (Logic Mobile SoC, 300 mm), Germany - average ; 10 mm die size X and die size Y: yield 85%; IPCC Tier 2C with combustion abatement model</w:t>
      </w:r>
    </w:p>
  </w:footnote>
  <w:footnote w:id="369">
    <w:p w14:paraId="3854BE30" w14:textId="539B686F" w:rsidR="00C10378" w:rsidRPr="00C10378" w:rsidRDefault="00C10378">
      <w:pPr>
        <w:pStyle w:val="FootnoteText"/>
        <w:rPr>
          <w:sz w:val="18"/>
          <w:szCs w:val="18"/>
        </w:rPr>
      </w:pPr>
      <w:r w:rsidRPr="00C10378">
        <w:rPr>
          <w:sz w:val="18"/>
          <w:szCs w:val="18"/>
        </w:rPr>
        <w:t>(</w:t>
      </w:r>
      <w:r w:rsidRPr="00C10378">
        <w:rPr>
          <w:rStyle w:val="FootnoteReference"/>
          <w:sz w:val="18"/>
          <w:szCs w:val="18"/>
        </w:rPr>
        <w:footnoteRef/>
      </w:r>
      <w:r w:rsidRPr="00C10378">
        <w:rPr>
          <w:sz w:val="18"/>
          <w:szCs w:val="18"/>
        </w:rPr>
        <w:t xml:space="preserve">) </w:t>
      </w:r>
      <w:hyperlink r:id="rId75" w:history="1">
        <w:r w:rsidRPr="00C10378">
          <w:rPr>
            <w:rStyle w:val="Hyperlink"/>
            <w:sz w:val="18"/>
            <w:szCs w:val="18"/>
          </w:rPr>
          <w:t>Die Setup - imec.netzero</w:t>
        </w:r>
      </w:hyperlink>
      <w:r w:rsidRPr="00C10378">
        <w:rPr>
          <w:sz w:val="18"/>
          <w:szCs w:val="18"/>
        </w:rPr>
        <w:t>; technologies: N28 (Logic Mobile SoC, 300 mm), Germany - average ; 10 mm die size X and die size Y: yield 85%; IPCC Tier 2C with combustion abatement model</w:t>
      </w:r>
    </w:p>
  </w:footnote>
  <w:footnote w:id="370">
    <w:p w14:paraId="2F00763E" w14:textId="4853D053" w:rsidR="00C10378" w:rsidRPr="00C10378" w:rsidRDefault="00C10378">
      <w:pPr>
        <w:pStyle w:val="FootnoteText"/>
        <w:rPr>
          <w:sz w:val="18"/>
          <w:szCs w:val="18"/>
        </w:rPr>
      </w:pPr>
      <w:r w:rsidRPr="00C10378">
        <w:rPr>
          <w:sz w:val="18"/>
          <w:szCs w:val="18"/>
        </w:rPr>
        <w:t>(</w:t>
      </w:r>
      <w:r w:rsidRPr="00C10378">
        <w:rPr>
          <w:rStyle w:val="FootnoteReference"/>
          <w:sz w:val="18"/>
          <w:szCs w:val="18"/>
        </w:rPr>
        <w:footnoteRef/>
      </w:r>
      <w:r w:rsidRPr="00C10378">
        <w:rPr>
          <w:sz w:val="18"/>
          <w:szCs w:val="18"/>
        </w:rPr>
        <w:t xml:space="preserve">) </w:t>
      </w:r>
      <w:hyperlink r:id="rId76" w:history="1">
        <w:r w:rsidRPr="00C10378">
          <w:rPr>
            <w:rStyle w:val="Hyperlink"/>
            <w:sz w:val="18"/>
            <w:szCs w:val="18"/>
          </w:rPr>
          <w:t>Die Setup - imec.netzero</w:t>
        </w:r>
      </w:hyperlink>
      <w:r w:rsidRPr="00C10378">
        <w:rPr>
          <w:sz w:val="18"/>
          <w:szCs w:val="18"/>
        </w:rPr>
        <w:t>; technologies: N28 (Logic Mobile SoC, 300 mm), Germany - average ; 10 mm die size X and die size Y: yield 85%; IPCC Tier 2C with combustion abatement model</w:t>
      </w:r>
    </w:p>
  </w:footnote>
  <w:footnote w:id="371">
    <w:p w14:paraId="012A6704" w14:textId="526BDD36" w:rsidR="00C10378" w:rsidRPr="00C10378" w:rsidRDefault="00C10378">
      <w:pPr>
        <w:pStyle w:val="FootnoteText"/>
        <w:rPr>
          <w:sz w:val="18"/>
          <w:szCs w:val="18"/>
        </w:rPr>
      </w:pPr>
      <w:r w:rsidRPr="00C10378">
        <w:rPr>
          <w:sz w:val="18"/>
          <w:szCs w:val="18"/>
        </w:rPr>
        <w:t>(</w:t>
      </w:r>
      <w:r w:rsidRPr="00C10378">
        <w:rPr>
          <w:rStyle w:val="FootnoteReference"/>
          <w:sz w:val="18"/>
          <w:szCs w:val="18"/>
        </w:rPr>
        <w:footnoteRef/>
      </w:r>
      <w:r w:rsidRPr="00C10378">
        <w:rPr>
          <w:sz w:val="18"/>
          <w:szCs w:val="18"/>
        </w:rPr>
        <w:t xml:space="preserve">) </w:t>
      </w:r>
      <w:hyperlink r:id="rId77" w:history="1">
        <w:r w:rsidRPr="00C10378">
          <w:rPr>
            <w:rStyle w:val="Hyperlink"/>
            <w:sz w:val="18"/>
            <w:szCs w:val="18"/>
          </w:rPr>
          <w:t>Die Setup - imec.netzero</w:t>
        </w:r>
      </w:hyperlink>
      <w:r w:rsidRPr="00C10378">
        <w:rPr>
          <w:sz w:val="18"/>
          <w:szCs w:val="18"/>
        </w:rPr>
        <w:t>; technologies: N28 (Logic Mobile SoC, 300 mm), Germany - average ; 10 mm die size X and die size Y: yield 85%; IPCC Tier 2C with combustion abatement model</w:t>
      </w:r>
    </w:p>
  </w:footnote>
  <w:footnote w:id="372">
    <w:p w14:paraId="21369B80" w14:textId="51EEFD4B" w:rsidR="00EC49AF" w:rsidRPr="008F0A3C" w:rsidRDefault="00EC49AF" w:rsidP="00EC49AF">
      <w:pPr>
        <w:spacing w:after="0"/>
        <w:rPr>
          <w:sz w:val="18"/>
          <w:szCs w:val="18"/>
        </w:rPr>
      </w:pPr>
      <w:r w:rsidRPr="00C10378">
        <w:rPr>
          <w:sz w:val="18"/>
          <w:szCs w:val="18"/>
        </w:rPr>
        <w:t>(</w:t>
      </w:r>
      <w:r w:rsidRPr="00C10378">
        <w:rPr>
          <w:sz w:val="18"/>
          <w:szCs w:val="18"/>
          <w:vertAlign w:val="superscript"/>
        </w:rPr>
        <w:footnoteRef/>
      </w:r>
      <w:r w:rsidRPr="00C10378">
        <w:rPr>
          <w:sz w:val="18"/>
          <w:szCs w:val="18"/>
        </w:rPr>
        <w:t xml:space="preserve">) </w:t>
      </w:r>
      <w:hyperlink r:id="rId78" w:history="1">
        <w:r w:rsidRPr="00C10378">
          <w:rPr>
            <w:rStyle w:val="Hyperlink"/>
            <w:sz w:val="18"/>
            <w:szCs w:val="18"/>
          </w:rPr>
          <w:t>esg.tsmc.com/en-US/file/public/2024-TSMC-Sustainability-Report-e.pdf</w:t>
        </w:r>
      </w:hyperlink>
    </w:p>
  </w:footnote>
  <w:footnote w:id="373">
    <w:p w14:paraId="46F83D0A" w14:textId="065A89BC" w:rsidR="00EC49AF" w:rsidRPr="00996428" w:rsidRDefault="00EC49AF" w:rsidP="00EC49AF">
      <w:pPr>
        <w:pStyle w:val="FootnoteText"/>
      </w:pPr>
      <w:r w:rsidRPr="008F0A3C">
        <w:rPr>
          <w:sz w:val="18"/>
          <w:szCs w:val="18"/>
        </w:rPr>
        <w:t>(</w:t>
      </w:r>
      <w:r w:rsidRPr="008F0A3C">
        <w:rPr>
          <w:rStyle w:val="FootnoteReference"/>
          <w:sz w:val="18"/>
          <w:szCs w:val="18"/>
        </w:rPr>
        <w:footnoteRef/>
      </w:r>
      <w:r w:rsidRPr="008F0A3C">
        <w:rPr>
          <w:sz w:val="18"/>
          <w:szCs w:val="18"/>
        </w:rPr>
        <w:t xml:space="preserve">) </w:t>
      </w:r>
      <w:hyperlink r:id="rId79" w:history="1">
        <w:r w:rsidRPr="008F0A3C">
          <w:rPr>
            <w:rStyle w:val="Hyperlink"/>
            <w:sz w:val="18"/>
            <w:szCs w:val="18"/>
          </w:rPr>
          <w:t>Die Setup - imec.netzero</w:t>
        </w:r>
      </w:hyperlink>
      <w:r w:rsidRPr="008F0A3C">
        <w:rPr>
          <w:sz w:val="18"/>
          <w:szCs w:val="18"/>
        </w:rPr>
        <w:t>; technologies:  N2 (Logic Mobile SoC, 300 mm), Germany -average</w:t>
      </w:r>
      <w:r w:rsidR="00F274DD" w:rsidRPr="008F0A3C">
        <w:rPr>
          <w:sz w:val="18"/>
          <w:szCs w:val="18"/>
        </w:rPr>
        <w:t xml:space="preserve"> </w:t>
      </w:r>
      <w:r w:rsidRPr="008F0A3C">
        <w:rPr>
          <w:sz w:val="18"/>
          <w:szCs w:val="18"/>
        </w:rPr>
        <w:t>; 10 mm die size X and die size Y: yield 85%; IPCC Tier 2C with combustion abatement model</w:t>
      </w:r>
    </w:p>
  </w:footnote>
  <w:footnote w:id="374">
    <w:p w14:paraId="4027FFA6" w14:textId="55F4D124" w:rsidR="008E1689" w:rsidRPr="008E1689" w:rsidRDefault="008E1689">
      <w:pPr>
        <w:pStyle w:val="FootnoteText"/>
        <w:rPr>
          <w:sz w:val="18"/>
          <w:szCs w:val="18"/>
        </w:rPr>
      </w:pPr>
      <w:r w:rsidRPr="008E1689">
        <w:rPr>
          <w:sz w:val="18"/>
          <w:szCs w:val="18"/>
        </w:rPr>
        <w:t>(</w:t>
      </w:r>
      <w:r w:rsidRPr="008E1689">
        <w:rPr>
          <w:rStyle w:val="FootnoteReference"/>
          <w:sz w:val="18"/>
          <w:szCs w:val="18"/>
        </w:rPr>
        <w:footnoteRef/>
      </w:r>
      <w:r w:rsidRPr="008E1689">
        <w:rPr>
          <w:sz w:val="18"/>
          <w:szCs w:val="18"/>
        </w:rPr>
        <w:t xml:space="preserve">) </w:t>
      </w:r>
      <w:hyperlink r:id="rId80" w:history="1">
        <w:r w:rsidRPr="008E1689">
          <w:rPr>
            <w:rStyle w:val="Hyperlink"/>
            <w:sz w:val="18"/>
            <w:szCs w:val="18"/>
          </w:rPr>
          <w:t>Die Setup - imec.netzero</w:t>
        </w:r>
      </w:hyperlink>
      <w:r w:rsidRPr="008E1689">
        <w:rPr>
          <w:sz w:val="18"/>
          <w:szCs w:val="18"/>
        </w:rPr>
        <w:t>; technologies:  N2 (Logic Mobile SoC, 300 mm), Germany -average ; 10 mm die size X and die size Y: yield 85%; IPCC Tier 2C with combustion abatement model</w:t>
      </w:r>
    </w:p>
  </w:footnote>
  <w:footnote w:id="375">
    <w:p w14:paraId="46CE50FC" w14:textId="3F2DAA8E" w:rsidR="008E1689" w:rsidRPr="008E1689" w:rsidRDefault="008E1689">
      <w:pPr>
        <w:pStyle w:val="FootnoteText"/>
        <w:rPr>
          <w:sz w:val="18"/>
          <w:szCs w:val="18"/>
        </w:rPr>
      </w:pPr>
      <w:r w:rsidRPr="008E1689">
        <w:rPr>
          <w:sz w:val="18"/>
          <w:szCs w:val="18"/>
        </w:rPr>
        <w:t>(</w:t>
      </w:r>
      <w:r w:rsidRPr="008E1689">
        <w:rPr>
          <w:rStyle w:val="FootnoteReference"/>
          <w:sz w:val="18"/>
          <w:szCs w:val="18"/>
        </w:rPr>
        <w:footnoteRef/>
      </w:r>
      <w:r w:rsidRPr="008E1689">
        <w:rPr>
          <w:sz w:val="18"/>
          <w:szCs w:val="18"/>
        </w:rPr>
        <w:t xml:space="preserve">) </w:t>
      </w:r>
      <w:hyperlink r:id="rId81" w:history="1">
        <w:r w:rsidRPr="008E1689">
          <w:rPr>
            <w:rStyle w:val="Hyperlink"/>
            <w:sz w:val="18"/>
            <w:szCs w:val="18"/>
          </w:rPr>
          <w:t>Die Setup - imec.netzero</w:t>
        </w:r>
      </w:hyperlink>
      <w:r w:rsidRPr="008E1689">
        <w:rPr>
          <w:sz w:val="18"/>
          <w:szCs w:val="18"/>
        </w:rPr>
        <w:t>; technologies:  N2 (Logic Mobile SoC, 300 mm), Germany -average ; 10 mm die size X and die size Y: yield 85%; IPCC Tier 2C with combustion abatement model</w:t>
      </w:r>
    </w:p>
  </w:footnote>
  <w:footnote w:id="376">
    <w:p w14:paraId="41555971" w14:textId="224EAC1D" w:rsidR="008E1689" w:rsidRPr="008E1689" w:rsidRDefault="008E1689">
      <w:pPr>
        <w:pStyle w:val="FootnoteText"/>
      </w:pPr>
      <w:r w:rsidRPr="008E1689">
        <w:rPr>
          <w:sz w:val="18"/>
          <w:szCs w:val="18"/>
        </w:rPr>
        <w:t>(</w:t>
      </w:r>
      <w:r w:rsidRPr="008E1689">
        <w:rPr>
          <w:rStyle w:val="FootnoteReference"/>
          <w:sz w:val="18"/>
          <w:szCs w:val="18"/>
        </w:rPr>
        <w:footnoteRef/>
      </w:r>
      <w:r w:rsidRPr="008E1689">
        <w:rPr>
          <w:sz w:val="18"/>
          <w:szCs w:val="18"/>
        </w:rPr>
        <w:t xml:space="preserve">) </w:t>
      </w:r>
      <w:hyperlink r:id="rId82" w:history="1">
        <w:r w:rsidRPr="008E1689">
          <w:rPr>
            <w:rStyle w:val="Hyperlink"/>
            <w:sz w:val="18"/>
            <w:szCs w:val="18"/>
          </w:rPr>
          <w:t>Die Setup - imec.netzero</w:t>
        </w:r>
      </w:hyperlink>
      <w:r w:rsidRPr="008E1689">
        <w:rPr>
          <w:sz w:val="18"/>
          <w:szCs w:val="18"/>
        </w:rPr>
        <w:t>; technologies:  N2 (Logic Mobile SoC, 300 mm), Germany -average ; 10 mm die size X and die size Y: yield 85%; IPCC Tier 2C with combustion abatement model</w:t>
      </w:r>
    </w:p>
  </w:footnote>
  <w:footnote w:id="377">
    <w:p w14:paraId="6C56F332" w14:textId="4D9AEB64" w:rsidR="0023170C" w:rsidRPr="0023170C" w:rsidRDefault="0023170C">
      <w:pPr>
        <w:pStyle w:val="FootnoteText"/>
        <w:rPr>
          <w:sz w:val="18"/>
          <w:szCs w:val="18"/>
        </w:rPr>
      </w:pPr>
      <w:r w:rsidRPr="0023170C">
        <w:rPr>
          <w:sz w:val="18"/>
          <w:szCs w:val="18"/>
        </w:rPr>
        <w:t>(</w:t>
      </w:r>
      <w:r w:rsidRPr="0023170C">
        <w:rPr>
          <w:rStyle w:val="FootnoteReference"/>
          <w:sz w:val="18"/>
          <w:szCs w:val="18"/>
        </w:rPr>
        <w:footnoteRef/>
      </w:r>
      <w:r w:rsidRPr="0023170C">
        <w:rPr>
          <w:sz w:val="18"/>
          <w:szCs w:val="18"/>
        </w:rPr>
        <w:t xml:space="preserve">) </w:t>
      </w:r>
      <w:hyperlink r:id="rId83" w:history="1">
        <w:r w:rsidRPr="0023170C">
          <w:rPr>
            <w:rStyle w:val="Hyperlink"/>
            <w:sz w:val="18"/>
            <w:szCs w:val="18"/>
          </w:rPr>
          <w:t>esg.tsmc.com/en-US/file/public/2024-TSMC-Sustainability-Report-e.pdf</w:t>
        </w:r>
      </w:hyperlink>
    </w:p>
  </w:footnote>
  <w:footnote w:id="378">
    <w:p w14:paraId="4151A94E" w14:textId="5C261A28" w:rsidR="00930A38" w:rsidRPr="00930A38" w:rsidRDefault="00930A38">
      <w:pPr>
        <w:pStyle w:val="FootnoteText"/>
        <w:rPr>
          <w:sz w:val="18"/>
          <w:szCs w:val="18"/>
        </w:rPr>
      </w:pPr>
      <w:r w:rsidRPr="00930A38">
        <w:rPr>
          <w:sz w:val="18"/>
          <w:szCs w:val="18"/>
        </w:rPr>
        <w:t>(</w:t>
      </w:r>
      <w:r w:rsidRPr="00930A38">
        <w:rPr>
          <w:rStyle w:val="FootnoteReference"/>
          <w:sz w:val="18"/>
          <w:szCs w:val="18"/>
        </w:rPr>
        <w:footnoteRef/>
      </w:r>
      <w:r w:rsidRPr="00930A38">
        <w:rPr>
          <w:sz w:val="18"/>
          <w:szCs w:val="18"/>
        </w:rPr>
        <w:t xml:space="preserve">) </w:t>
      </w:r>
      <w:hyperlink r:id="rId84" w:history="1">
        <w:r w:rsidRPr="00930A38">
          <w:rPr>
            <w:rStyle w:val="Hyperlink"/>
            <w:sz w:val="18"/>
            <w:szCs w:val="18"/>
          </w:rPr>
          <w:t>Die Setup - imec.netzero</w:t>
        </w:r>
      </w:hyperlink>
      <w:r w:rsidRPr="00930A38">
        <w:rPr>
          <w:sz w:val="18"/>
          <w:szCs w:val="18"/>
        </w:rPr>
        <w:t>; technologies:  N2 (Logic Mobile SoC, 300 mm), Germany -average ; 10 mm die size X and die size Y: yield 85%; IPCC Tier 2C with combustion abatement model</w:t>
      </w:r>
    </w:p>
  </w:footnote>
  <w:footnote w:id="379">
    <w:p w14:paraId="7849AB4A" w14:textId="5C8E5A2B" w:rsidR="00930A38" w:rsidRPr="00930A38" w:rsidRDefault="00930A38">
      <w:pPr>
        <w:pStyle w:val="FootnoteText"/>
        <w:rPr>
          <w:sz w:val="18"/>
          <w:szCs w:val="18"/>
        </w:rPr>
      </w:pPr>
      <w:r w:rsidRPr="00930A38">
        <w:rPr>
          <w:sz w:val="18"/>
          <w:szCs w:val="18"/>
        </w:rPr>
        <w:t>(</w:t>
      </w:r>
      <w:r w:rsidRPr="00930A38">
        <w:rPr>
          <w:rStyle w:val="FootnoteReference"/>
          <w:sz w:val="18"/>
          <w:szCs w:val="18"/>
        </w:rPr>
        <w:footnoteRef/>
      </w:r>
      <w:r w:rsidRPr="00930A38">
        <w:rPr>
          <w:sz w:val="18"/>
          <w:szCs w:val="18"/>
        </w:rPr>
        <w:t xml:space="preserve">) </w:t>
      </w:r>
      <w:hyperlink r:id="rId85" w:history="1">
        <w:r w:rsidRPr="00930A38">
          <w:rPr>
            <w:rStyle w:val="Hyperlink"/>
            <w:sz w:val="18"/>
            <w:szCs w:val="18"/>
          </w:rPr>
          <w:t>Die Setup - imec.netzero</w:t>
        </w:r>
      </w:hyperlink>
      <w:r w:rsidRPr="00930A38">
        <w:rPr>
          <w:sz w:val="18"/>
          <w:szCs w:val="18"/>
        </w:rPr>
        <w:t>; technologies:  N2 (Logic Mobile SoC, 300 mm), Germany -average ; 10 mm die size X and die size Y: yield 85%; IPCC Tier 2C with combustion abatement model</w:t>
      </w:r>
    </w:p>
  </w:footnote>
  <w:footnote w:id="380">
    <w:p w14:paraId="45FB7D05" w14:textId="17275FAE" w:rsidR="00930A38" w:rsidRPr="00930A38" w:rsidRDefault="00930A38">
      <w:pPr>
        <w:pStyle w:val="FootnoteText"/>
        <w:rPr>
          <w:sz w:val="18"/>
          <w:szCs w:val="18"/>
        </w:rPr>
      </w:pPr>
      <w:r w:rsidRPr="00930A38">
        <w:rPr>
          <w:sz w:val="18"/>
          <w:szCs w:val="18"/>
        </w:rPr>
        <w:t>(</w:t>
      </w:r>
      <w:r w:rsidRPr="00930A38">
        <w:rPr>
          <w:rStyle w:val="FootnoteReference"/>
          <w:sz w:val="18"/>
          <w:szCs w:val="18"/>
        </w:rPr>
        <w:footnoteRef/>
      </w:r>
      <w:r w:rsidRPr="00930A38">
        <w:rPr>
          <w:sz w:val="18"/>
          <w:szCs w:val="18"/>
        </w:rPr>
        <w:t xml:space="preserve">) </w:t>
      </w:r>
      <w:hyperlink r:id="rId86" w:history="1">
        <w:r w:rsidRPr="00930A38">
          <w:rPr>
            <w:rStyle w:val="Hyperlink"/>
            <w:sz w:val="18"/>
            <w:szCs w:val="18"/>
          </w:rPr>
          <w:t>Die Setup - imec.netzero</w:t>
        </w:r>
      </w:hyperlink>
      <w:r w:rsidRPr="00930A38">
        <w:rPr>
          <w:sz w:val="18"/>
          <w:szCs w:val="18"/>
        </w:rPr>
        <w:t>; technologies:  N2 (Logic Mobile SoC, 300 mm), Germany -average ; 10 mm die size X and die size Y: yield 85%; IPCC Tier 2C with combustion abatement model</w:t>
      </w:r>
    </w:p>
  </w:footnote>
  <w:footnote w:id="381">
    <w:p w14:paraId="3C4A83AC" w14:textId="397B14CE" w:rsidR="00EC49AF" w:rsidRPr="00930A38" w:rsidRDefault="00EC49AF" w:rsidP="00EC49AF">
      <w:pPr>
        <w:pStyle w:val="FootnoteText"/>
        <w:rPr>
          <w:sz w:val="18"/>
          <w:szCs w:val="18"/>
          <w:lang w:val="en-IE"/>
        </w:rPr>
      </w:pPr>
      <w:r w:rsidRPr="00930A38">
        <w:rPr>
          <w:sz w:val="18"/>
          <w:szCs w:val="18"/>
        </w:rPr>
        <w:t>(</w:t>
      </w:r>
      <w:r w:rsidRPr="00930A38">
        <w:rPr>
          <w:rStyle w:val="FootnoteReference"/>
          <w:sz w:val="18"/>
          <w:szCs w:val="18"/>
        </w:rPr>
        <w:footnoteRef/>
      </w:r>
      <w:r w:rsidRPr="00930A38">
        <w:rPr>
          <w:sz w:val="18"/>
          <w:szCs w:val="18"/>
        </w:rPr>
        <w:t xml:space="preserve">) </w:t>
      </w:r>
      <w:hyperlink r:id="rId87" w:history="1">
        <w:r w:rsidRPr="00930A38">
          <w:rPr>
            <w:rStyle w:val="Hyperlink"/>
            <w:sz w:val="18"/>
            <w:szCs w:val="18"/>
          </w:rPr>
          <w:t>Republic of China (Taiwan) Electricity Generation Mix 2025 | Low-Carbon Power Data</w:t>
        </w:r>
      </w:hyperlink>
    </w:p>
  </w:footnote>
  <w:footnote w:id="382">
    <w:p w14:paraId="11AA2B90" w14:textId="19311195" w:rsidR="00EC49AF" w:rsidRPr="00930A38" w:rsidRDefault="00EC49AF" w:rsidP="00EC49AF">
      <w:pPr>
        <w:pStyle w:val="FootnoteText"/>
        <w:rPr>
          <w:sz w:val="18"/>
          <w:szCs w:val="18"/>
          <w:lang w:val="en-IE"/>
        </w:rPr>
      </w:pPr>
      <w:r w:rsidRPr="00930A38">
        <w:rPr>
          <w:sz w:val="18"/>
          <w:szCs w:val="18"/>
        </w:rPr>
        <w:t>(</w:t>
      </w:r>
      <w:r w:rsidRPr="00930A38">
        <w:rPr>
          <w:rStyle w:val="FootnoteReference"/>
          <w:sz w:val="18"/>
          <w:szCs w:val="18"/>
        </w:rPr>
        <w:footnoteRef/>
      </w:r>
      <w:r w:rsidRPr="00930A38">
        <w:rPr>
          <w:sz w:val="18"/>
          <w:szCs w:val="18"/>
        </w:rPr>
        <w:t xml:space="preserve">) </w:t>
      </w:r>
      <w:hyperlink r:id="rId88" w:history="1">
        <w:r w:rsidRPr="00930A38">
          <w:rPr>
            <w:rStyle w:val="Hyperlink"/>
            <w:sz w:val="18"/>
            <w:szCs w:val="18"/>
          </w:rPr>
          <w:t>Global Electricity Review 2025 | Ember</w:t>
        </w:r>
      </w:hyperlink>
    </w:p>
  </w:footnote>
  <w:footnote w:id="383">
    <w:p w14:paraId="4855F121" w14:textId="5D3925FA" w:rsidR="00EC49AF" w:rsidRPr="001E4B47" w:rsidRDefault="00EC49AF" w:rsidP="00EC49AF">
      <w:pPr>
        <w:pStyle w:val="FootnoteText"/>
        <w:rPr>
          <w:sz w:val="18"/>
          <w:szCs w:val="18"/>
        </w:rPr>
      </w:pPr>
      <w:r w:rsidRPr="00930A38">
        <w:rPr>
          <w:sz w:val="18"/>
          <w:szCs w:val="18"/>
          <w:lang w:val="en-IE"/>
        </w:rPr>
        <w:t>(</w:t>
      </w:r>
      <w:r w:rsidRPr="00930A38">
        <w:rPr>
          <w:rStyle w:val="FootnoteReference"/>
          <w:sz w:val="18"/>
          <w:szCs w:val="18"/>
        </w:rPr>
        <w:footnoteRef/>
      </w:r>
      <w:r w:rsidRPr="00930A38">
        <w:rPr>
          <w:sz w:val="18"/>
          <w:szCs w:val="18"/>
          <w:lang w:val="en-IE"/>
        </w:rPr>
        <w:t>)  Interface (2024). Chip Production’s Ecological Footprint: Mapping Climate and Environmental Impact.</w:t>
      </w:r>
      <w:hyperlink r:id="rId89" w:anchor="calculation-method-of-ghg-emissions-in-eu-chip-production-in-2021-and-scenarios-for-2030" w:history="1">
        <w:r w:rsidRPr="00930A38">
          <w:rPr>
            <w:rStyle w:val="Hyperlink"/>
            <w:sz w:val="18"/>
            <w:szCs w:val="18"/>
          </w:rPr>
          <w:t>Chip Production’s Ecological Footprint: Mapping Climate and Environmental Impact</w:t>
        </w:r>
      </w:hyperlink>
    </w:p>
  </w:footnote>
  <w:footnote w:id="384">
    <w:p w14:paraId="6981072B" w14:textId="1FB0C8F7" w:rsidR="00591817" w:rsidRPr="00591817" w:rsidRDefault="00591817">
      <w:pPr>
        <w:pStyle w:val="FootnoteText"/>
        <w:rPr>
          <w:sz w:val="18"/>
          <w:szCs w:val="18"/>
          <w:lang w:val="en-IE"/>
        </w:rPr>
      </w:pPr>
      <w:r w:rsidRPr="00591817">
        <w:rPr>
          <w:sz w:val="18"/>
          <w:szCs w:val="18"/>
        </w:rPr>
        <w:t>(</w:t>
      </w:r>
      <w:r w:rsidRPr="00591817">
        <w:rPr>
          <w:rStyle w:val="FootnoteReference"/>
          <w:sz w:val="18"/>
          <w:szCs w:val="18"/>
        </w:rPr>
        <w:footnoteRef/>
      </w:r>
      <w:r w:rsidRPr="00591817">
        <w:rPr>
          <w:sz w:val="18"/>
          <w:szCs w:val="18"/>
        </w:rPr>
        <w:t xml:space="preserve">) </w:t>
      </w:r>
      <w:hyperlink r:id="rId90" w:history="1">
        <w:r w:rsidRPr="00591817">
          <w:rPr>
            <w:rStyle w:val="Hyperlink"/>
            <w:sz w:val="18"/>
            <w:szCs w:val="18"/>
          </w:rPr>
          <w:t>Die Setup - imec.netzero</w:t>
        </w:r>
      </w:hyperlink>
      <w:r w:rsidRPr="00591817">
        <w:rPr>
          <w:sz w:val="18"/>
          <w:szCs w:val="18"/>
        </w:rPr>
        <w:t>; technologies:  N2 (Logic Mobile SoC, 300 mm), Germany -average ; 10 mm die size X and die size Y: yield 85%; IPCC Tier 2C with combustion abatement model</w:t>
      </w:r>
    </w:p>
  </w:footnote>
  <w:footnote w:id="385">
    <w:p w14:paraId="2DFF71D4" w14:textId="5C1A6B91" w:rsidR="00591817" w:rsidRPr="00591817" w:rsidRDefault="00591817">
      <w:pPr>
        <w:pStyle w:val="FootnoteText"/>
        <w:rPr>
          <w:sz w:val="18"/>
          <w:szCs w:val="18"/>
          <w:lang w:val="en-IE"/>
        </w:rPr>
      </w:pPr>
      <w:r w:rsidRPr="00591817">
        <w:rPr>
          <w:sz w:val="18"/>
          <w:szCs w:val="18"/>
          <w:lang w:val="en-IE"/>
        </w:rPr>
        <w:t>(</w:t>
      </w:r>
      <w:r w:rsidRPr="00591817">
        <w:rPr>
          <w:rStyle w:val="FootnoteReference"/>
          <w:sz w:val="18"/>
          <w:szCs w:val="18"/>
        </w:rPr>
        <w:footnoteRef/>
      </w:r>
      <w:r w:rsidRPr="00591817">
        <w:rPr>
          <w:sz w:val="18"/>
          <w:szCs w:val="18"/>
          <w:lang w:val="en-IE"/>
        </w:rPr>
        <w:t>)</w:t>
      </w:r>
      <w:r w:rsidRPr="00591817">
        <w:rPr>
          <w:sz w:val="18"/>
          <w:szCs w:val="18"/>
        </w:rPr>
        <w:t xml:space="preserve"> </w:t>
      </w:r>
      <w:hyperlink r:id="rId91" w:history="1">
        <w:r w:rsidRPr="00591817">
          <w:rPr>
            <w:rStyle w:val="Hyperlink"/>
            <w:sz w:val="18"/>
            <w:szCs w:val="18"/>
          </w:rPr>
          <w:t>Die Setup - imec.netzero</w:t>
        </w:r>
      </w:hyperlink>
      <w:r w:rsidRPr="00591817">
        <w:rPr>
          <w:sz w:val="18"/>
          <w:szCs w:val="18"/>
        </w:rPr>
        <w:t>; technologies:  N2 (Logic Mobile SoC, 300 mm), Germany -average ; 10 mm die size X and die size Y: yield 85%; IPCC Tier 2C with combustion abatement model</w:t>
      </w:r>
    </w:p>
  </w:footnote>
  <w:footnote w:id="386">
    <w:p w14:paraId="14F471E6" w14:textId="7C9D9095" w:rsidR="00591817" w:rsidRPr="00591817" w:rsidRDefault="00591817">
      <w:pPr>
        <w:pStyle w:val="FootnoteText"/>
        <w:rPr>
          <w:sz w:val="18"/>
          <w:szCs w:val="18"/>
          <w:lang w:val="en-IE"/>
        </w:rPr>
      </w:pPr>
      <w:r w:rsidRPr="00591817">
        <w:rPr>
          <w:sz w:val="18"/>
          <w:szCs w:val="18"/>
        </w:rPr>
        <w:t>(</w:t>
      </w:r>
      <w:r w:rsidRPr="00591817">
        <w:rPr>
          <w:rStyle w:val="FootnoteReference"/>
          <w:sz w:val="18"/>
          <w:szCs w:val="18"/>
        </w:rPr>
        <w:footnoteRef/>
      </w:r>
      <w:r w:rsidRPr="00591817">
        <w:rPr>
          <w:sz w:val="18"/>
          <w:szCs w:val="18"/>
        </w:rPr>
        <w:t xml:space="preserve">) </w:t>
      </w:r>
      <w:hyperlink r:id="rId92" w:history="1">
        <w:r w:rsidRPr="00591817">
          <w:rPr>
            <w:rStyle w:val="Hyperlink"/>
            <w:sz w:val="18"/>
            <w:szCs w:val="18"/>
          </w:rPr>
          <w:t>Die Setup - imec.netzero</w:t>
        </w:r>
      </w:hyperlink>
      <w:r w:rsidRPr="00591817">
        <w:rPr>
          <w:sz w:val="18"/>
          <w:szCs w:val="18"/>
        </w:rPr>
        <w:t>; technologies:  N2 (Logic Mobile SoC, 300 mm), Germany -average ; 10 mm die size X and die size Y: yield 85%; IPCC Tier 2C with combustion abatement model</w:t>
      </w:r>
    </w:p>
  </w:footnote>
  <w:footnote w:id="387">
    <w:p w14:paraId="67FFF6C3" w14:textId="2CFAEB98" w:rsidR="00591817" w:rsidRPr="00591817" w:rsidRDefault="00591817">
      <w:pPr>
        <w:pStyle w:val="FootnoteText"/>
        <w:rPr>
          <w:lang w:val="en-IE"/>
        </w:rPr>
      </w:pPr>
      <w:r w:rsidRPr="00591817">
        <w:rPr>
          <w:sz w:val="18"/>
          <w:szCs w:val="18"/>
          <w:lang w:val="en-IE"/>
        </w:rPr>
        <w:t>(</w:t>
      </w:r>
      <w:r w:rsidRPr="00591817">
        <w:rPr>
          <w:rStyle w:val="FootnoteReference"/>
          <w:sz w:val="18"/>
          <w:szCs w:val="18"/>
        </w:rPr>
        <w:footnoteRef/>
      </w:r>
      <w:r w:rsidRPr="00591817">
        <w:rPr>
          <w:sz w:val="18"/>
          <w:szCs w:val="18"/>
          <w:lang w:val="en-IE"/>
        </w:rPr>
        <w:t>)</w:t>
      </w:r>
      <w:r w:rsidRPr="00591817">
        <w:rPr>
          <w:sz w:val="18"/>
          <w:szCs w:val="18"/>
        </w:rPr>
        <w:t xml:space="preserve"> </w:t>
      </w:r>
      <w:hyperlink r:id="rId93" w:history="1">
        <w:r w:rsidRPr="00591817">
          <w:rPr>
            <w:rStyle w:val="Hyperlink"/>
            <w:sz w:val="18"/>
            <w:szCs w:val="18"/>
          </w:rPr>
          <w:t>Die Setup - imec.netzero</w:t>
        </w:r>
      </w:hyperlink>
      <w:r w:rsidRPr="00591817">
        <w:rPr>
          <w:sz w:val="18"/>
          <w:szCs w:val="18"/>
        </w:rPr>
        <w:t>; technologies:  N2 (Logic Mobile SoC, 300 mm), Germany -average ; 10 mm die size X and die size Y: yield 85%; IPCC Tier 2C with combustion abatement model</w:t>
      </w:r>
    </w:p>
  </w:footnote>
  <w:footnote w:id="388">
    <w:p w14:paraId="24105336" w14:textId="7472D1C4" w:rsidR="00EC49AF" w:rsidRPr="00591817" w:rsidRDefault="00EC49AF" w:rsidP="00EC49AF">
      <w:pPr>
        <w:spacing w:after="0"/>
        <w:rPr>
          <w:sz w:val="18"/>
          <w:szCs w:val="18"/>
        </w:rPr>
      </w:pPr>
      <w:r w:rsidRPr="00591817">
        <w:rPr>
          <w:sz w:val="18"/>
          <w:szCs w:val="18"/>
          <w:vertAlign w:val="superscript"/>
        </w:rPr>
        <w:t>(</w:t>
      </w:r>
      <w:r w:rsidRPr="00591817">
        <w:rPr>
          <w:sz w:val="18"/>
          <w:szCs w:val="18"/>
          <w:vertAlign w:val="superscript"/>
        </w:rPr>
        <w:footnoteRef/>
      </w:r>
      <w:r w:rsidRPr="00591817">
        <w:rPr>
          <w:sz w:val="18"/>
          <w:szCs w:val="18"/>
          <w:vertAlign w:val="superscript"/>
        </w:rPr>
        <w:t xml:space="preserve">) </w:t>
      </w:r>
      <w:r w:rsidRPr="00591817">
        <w:rPr>
          <w:sz w:val="18"/>
          <w:szCs w:val="18"/>
        </w:rPr>
        <w:t xml:space="preserve"> </w:t>
      </w:r>
      <w:r w:rsidRPr="00591817">
        <w:rPr>
          <w:sz w:val="18"/>
          <w:szCs w:val="18"/>
          <w:lang w:val="en-IE"/>
        </w:rPr>
        <w:t xml:space="preserve">Interface (2024). Chip Production’s Ecological Footprint: Mapping Climate and Environmental Impact. </w:t>
      </w:r>
      <w:r w:rsidRPr="00591817">
        <w:rPr>
          <w:sz w:val="18"/>
          <w:szCs w:val="18"/>
        </w:rPr>
        <w:t xml:space="preserve"> </w:t>
      </w:r>
      <w:hyperlink r:id="rId94" w:history="1">
        <w:r w:rsidRPr="00591817">
          <w:rPr>
            <w:rStyle w:val="Hyperlink"/>
            <w:sz w:val="18"/>
            <w:szCs w:val="18"/>
          </w:rPr>
          <w:t>Chip Production’s Ecological Footprint: Mapping Climate and Environmental Impact</w:t>
        </w:r>
      </w:hyperlink>
    </w:p>
  </w:footnote>
  <w:footnote w:id="389">
    <w:p w14:paraId="2154F864" w14:textId="73E64642" w:rsidR="00EC49AF" w:rsidRPr="00591817" w:rsidRDefault="00EC49AF" w:rsidP="00EC49AF">
      <w:pPr>
        <w:spacing w:after="0"/>
        <w:rPr>
          <w:sz w:val="18"/>
          <w:szCs w:val="18"/>
        </w:rPr>
      </w:pPr>
      <w:r w:rsidRPr="00591817">
        <w:rPr>
          <w:sz w:val="18"/>
          <w:szCs w:val="18"/>
        </w:rPr>
        <w:t>(</w:t>
      </w:r>
      <w:r w:rsidRPr="00591817">
        <w:rPr>
          <w:sz w:val="18"/>
          <w:szCs w:val="18"/>
          <w:vertAlign w:val="superscript"/>
        </w:rPr>
        <w:footnoteRef/>
      </w:r>
      <w:r w:rsidRPr="00591817">
        <w:rPr>
          <w:sz w:val="18"/>
          <w:szCs w:val="18"/>
        </w:rPr>
        <w:t xml:space="preserve">)  </w:t>
      </w:r>
      <w:hyperlink r:id="rId95" w:history="1">
        <w:r w:rsidRPr="00591817">
          <w:rPr>
            <w:rStyle w:val="Hyperlink"/>
            <w:sz w:val="18"/>
            <w:szCs w:val="18"/>
          </w:rPr>
          <w:t>Semiconductors have a big opportunity—but barriers to scale remain | McKinsey</w:t>
        </w:r>
      </w:hyperlink>
    </w:p>
  </w:footnote>
  <w:footnote w:id="390">
    <w:p w14:paraId="53C9C987" w14:textId="64224E22" w:rsidR="00EC49AF" w:rsidRPr="00F5084F" w:rsidRDefault="00EC49AF" w:rsidP="00EC49AF">
      <w:pPr>
        <w:spacing w:after="0"/>
        <w:rPr>
          <w:sz w:val="18"/>
          <w:szCs w:val="18"/>
        </w:rPr>
      </w:pPr>
      <w:r w:rsidRPr="00591817">
        <w:rPr>
          <w:sz w:val="18"/>
          <w:szCs w:val="18"/>
          <w:vertAlign w:val="superscript"/>
        </w:rPr>
        <w:t>(</w:t>
      </w:r>
      <w:r w:rsidRPr="00591817">
        <w:rPr>
          <w:sz w:val="18"/>
          <w:szCs w:val="18"/>
          <w:vertAlign w:val="superscript"/>
        </w:rPr>
        <w:footnoteRef/>
      </w:r>
      <w:r w:rsidRPr="00591817">
        <w:rPr>
          <w:sz w:val="18"/>
          <w:szCs w:val="18"/>
          <w:vertAlign w:val="superscript"/>
        </w:rPr>
        <w:t xml:space="preserve">) </w:t>
      </w:r>
      <w:r w:rsidRPr="00591817">
        <w:rPr>
          <w:sz w:val="18"/>
          <w:szCs w:val="18"/>
        </w:rPr>
        <w:t xml:space="preserve"> </w:t>
      </w:r>
      <w:hyperlink r:id="rId96" w:history="1">
        <w:r w:rsidRPr="00591817">
          <w:rPr>
            <w:rStyle w:val="Hyperlink"/>
            <w:sz w:val="18"/>
            <w:szCs w:val="18"/>
          </w:rPr>
          <w:t>Semiconductors have a big opportunity—but barriers to scale remain | McKinsey</w:t>
        </w:r>
      </w:hyperlink>
    </w:p>
  </w:footnote>
  <w:footnote w:id="391">
    <w:p w14:paraId="7F451888" w14:textId="500CF7DB" w:rsidR="00EC49AF" w:rsidRPr="00591817" w:rsidRDefault="00EC49AF" w:rsidP="00EC49AF">
      <w:pPr>
        <w:pStyle w:val="FootnoteText"/>
        <w:rPr>
          <w:sz w:val="18"/>
          <w:szCs w:val="18"/>
          <w:lang w:val="en-IE"/>
        </w:rPr>
      </w:pPr>
      <w:r w:rsidRPr="00591817">
        <w:rPr>
          <w:sz w:val="18"/>
          <w:szCs w:val="18"/>
        </w:rPr>
        <w:t>(</w:t>
      </w:r>
      <w:r w:rsidRPr="00591817">
        <w:rPr>
          <w:rStyle w:val="FootnoteReference"/>
          <w:sz w:val="18"/>
          <w:szCs w:val="18"/>
        </w:rPr>
        <w:footnoteRef/>
      </w:r>
      <w:r w:rsidRPr="00591817">
        <w:rPr>
          <w:sz w:val="18"/>
          <w:szCs w:val="18"/>
        </w:rPr>
        <w:t xml:space="preserve">) </w:t>
      </w:r>
      <w:hyperlink r:id="rId97" w:history="1">
        <w:r w:rsidRPr="00591817">
          <w:rPr>
            <w:rStyle w:val="Hyperlink"/>
            <w:sz w:val="18"/>
            <w:szCs w:val="18"/>
          </w:rPr>
          <w:t>EU ETS Market Outlook 1H 2024: Prices Valley Before Rally | BloombergNEF</w:t>
        </w:r>
      </w:hyperlink>
    </w:p>
  </w:footnote>
  <w:footnote w:id="392">
    <w:p w14:paraId="18CB071B" w14:textId="5CBBF33C" w:rsidR="00EC49AF" w:rsidRPr="00AD61C4" w:rsidRDefault="00EC49AF" w:rsidP="00EC49AF">
      <w:pPr>
        <w:pStyle w:val="FootnoteText"/>
        <w:rPr>
          <w:lang w:val="en-IE"/>
        </w:rPr>
      </w:pPr>
      <w:r w:rsidRPr="00591817">
        <w:rPr>
          <w:sz w:val="18"/>
          <w:szCs w:val="18"/>
        </w:rPr>
        <w:t>(</w:t>
      </w:r>
      <w:r w:rsidRPr="00591817">
        <w:rPr>
          <w:rStyle w:val="FootnoteReference"/>
          <w:sz w:val="18"/>
          <w:szCs w:val="18"/>
        </w:rPr>
        <w:footnoteRef/>
      </w:r>
      <w:r w:rsidRPr="00591817">
        <w:rPr>
          <w:sz w:val="18"/>
          <w:szCs w:val="18"/>
        </w:rPr>
        <w:t xml:space="preserve">) </w:t>
      </w:r>
      <w:hyperlink r:id="rId98" w:history="1">
        <w:r w:rsidRPr="00591817">
          <w:rPr>
            <w:rStyle w:val="Hyperlink"/>
            <w:sz w:val="18"/>
            <w:szCs w:val="18"/>
          </w:rPr>
          <w:t>MONETISATION FACTORS FOR TRUE PRICING - True Price</w:t>
        </w:r>
      </w:hyperlink>
    </w:p>
  </w:footnote>
  <w:footnote w:id="393">
    <w:p w14:paraId="3FDC474A" w14:textId="1DC1CD01" w:rsidR="00EC49AF" w:rsidRPr="00156B9D" w:rsidRDefault="00EC49AF" w:rsidP="00EC49AF">
      <w:pPr>
        <w:pStyle w:val="FootnoteText"/>
        <w:rPr>
          <w:sz w:val="18"/>
          <w:szCs w:val="18"/>
        </w:rPr>
      </w:pPr>
      <w:r>
        <w:rPr>
          <w:sz w:val="18"/>
          <w:szCs w:val="18"/>
          <w:vertAlign w:val="superscript"/>
        </w:rPr>
        <w:t>(</w:t>
      </w:r>
      <w:r w:rsidRPr="00923415">
        <w:rPr>
          <w:rStyle w:val="FootnoteReference"/>
          <w:sz w:val="18"/>
          <w:szCs w:val="18"/>
        </w:rPr>
        <w:footnoteRef/>
      </w:r>
      <w:r>
        <w:rPr>
          <w:sz w:val="18"/>
          <w:szCs w:val="18"/>
          <w:vertAlign w:val="superscript"/>
        </w:rPr>
        <w:t>)</w:t>
      </w:r>
      <w:r w:rsidRPr="00923415">
        <w:rPr>
          <w:sz w:val="18"/>
          <w:szCs w:val="18"/>
          <w:vertAlign w:val="superscript"/>
        </w:rPr>
        <w:t xml:space="preserve"> </w:t>
      </w:r>
      <w:r w:rsidRPr="00156B9D">
        <w:rPr>
          <w:sz w:val="18"/>
          <w:szCs w:val="18"/>
        </w:rPr>
        <w:t xml:space="preserve">The US semiconductor industry workforce and how federal incentives will increase domestic jobs – SIA, Oxford Economics - https://www.semiconductors.org/chipping-in-sia-jobs-report/ </w:t>
      </w:r>
    </w:p>
  </w:footnote>
  <w:footnote w:id="394">
    <w:p w14:paraId="00A7A95E" w14:textId="6EAFE061" w:rsidR="00EC49AF" w:rsidRPr="00923415" w:rsidRDefault="00EC49AF" w:rsidP="00EC49AF">
      <w:pPr>
        <w:pStyle w:val="FootnoteText"/>
      </w:pPr>
      <w:r>
        <w:rPr>
          <w:sz w:val="18"/>
          <w:szCs w:val="18"/>
          <w:vertAlign w:val="superscript"/>
        </w:rPr>
        <w:t>(</w:t>
      </w:r>
      <w:r w:rsidRPr="00923415">
        <w:rPr>
          <w:rStyle w:val="FootnoteReference"/>
          <w:sz w:val="18"/>
          <w:szCs w:val="18"/>
        </w:rPr>
        <w:footnoteRef/>
      </w:r>
      <w:r>
        <w:rPr>
          <w:sz w:val="18"/>
          <w:szCs w:val="18"/>
          <w:vertAlign w:val="superscript"/>
        </w:rPr>
        <w:t>)</w:t>
      </w:r>
      <w:r w:rsidRPr="00923415">
        <w:rPr>
          <w:sz w:val="18"/>
          <w:szCs w:val="18"/>
          <w:vertAlign w:val="superscript"/>
        </w:rPr>
        <w:t xml:space="preserve"> </w:t>
      </w:r>
      <w:r w:rsidRPr="00156B9D">
        <w:rPr>
          <w:sz w:val="18"/>
          <w:szCs w:val="18"/>
          <w:lang w:val="en-IE"/>
        </w:rPr>
        <w:t>The multiplier effect of industrial jobs – United Nation Industrial Development Organisation (UNIDO)</w:t>
      </w:r>
    </w:p>
  </w:footnote>
  <w:footnote w:id="395">
    <w:p w14:paraId="3B193990" w14:textId="07238C70" w:rsidR="00EC49AF" w:rsidRPr="00156B9D" w:rsidRDefault="00EC49AF" w:rsidP="00EC49AF">
      <w:pPr>
        <w:pStyle w:val="FootnoteText"/>
        <w:rPr>
          <w:sz w:val="18"/>
          <w:szCs w:val="18"/>
          <w:lang w:val="en-US"/>
        </w:rPr>
      </w:pPr>
      <w:r>
        <w:rPr>
          <w:sz w:val="18"/>
          <w:szCs w:val="18"/>
          <w:lang w:val="it-IT"/>
        </w:rPr>
        <w:t>(</w:t>
      </w:r>
      <w:r w:rsidRPr="00156B9D">
        <w:rPr>
          <w:rStyle w:val="FootnoteReference"/>
          <w:sz w:val="18"/>
          <w:szCs w:val="18"/>
        </w:rPr>
        <w:footnoteRef/>
      </w:r>
      <w:r>
        <w:rPr>
          <w:sz w:val="18"/>
          <w:szCs w:val="18"/>
          <w:lang w:val="it-IT"/>
        </w:rPr>
        <w:t>)</w:t>
      </w:r>
      <w:r w:rsidRPr="00156B9D">
        <w:rPr>
          <w:sz w:val="18"/>
          <w:szCs w:val="18"/>
          <w:lang w:val="it-IT"/>
        </w:rPr>
        <w:t xml:space="preserve"> </w:t>
      </w:r>
      <w:r w:rsidRPr="00156B9D">
        <w:rPr>
          <w:sz w:val="18"/>
          <w:szCs w:val="18"/>
          <w:lang w:val="sv-SE"/>
        </w:rPr>
        <w:t xml:space="preserve">Bonnet, P., Ciani, A., Molnar, J., &amp; Nardo, M. (2025). </w:t>
      </w:r>
      <w:r w:rsidRPr="00156B9D">
        <w:rPr>
          <w:rStyle w:val="Emphasis"/>
          <w:sz w:val="18"/>
          <w:szCs w:val="18"/>
        </w:rPr>
        <w:t>EU’s strengths and weaknesses in the global semiconductor sector</w:t>
      </w:r>
      <w:r w:rsidRPr="00156B9D">
        <w:rPr>
          <w:sz w:val="18"/>
          <w:szCs w:val="18"/>
        </w:rPr>
        <w:t xml:space="preserve"> (EUR 40253 EN). Luxembourg: Publications Office of the European Union. https://doi.org/10.2760/6302476</w:t>
      </w:r>
    </w:p>
  </w:footnote>
  <w:footnote w:id="396">
    <w:p w14:paraId="51C22EEA" w14:textId="749E8741" w:rsidR="00EC49AF" w:rsidRPr="00156B9D" w:rsidRDefault="00EC49AF" w:rsidP="00EC49AF">
      <w:pPr>
        <w:pStyle w:val="FootnoteText"/>
        <w:rPr>
          <w:sz w:val="18"/>
          <w:szCs w:val="18"/>
          <w:lang w:val="en-US"/>
        </w:rPr>
      </w:pPr>
      <w:r>
        <w:rPr>
          <w:sz w:val="18"/>
          <w:szCs w:val="18"/>
        </w:rPr>
        <w:t>(</w:t>
      </w:r>
      <w:r w:rsidRPr="00156B9D">
        <w:rPr>
          <w:rStyle w:val="FootnoteReference"/>
          <w:sz w:val="18"/>
          <w:szCs w:val="18"/>
        </w:rPr>
        <w:footnoteRef/>
      </w:r>
      <w:r>
        <w:rPr>
          <w:sz w:val="18"/>
          <w:szCs w:val="18"/>
        </w:rPr>
        <w:t>)</w:t>
      </w:r>
      <w:r w:rsidRPr="00156B9D">
        <w:rPr>
          <w:sz w:val="18"/>
          <w:szCs w:val="18"/>
        </w:rPr>
        <w:t xml:space="preserve"> </w:t>
      </w:r>
      <w:hyperlink r:id="rId99" w:history="1">
        <w:r w:rsidRPr="00156B9D">
          <w:rPr>
            <w:rStyle w:val="Hyperlink"/>
            <w:sz w:val="18"/>
            <w:szCs w:val="18"/>
          </w:rPr>
          <w:t>https://www.electronicsweekly.com/news/business/rapidus-picks-hokkaido-for-36bn-2nm-fab-2023-02/</w:t>
        </w:r>
      </w:hyperlink>
      <w:r w:rsidRPr="00156B9D">
        <w:rPr>
          <w:sz w:val="18"/>
          <w:szCs w:val="18"/>
        </w:rPr>
        <w:t xml:space="preserve"> </w:t>
      </w:r>
    </w:p>
  </w:footnote>
  <w:footnote w:id="397">
    <w:p w14:paraId="218EB800" w14:textId="6E0D8741" w:rsidR="00EC49AF" w:rsidRPr="00923415" w:rsidRDefault="00EC49AF" w:rsidP="00EC49AF">
      <w:pPr>
        <w:pStyle w:val="FootnoteText"/>
        <w:rPr>
          <w:lang w:val="en-US"/>
        </w:rPr>
      </w:pPr>
      <w:r>
        <w:rPr>
          <w:sz w:val="18"/>
          <w:szCs w:val="18"/>
        </w:rPr>
        <w:t>(</w:t>
      </w:r>
      <w:r w:rsidRPr="00156B9D">
        <w:rPr>
          <w:rStyle w:val="FootnoteReference"/>
          <w:sz w:val="18"/>
          <w:szCs w:val="18"/>
        </w:rPr>
        <w:footnoteRef/>
      </w:r>
      <w:r>
        <w:rPr>
          <w:sz w:val="18"/>
          <w:szCs w:val="18"/>
        </w:rPr>
        <w:t>)</w:t>
      </w:r>
      <w:r w:rsidRPr="00156B9D">
        <w:rPr>
          <w:sz w:val="18"/>
          <w:szCs w:val="18"/>
        </w:rPr>
        <w:t xml:space="preserve"> </w:t>
      </w:r>
      <w:hyperlink r:id="rId100" w:history="1">
        <w:r w:rsidRPr="00156B9D">
          <w:rPr>
            <w:rStyle w:val="Hyperlink"/>
            <w:sz w:val="18"/>
            <w:szCs w:val="18"/>
          </w:rPr>
          <w:t>https://www.imec-int.com/en/press/rapidus-japans-newly-founded-chip-manufacturer-joins-imecs-core-partner-program</w:t>
        </w:r>
      </w:hyperlink>
      <w:r w:rsidRPr="00923415">
        <w:rPr>
          <w:sz w:val="18"/>
          <w:szCs w:val="18"/>
        </w:rPr>
        <w:t xml:space="preserve"> </w:t>
      </w:r>
    </w:p>
  </w:footnote>
  <w:footnote w:id="398">
    <w:p w14:paraId="7B35AE8A" w14:textId="6F6F4B16" w:rsidR="00EC49AF" w:rsidRPr="001E4B47" w:rsidRDefault="00EC49AF" w:rsidP="00EC49AF">
      <w:pPr>
        <w:pStyle w:val="FootnoteText"/>
        <w:rPr>
          <w:sz w:val="18"/>
          <w:szCs w:val="18"/>
          <w:lang w:val="en-US"/>
        </w:rPr>
      </w:pPr>
      <w:r>
        <w:t>(</w:t>
      </w:r>
      <w:r w:rsidRPr="00924F38">
        <w:rPr>
          <w:rStyle w:val="FootnoteReference"/>
          <w:sz w:val="18"/>
          <w:szCs w:val="18"/>
        </w:rPr>
        <w:footnoteRef/>
      </w:r>
      <w:r>
        <w:t>)</w:t>
      </w:r>
      <w:hyperlink r:id="rId101" w:anchor=":~:text=Toward%20a%20commercial%20offering,Mayor%20Ryuichi%20Yokota%20of%20Chitose" w:history="1">
        <w:r w:rsidRPr="001816E2">
          <w:rPr>
            <w:rStyle w:val="Hyperlink"/>
            <w:sz w:val="18"/>
            <w:szCs w:val="18"/>
          </w:rPr>
          <w:t>https://www.digitimes.com/news/a20250718PD228/rapidus-production-2nm-2027-chips.html#:~:text=Toward%20a%20commercial%20offering,Mayor%20Ryuichi%20Yokota%20of%20Chitose</w:t>
        </w:r>
      </w:hyperlink>
      <w:r w:rsidRPr="001E4B47">
        <w:rPr>
          <w:sz w:val="18"/>
          <w:szCs w:val="18"/>
        </w:rPr>
        <w:t xml:space="preserve">. </w:t>
      </w:r>
    </w:p>
  </w:footnote>
  <w:footnote w:id="399">
    <w:p w14:paraId="5575DC77" w14:textId="51738B02" w:rsidR="00EC49AF" w:rsidRPr="00F5084F" w:rsidRDefault="00EC49AF" w:rsidP="00EC49AF">
      <w:pPr>
        <w:pStyle w:val="FootnoteText"/>
        <w:rPr>
          <w:sz w:val="18"/>
          <w:szCs w:val="18"/>
          <w:lang w:val="en-US"/>
        </w:rPr>
      </w:pPr>
      <w:r>
        <w:rPr>
          <w:sz w:val="18"/>
          <w:szCs w:val="18"/>
          <w:lang w:val="en-US"/>
        </w:rPr>
        <w:t>(</w:t>
      </w:r>
      <w:r w:rsidRPr="00924F38">
        <w:rPr>
          <w:rStyle w:val="FootnoteReference"/>
          <w:sz w:val="18"/>
          <w:szCs w:val="18"/>
        </w:rPr>
        <w:footnoteRef/>
      </w:r>
      <w:r>
        <w:rPr>
          <w:sz w:val="18"/>
          <w:szCs w:val="18"/>
          <w:lang w:val="en-US"/>
        </w:rPr>
        <w:t>)</w:t>
      </w:r>
      <w:r w:rsidRPr="001E4B47">
        <w:rPr>
          <w:sz w:val="18"/>
          <w:szCs w:val="18"/>
        </w:rPr>
        <w:t xml:space="preserve"> </w:t>
      </w:r>
      <w:hyperlink r:id="rId102" w:history="1">
        <w:r w:rsidRPr="001E4B47">
          <w:rPr>
            <w:rStyle w:val="Hyperlink"/>
            <w:sz w:val="18"/>
            <w:szCs w:val="18"/>
          </w:rPr>
          <w:t>https://bits-chips.com/article/tsmc-to-raise-advanced-process-prices-by-up-to-10-percent/?utm</w:t>
        </w:r>
      </w:hyperlink>
      <w:r w:rsidRPr="00F5084F">
        <w:rPr>
          <w:sz w:val="18"/>
          <w:szCs w:val="18"/>
        </w:rPr>
        <w:t xml:space="preserve"> </w:t>
      </w:r>
    </w:p>
  </w:footnote>
  <w:footnote w:id="400">
    <w:p w14:paraId="2597B6A5" w14:textId="131C4772" w:rsidR="00EC49AF" w:rsidRPr="001E4B47" w:rsidRDefault="00EC49AF" w:rsidP="00EC49AF">
      <w:pPr>
        <w:pStyle w:val="FootnoteText"/>
        <w:rPr>
          <w:sz w:val="18"/>
          <w:szCs w:val="18"/>
        </w:rPr>
      </w:pPr>
      <w:r>
        <w:rPr>
          <w:sz w:val="18"/>
          <w:szCs w:val="18"/>
          <w:lang w:val="sv-SE"/>
        </w:rPr>
        <w:t>(</w:t>
      </w:r>
      <w:r w:rsidRPr="00924F38">
        <w:rPr>
          <w:rStyle w:val="FootnoteReference"/>
          <w:sz w:val="18"/>
          <w:szCs w:val="18"/>
        </w:rPr>
        <w:footnoteRef/>
      </w:r>
      <w:r>
        <w:rPr>
          <w:sz w:val="18"/>
          <w:szCs w:val="18"/>
          <w:lang w:val="sv-SE"/>
        </w:rPr>
        <w:t>)</w:t>
      </w:r>
      <w:r w:rsidRPr="001E4B47">
        <w:rPr>
          <w:sz w:val="18"/>
          <w:szCs w:val="18"/>
          <w:lang w:val="sv-SE"/>
        </w:rPr>
        <w:t xml:space="preserve">  Bonnet, P., Ciani, A., Molnar, J., &amp; Nardo, M. (2025). </w:t>
      </w:r>
      <w:r w:rsidRPr="001E4B47">
        <w:rPr>
          <w:rStyle w:val="Emphasis"/>
          <w:sz w:val="18"/>
          <w:szCs w:val="18"/>
        </w:rPr>
        <w:t>EU’s strengths and weaknesses in the global semiconductor sector</w:t>
      </w:r>
      <w:r w:rsidRPr="001E4B47">
        <w:rPr>
          <w:sz w:val="18"/>
          <w:szCs w:val="18"/>
        </w:rPr>
        <w:t xml:space="preserve"> (EUR 40253 EN). Luxembourg: Publications Office of the European Union. https://doi.org/10.2760/6302476</w:t>
      </w:r>
    </w:p>
  </w:footnote>
  <w:footnote w:id="401">
    <w:p w14:paraId="4846A39E" w14:textId="2B1717D7" w:rsidR="00EC49AF" w:rsidRPr="001E4B47" w:rsidRDefault="00EC49AF" w:rsidP="00EC49AF">
      <w:pPr>
        <w:pStyle w:val="FootnoteText"/>
        <w:rPr>
          <w:sz w:val="18"/>
          <w:szCs w:val="18"/>
        </w:rPr>
      </w:pPr>
      <w:r>
        <w:rPr>
          <w:sz w:val="18"/>
          <w:szCs w:val="18"/>
        </w:rPr>
        <w:t>(</w:t>
      </w:r>
      <w:r w:rsidRPr="00924F38">
        <w:rPr>
          <w:rStyle w:val="FootnoteReference"/>
          <w:sz w:val="18"/>
          <w:szCs w:val="18"/>
        </w:rPr>
        <w:footnoteRef/>
      </w:r>
      <w:r>
        <w:rPr>
          <w:sz w:val="18"/>
          <w:szCs w:val="18"/>
        </w:rPr>
        <w:t>)</w:t>
      </w:r>
      <w:r w:rsidRPr="001E4B47">
        <w:rPr>
          <w:sz w:val="18"/>
          <w:szCs w:val="18"/>
        </w:rPr>
        <w:t xml:space="preserve"> </w:t>
      </w:r>
      <w:r w:rsidRPr="001E4B47">
        <w:rPr>
          <w:rStyle w:val="Emphasis"/>
          <w:sz w:val="18"/>
          <w:szCs w:val="18"/>
        </w:rPr>
        <w:t>OECD Tax Revenue Statistics: Comparative Tables and Tax Revenue Database (Edition 2024).</w:t>
      </w:r>
      <w:r w:rsidRPr="001E4B47">
        <w:rPr>
          <w:sz w:val="18"/>
          <w:szCs w:val="18"/>
        </w:rPr>
        <w:t xml:space="preserve"> Paris: OECD Publishing. Available at </w:t>
      </w:r>
      <w:hyperlink r:id="rId103" w:history="1">
        <w:r w:rsidRPr="001E4B47">
          <w:rPr>
            <w:rStyle w:val="Hyperlink"/>
            <w:sz w:val="18"/>
            <w:szCs w:val="18"/>
          </w:rPr>
          <w:t>https://stats.oecd.org/Index.aspx?DataSetCode=REV</w:t>
        </w:r>
      </w:hyperlink>
      <w:r w:rsidRPr="001E4B47">
        <w:rPr>
          <w:sz w:val="18"/>
          <w:szCs w:val="18"/>
        </w:rPr>
        <w:t xml:space="preserve"> </w:t>
      </w:r>
    </w:p>
  </w:footnote>
  <w:footnote w:id="402">
    <w:p w14:paraId="58FFCFC5" w14:textId="755B592E" w:rsidR="00EC49AF" w:rsidRPr="00156B9D" w:rsidRDefault="00EC49AF" w:rsidP="00EC49AF">
      <w:pPr>
        <w:pStyle w:val="FootnoteText"/>
        <w:rPr>
          <w:sz w:val="18"/>
          <w:szCs w:val="18"/>
          <w:lang w:val="en-US"/>
        </w:rPr>
      </w:pPr>
      <w:r>
        <w:rPr>
          <w:sz w:val="18"/>
          <w:szCs w:val="18"/>
        </w:rPr>
        <w:t>(</w:t>
      </w:r>
      <w:r w:rsidRPr="00923415">
        <w:rPr>
          <w:rStyle w:val="FootnoteReference"/>
          <w:sz w:val="18"/>
          <w:szCs w:val="18"/>
        </w:rPr>
        <w:footnoteRef/>
      </w:r>
      <w:r>
        <w:rPr>
          <w:sz w:val="18"/>
          <w:szCs w:val="18"/>
        </w:rPr>
        <w:t>)</w:t>
      </w:r>
      <w:r w:rsidRPr="001E4B47">
        <w:rPr>
          <w:sz w:val="18"/>
          <w:szCs w:val="18"/>
        </w:rPr>
        <w:t xml:space="preserve"> </w:t>
      </w:r>
      <w:r w:rsidRPr="00156B9D">
        <w:rPr>
          <w:color w:val="2A2A2A"/>
          <w:sz w:val="18"/>
          <w:szCs w:val="18"/>
          <w:shd w:val="clear" w:color="auto" w:fill="FFFFFF"/>
        </w:rPr>
        <w:t>Andrea Bastianin, Paolo Castelnovo, Lorenzo Zirulia, Overcoming the innovation threshold through innovative public procurement: evidence from CERN,</w:t>
      </w:r>
      <w:r w:rsidR="00F274DD">
        <w:rPr>
          <w:color w:val="2A2A2A"/>
          <w:sz w:val="18"/>
          <w:szCs w:val="18"/>
          <w:shd w:val="clear" w:color="auto" w:fill="FFFFFF"/>
        </w:rPr>
        <w:t xml:space="preserve"> </w:t>
      </w:r>
      <w:r w:rsidRPr="00156B9D">
        <w:rPr>
          <w:rStyle w:val="Emphasis"/>
          <w:color w:val="2A2A2A"/>
          <w:sz w:val="18"/>
          <w:szCs w:val="18"/>
          <w:bdr w:val="none" w:sz="0" w:space="0" w:color="auto" w:frame="1"/>
          <w:shd w:val="clear" w:color="auto" w:fill="FFFFFF"/>
        </w:rPr>
        <w:t>Industrial and Corporate Change</w:t>
      </w:r>
      <w:r w:rsidRPr="00156B9D">
        <w:rPr>
          <w:color w:val="2A2A2A"/>
          <w:sz w:val="18"/>
          <w:szCs w:val="18"/>
          <w:shd w:val="clear" w:color="auto" w:fill="FFFFFF"/>
        </w:rPr>
        <w:t>, Volume 34, Issue 5, October 2025, Pages 871–900,</w:t>
      </w:r>
      <w:r w:rsidR="00F274DD">
        <w:rPr>
          <w:color w:val="2A2A2A"/>
          <w:sz w:val="18"/>
          <w:szCs w:val="18"/>
          <w:shd w:val="clear" w:color="auto" w:fill="FFFFFF"/>
        </w:rPr>
        <w:t xml:space="preserve"> </w:t>
      </w:r>
      <w:hyperlink r:id="rId104" w:history="1">
        <w:r w:rsidRPr="00156B9D">
          <w:rPr>
            <w:rStyle w:val="Hyperlink"/>
            <w:color w:val="006FB7"/>
            <w:sz w:val="18"/>
            <w:szCs w:val="18"/>
            <w:bdr w:val="none" w:sz="0" w:space="0" w:color="auto" w:frame="1"/>
            <w:shd w:val="clear" w:color="auto" w:fill="FFFFFF"/>
          </w:rPr>
          <w:t>https://doi.org/10.1093/icc/dtaf004</w:t>
        </w:r>
      </w:hyperlink>
    </w:p>
  </w:footnote>
  <w:footnote w:id="403">
    <w:p w14:paraId="68D29D91" w14:textId="136027F4" w:rsidR="00EC49AF" w:rsidRPr="00156B9D" w:rsidRDefault="00EC49AF" w:rsidP="00EC49AF">
      <w:pPr>
        <w:pStyle w:val="FootnoteText"/>
        <w:rPr>
          <w:sz w:val="18"/>
          <w:szCs w:val="18"/>
        </w:rPr>
      </w:pPr>
      <w:r>
        <w:rPr>
          <w:sz w:val="18"/>
          <w:szCs w:val="18"/>
        </w:rPr>
        <w:t>(</w:t>
      </w:r>
      <w:r w:rsidRPr="00156B9D">
        <w:rPr>
          <w:rStyle w:val="FootnoteReference"/>
          <w:sz w:val="18"/>
          <w:szCs w:val="18"/>
        </w:rPr>
        <w:footnoteRef/>
      </w:r>
      <w:r>
        <w:rPr>
          <w:sz w:val="18"/>
          <w:szCs w:val="18"/>
        </w:rPr>
        <w:t>)</w:t>
      </w:r>
      <w:r w:rsidRPr="00156B9D">
        <w:rPr>
          <w:sz w:val="18"/>
          <w:szCs w:val="18"/>
        </w:rPr>
        <w:t xml:space="preserve"> </w:t>
      </w:r>
      <w:r w:rsidRPr="00156B9D">
        <w:rPr>
          <w:color w:val="2A2A2A"/>
          <w:sz w:val="18"/>
          <w:szCs w:val="18"/>
          <w:shd w:val="clear" w:color="auto" w:fill="FFFFFF"/>
        </w:rPr>
        <w:t>Dragana Radicic, Effectiveness of public procurement of innovation versus supply-side innovation measures in manufacturing and service sectors,</w:t>
      </w:r>
      <w:r w:rsidR="00F274DD">
        <w:rPr>
          <w:color w:val="2A2A2A"/>
          <w:sz w:val="18"/>
          <w:szCs w:val="18"/>
          <w:shd w:val="clear" w:color="auto" w:fill="FFFFFF"/>
        </w:rPr>
        <w:t xml:space="preserve"> </w:t>
      </w:r>
      <w:r w:rsidRPr="00156B9D">
        <w:rPr>
          <w:rStyle w:val="Emphasis"/>
          <w:color w:val="2A2A2A"/>
          <w:sz w:val="18"/>
          <w:szCs w:val="18"/>
          <w:bdr w:val="none" w:sz="0" w:space="0" w:color="auto" w:frame="1"/>
          <w:shd w:val="clear" w:color="auto" w:fill="FFFFFF"/>
        </w:rPr>
        <w:t>Science and Public Policy</w:t>
      </w:r>
      <w:r w:rsidRPr="00156B9D">
        <w:rPr>
          <w:color w:val="2A2A2A"/>
          <w:sz w:val="18"/>
          <w:szCs w:val="18"/>
          <w:shd w:val="clear" w:color="auto" w:fill="FFFFFF"/>
        </w:rPr>
        <w:t>, Volume 46, Issue 5, October 2019, Pages 732–746,</w:t>
      </w:r>
      <w:r w:rsidR="00F274DD">
        <w:rPr>
          <w:color w:val="2A2A2A"/>
          <w:sz w:val="18"/>
          <w:szCs w:val="18"/>
          <w:shd w:val="clear" w:color="auto" w:fill="FFFFFF"/>
        </w:rPr>
        <w:t xml:space="preserve"> </w:t>
      </w:r>
      <w:hyperlink r:id="rId105" w:history="1">
        <w:r w:rsidRPr="00156B9D">
          <w:rPr>
            <w:rStyle w:val="Hyperlink"/>
            <w:color w:val="006FB7"/>
            <w:sz w:val="18"/>
            <w:szCs w:val="18"/>
            <w:bdr w:val="none" w:sz="0" w:space="0" w:color="auto" w:frame="1"/>
            <w:shd w:val="clear" w:color="auto" w:fill="FFFFFF"/>
          </w:rPr>
          <w:t>https://doi.org/10.1093/scipol/scz026</w:t>
        </w:r>
      </w:hyperlink>
    </w:p>
  </w:footnote>
  <w:footnote w:id="404">
    <w:p w14:paraId="72F3BE2E" w14:textId="2D4F1360" w:rsidR="00EC49AF" w:rsidRPr="00F5084F" w:rsidRDefault="00EC49AF" w:rsidP="00EC49AF">
      <w:pPr>
        <w:pStyle w:val="FootnoteText"/>
        <w:rPr>
          <w:sz w:val="18"/>
          <w:szCs w:val="18"/>
          <w:lang w:val="en-US"/>
        </w:rPr>
      </w:pPr>
      <w:r>
        <w:rPr>
          <w:sz w:val="18"/>
          <w:szCs w:val="18"/>
        </w:rPr>
        <w:t>(</w:t>
      </w:r>
      <w:r w:rsidRPr="00156B9D">
        <w:rPr>
          <w:rStyle w:val="FootnoteReference"/>
          <w:sz w:val="18"/>
          <w:szCs w:val="18"/>
        </w:rPr>
        <w:footnoteRef/>
      </w:r>
      <w:r>
        <w:rPr>
          <w:sz w:val="18"/>
          <w:szCs w:val="18"/>
        </w:rPr>
        <w:t>)</w:t>
      </w:r>
      <w:r w:rsidRPr="00156B9D">
        <w:rPr>
          <w:sz w:val="18"/>
          <w:szCs w:val="18"/>
        </w:rPr>
        <w:t xml:space="preserve"> Budrys, Z. (2025). </w:t>
      </w:r>
      <w:r w:rsidRPr="00156B9D">
        <w:rPr>
          <w:rStyle w:val="Emphasis"/>
          <w:sz w:val="18"/>
          <w:szCs w:val="18"/>
        </w:rPr>
        <w:t>Consumer of last resort: Government procurement, firm-level evidence and the macroeconomy</w:t>
      </w:r>
      <w:r w:rsidRPr="00156B9D">
        <w:rPr>
          <w:sz w:val="18"/>
          <w:szCs w:val="18"/>
        </w:rPr>
        <w:t xml:space="preserve"> (Working Paper). Retrieved from </w:t>
      </w:r>
      <w:hyperlink r:id="rId106" w:history="1">
        <w:r w:rsidRPr="00156B9D">
          <w:rPr>
            <w:rStyle w:val="Hyperlink"/>
            <w:sz w:val="18"/>
            <w:szCs w:val="18"/>
          </w:rPr>
          <w:t>https://zymantasbudrys.com/wp-content/uploads/2022/10/ZymantasBudrys_JMP_LastConsumer.pdf</w:t>
        </w:r>
      </w:hyperlink>
      <w:r w:rsidRPr="00F5084F">
        <w:rPr>
          <w:sz w:val="18"/>
          <w:szCs w:val="18"/>
        </w:rPr>
        <w:t xml:space="preserve"> </w:t>
      </w:r>
    </w:p>
  </w:footnote>
  <w:footnote w:id="405">
    <w:p w14:paraId="075EC2DA" w14:textId="0B7A30A6" w:rsidR="00D82C22" w:rsidRPr="002D4FC7" w:rsidRDefault="00D82C22" w:rsidP="00D82C22">
      <w:pPr>
        <w:pStyle w:val="FootnoteText"/>
        <w:rPr>
          <w:sz w:val="18"/>
          <w:szCs w:val="18"/>
        </w:rPr>
      </w:pPr>
      <w:r>
        <w:rPr>
          <w:sz w:val="18"/>
          <w:szCs w:val="18"/>
        </w:rPr>
        <w:t>(</w:t>
      </w:r>
      <w:r w:rsidRPr="002D4FC7">
        <w:rPr>
          <w:rStyle w:val="FootnoteReference"/>
          <w:sz w:val="18"/>
          <w:szCs w:val="18"/>
        </w:rPr>
        <w:footnoteRef/>
      </w:r>
      <w:r>
        <w:rPr>
          <w:sz w:val="18"/>
          <w:szCs w:val="18"/>
        </w:rPr>
        <w:t>)</w:t>
      </w:r>
      <w:r w:rsidRPr="002D4FC7">
        <w:rPr>
          <w:sz w:val="18"/>
          <w:szCs w:val="18"/>
        </w:rPr>
        <w:t xml:space="preserve"> </w:t>
      </w:r>
      <w:hyperlink r:id="rId107" w:history="1">
        <w:r w:rsidRPr="002D4FC7">
          <w:rPr>
            <w:rStyle w:val="Hyperlink"/>
            <w:sz w:val="18"/>
            <w:szCs w:val="18"/>
          </w:rPr>
          <w:t>https://ec.europa.eu/docsroom/documents/63274</w:t>
        </w:r>
      </w:hyperlink>
      <w:r w:rsidRPr="002D4FC7">
        <w:rPr>
          <w:sz w:val="18"/>
          <w:szCs w:val="18"/>
        </w:rPr>
        <w:t xml:space="preserve"> </w:t>
      </w:r>
    </w:p>
  </w:footnote>
  <w:footnote w:id="406">
    <w:p w14:paraId="5965D898" w14:textId="6054028E" w:rsidR="00D82C22" w:rsidRPr="00B513C0" w:rsidRDefault="00D82C22" w:rsidP="00D82C22">
      <w:pPr>
        <w:pStyle w:val="FootnoteText"/>
      </w:pPr>
      <w:r w:rsidRPr="002D4FC7">
        <w:rPr>
          <w:sz w:val="18"/>
          <w:szCs w:val="18"/>
        </w:rPr>
        <w:t>(</w:t>
      </w:r>
      <w:r w:rsidRPr="002D4FC7">
        <w:rPr>
          <w:rStyle w:val="FootnoteReference"/>
          <w:sz w:val="18"/>
          <w:szCs w:val="18"/>
        </w:rPr>
        <w:footnoteRef/>
      </w:r>
      <w:r w:rsidRPr="002D4FC7">
        <w:rPr>
          <w:sz w:val="18"/>
          <w:szCs w:val="18"/>
        </w:rPr>
        <w:t>) Survey data collected by DG CNECT from Member States in the context of the Chips Act Pillar III mapping and elaborated by the JRC.</w:t>
      </w:r>
    </w:p>
  </w:footnote>
  <w:footnote w:id="407">
    <w:p w14:paraId="33333049" w14:textId="6A120D39" w:rsidR="00D82C22" w:rsidRPr="00B513C0" w:rsidRDefault="00D82C22" w:rsidP="00D82C22">
      <w:pPr>
        <w:pStyle w:val="FootnoteText"/>
        <w:rPr>
          <w:sz w:val="18"/>
          <w:szCs w:val="18"/>
        </w:rPr>
      </w:pPr>
      <w:r>
        <w:rPr>
          <w:sz w:val="18"/>
          <w:szCs w:val="18"/>
        </w:rPr>
        <w:t>(</w:t>
      </w:r>
      <w:r w:rsidRPr="00B513C0">
        <w:rPr>
          <w:rStyle w:val="FootnoteReference"/>
          <w:sz w:val="18"/>
          <w:szCs w:val="18"/>
        </w:rPr>
        <w:footnoteRef/>
      </w:r>
      <w:r>
        <w:rPr>
          <w:sz w:val="18"/>
          <w:szCs w:val="18"/>
        </w:rPr>
        <w:t>)</w:t>
      </w:r>
      <w:r w:rsidRPr="00B513C0">
        <w:rPr>
          <w:sz w:val="18"/>
          <w:szCs w:val="18"/>
        </w:rPr>
        <w:t xml:space="preserve"> The costs and benefits data in this annex are consistent with the data in annex 3. The preferred option includes the mitigating measures listed in section 4. </w:t>
      </w:r>
    </w:p>
  </w:footnote>
  <w:footnote w:id="408">
    <w:p w14:paraId="4DD03E08" w14:textId="61F297DB" w:rsidR="00D82C22" w:rsidRPr="00F5084F" w:rsidRDefault="00D82C22" w:rsidP="00D82C22">
      <w:pPr>
        <w:pStyle w:val="FootnoteText"/>
        <w:rPr>
          <w:sz w:val="18"/>
          <w:szCs w:val="18"/>
        </w:rPr>
      </w:pPr>
      <w:r>
        <w:rPr>
          <w:sz w:val="18"/>
          <w:szCs w:val="18"/>
        </w:rPr>
        <w:t>(</w:t>
      </w:r>
      <w:r w:rsidRPr="00B513C0">
        <w:rPr>
          <w:rStyle w:val="FootnoteReference"/>
          <w:sz w:val="18"/>
          <w:szCs w:val="18"/>
        </w:rPr>
        <w:footnoteRef/>
      </w:r>
      <w:r>
        <w:rPr>
          <w:sz w:val="18"/>
          <w:szCs w:val="18"/>
        </w:rPr>
        <w:t>)</w:t>
      </w:r>
      <w:r w:rsidRPr="00B513C0">
        <w:rPr>
          <w:sz w:val="18"/>
          <w:szCs w:val="18"/>
        </w:rPr>
        <w:t xml:space="preserve"> The direct benefits for SMEs can also be cost savings.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0BD6A" w14:textId="77777777" w:rsidR="0029590C" w:rsidRPr="0029590C" w:rsidRDefault="0029590C" w:rsidP="0029590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D651C" w14:textId="77777777" w:rsidR="0029590C" w:rsidRPr="0029590C" w:rsidRDefault="0029590C" w:rsidP="0029590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1283F" w14:textId="77777777" w:rsidR="0029590C" w:rsidRPr="0029590C" w:rsidRDefault="0029590C" w:rsidP="0029590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F2EE5" w14:textId="77777777" w:rsidR="0082415D" w:rsidRDefault="0082415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0AA06" w14:textId="77777777" w:rsidR="0082415D" w:rsidRDefault="0082415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EB1BB" w14:textId="77777777" w:rsidR="0082415D" w:rsidRDefault="0082415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53080" w14:textId="77777777" w:rsidR="0082415D" w:rsidRDefault="0082415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61F5A" w14:textId="77777777" w:rsidR="0082415D" w:rsidRDefault="0082415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B4FB1" w14:textId="77777777" w:rsidR="0082415D" w:rsidRDefault="0082415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FC5BC" w14:textId="77777777" w:rsidR="0082415D" w:rsidRDefault="0082415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D2259" w14:textId="77777777" w:rsidR="0082415D" w:rsidRDefault="0082415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DDBC8" w14:textId="77777777" w:rsidR="0082415D" w:rsidRDefault="0082415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EC75F" w14:textId="6CFBA160" w:rsidR="00CB14B2" w:rsidRDefault="00CB14B2" w:rsidP="000E308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5949F" w14:textId="7D65C84F" w:rsidR="00CB14B2" w:rsidRDefault="00CB14B2" w:rsidP="000E308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97551" w14:textId="5699D748" w:rsidR="00CB14B2" w:rsidRDefault="00CB14B2" w:rsidP="000E308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1650F" w14:textId="77777777" w:rsidR="00CB14B2" w:rsidRDefault="00CB14B2" w:rsidP="000E308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6C1C3" w14:textId="77777777" w:rsidR="00CB14B2" w:rsidRDefault="00CB14B2" w:rsidP="000E308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D8A40" w14:textId="77777777" w:rsidR="00CB14B2" w:rsidRDefault="00CB14B2" w:rsidP="000E30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48C62170"/>
    <w:lvl w:ilvl="0">
      <w:start w:val="1"/>
      <w:numFmt w:val="decimal"/>
      <w:pStyle w:val="ListNumber2"/>
      <w:lvlText w:val="%1."/>
      <w:lvlJc w:val="left"/>
      <w:pPr>
        <w:tabs>
          <w:tab w:val="num" w:pos="643"/>
        </w:tabs>
        <w:ind w:left="643" w:hanging="360"/>
      </w:pPr>
    </w:lvl>
  </w:abstractNum>
  <w:abstractNum w:abstractNumId="1" w15:restartNumberingAfterBreak="0">
    <w:nsid w:val="FFFFFF82"/>
    <w:multiLevelType w:val="singleLevel"/>
    <w:tmpl w:val="B38ECE0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2BB2987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0417F02"/>
    <w:multiLevelType w:val="multilevel"/>
    <w:tmpl w:val="7C2AF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105A89"/>
    <w:multiLevelType w:val="hybridMultilevel"/>
    <w:tmpl w:val="1622707A"/>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4F2732F"/>
    <w:multiLevelType w:val="multilevel"/>
    <w:tmpl w:val="34BA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A024BA"/>
    <w:multiLevelType w:val="multilevel"/>
    <w:tmpl w:val="3D600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5F2DA4"/>
    <w:multiLevelType w:val="multilevel"/>
    <w:tmpl w:val="658E54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7E2104"/>
    <w:multiLevelType w:val="hybridMultilevel"/>
    <w:tmpl w:val="97EE19DA"/>
    <w:lvl w:ilvl="0" w:tplc="8998F49C">
      <w:start w:val="1"/>
      <w:numFmt w:val="bullet"/>
      <w:lvlText w:val=""/>
      <w:lvlJc w:val="left"/>
      <w:pPr>
        <w:ind w:left="720" w:hanging="360"/>
      </w:pPr>
      <w:rPr>
        <w:rFonts w:ascii="Symbol" w:hAnsi="Symbol" w:hint="default"/>
      </w:rPr>
    </w:lvl>
    <w:lvl w:ilvl="1" w:tplc="8FEE0A70" w:tentative="1">
      <w:start w:val="1"/>
      <w:numFmt w:val="bullet"/>
      <w:lvlText w:val="o"/>
      <w:lvlJc w:val="left"/>
      <w:pPr>
        <w:ind w:left="1440" w:hanging="360"/>
      </w:pPr>
      <w:rPr>
        <w:rFonts w:ascii="Courier New" w:hAnsi="Courier New" w:hint="default"/>
      </w:rPr>
    </w:lvl>
    <w:lvl w:ilvl="2" w:tplc="E62A8EC8" w:tentative="1">
      <w:start w:val="1"/>
      <w:numFmt w:val="bullet"/>
      <w:lvlText w:val=""/>
      <w:lvlJc w:val="left"/>
      <w:pPr>
        <w:ind w:left="2160" w:hanging="360"/>
      </w:pPr>
      <w:rPr>
        <w:rFonts w:ascii="Wingdings" w:hAnsi="Wingdings" w:hint="default"/>
      </w:rPr>
    </w:lvl>
    <w:lvl w:ilvl="3" w:tplc="3A5C49D4" w:tentative="1">
      <w:start w:val="1"/>
      <w:numFmt w:val="bullet"/>
      <w:lvlText w:val=""/>
      <w:lvlJc w:val="left"/>
      <w:pPr>
        <w:ind w:left="2880" w:hanging="360"/>
      </w:pPr>
      <w:rPr>
        <w:rFonts w:ascii="Symbol" w:hAnsi="Symbol" w:hint="default"/>
      </w:rPr>
    </w:lvl>
    <w:lvl w:ilvl="4" w:tplc="DB4ED096" w:tentative="1">
      <w:start w:val="1"/>
      <w:numFmt w:val="bullet"/>
      <w:lvlText w:val="o"/>
      <w:lvlJc w:val="left"/>
      <w:pPr>
        <w:ind w:left="3600" w:hanging="360"/>
      </w:pPr>
      <w:rPr>
        <w:rFonts w:ascii="Courier New" w:hAnsi="Courier New" w:hint="default"/>
      </w:rPr>
    </w:lvl>
    <w:lvl w:ilvl="5" w:tplc="C67622BA" w:tentative="1">
      <w:start w:val="1"/>
      <w:numFmt w:val="bullet"/>
      <w:lvlText w:val=""/>
      <w:lvlJc w:val="left"/>
      <w:pPr>
        <w:ind w:left="4320" w:hanging="360"/>
      </w:pPr>
      <w:rPr>
        <w:rFonts w:ascii="Wingdings" w:hAnsi="Wingdings" w:hint="default"/>
      </w:rPr>
    </w:lvl>
    <w:lvl w:ilvl="6" w:tplc="8D800784" w:tentative="1">
      <w:start w:val="1"/>
      <w:numFmt w:val="bullet"/>
      <w:lvlText w:val=""/>
      <w:lvlJc w:val="left"/>
      <w:pPr>
        <w:ind w:left="5040" w:hanging="360"/>
      </w:pPr>
      <w:rPr>
        <w:rFonts w:ascii="Symbol" w:hAnsi="Symbol" w:hint="default"/>
      </w:rPr>
    </w:lvl>
    <w:lvl w:ilvl="7" w:tplc="B964BA6E" w:tentative="1">
      <w:start w:val="1"/>
      <w:numFmt w:val="bullet"/>
      <w:lvlText w:val="o"/>
      <w:lvlJc w:val="left"/>
      <w:pPr>
        <w:ind w:left="5760" w:hanging="360"/>
      </w:pPr>
      <w:rPr>
        <w:rFonts w:ascii="Courier New" w:hAnsi="Courier New" w:hint="default"/>
      </w:rPr>
    </w:lvl>
    <w:lvl w:ilvl="8" w:tplc="91BED06E" w:tentative="1">
      <w:start w:val="1"/>
      <w:numFmt w:val="bullet"/>
      <w:lvlText w:val=""/>
      <w:lvlJc w:val="left"/>
      <w:pPr>
        <w:ind w:left="6480" w:hanging="360"/>
      </w:pPr>
      <w:rPr>
        <w:rFonts w:ascii="Wingdings" w:hAnsi="Wingdings" w:hint="default"/>
      </w:rPr>
    </w:lvl>
  </w:abstractNum>
  <w:abstractNum w:abstractNumId="9" w15:restartNumberingAfterBreak="0">
    <w:nsid w:val="0FC11441"/>
    <w:multiLevelType w:val="multilevel"/>
    <w:tmpl w:val="66EE3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000F8D"/>
    <w:multiLevelType w:val="hybridMultilevel"/>
    <w:tmpl w:val="7F0ED6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0246235"/>
    <w:multiLevelType w:val="multilevel"/>
    <w:tmpl w:val="C7EA0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B452B4"/>
    <w:multiLevelType w:val="multilevel"/>
    <w:tmpl w:val="31E48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0B7201"/>
    <w:multiLevelType w:val="multilevel"/>
    <w:tmpl w:val="70666E06"/>
    <w:name w:val="ListNumberNumbering"/>
    <w:lvl w:ilvl="0">
      <w:start w:val="1"/>
      <w:numFmt w:val="decimal"/>
      <w:pStyle w:val="ListNumber"/>
      <w:lvlText w:val="(%1)"/>
      <w:lvlJc w:val="left"/>
      <w:pPr>
        <w:tabs>
          <w:tab w:val="num" w:pos="454"/>
        </w:tabs>
        <w:ind w:left="454" w:hanging="454"/>
      </w:pPr>
    </w:lvl>
    <w:lvl w:ilvl="1">
      <w:start w:val="1"/>
      <w:numFmt w:val="lowerLetter"/>
      <w:pStyle w:val="ListNumberLevel2"/>
      <w:lvlText w:val="(%2)"/>
      <w:lvlJc w:val="left"/>
      <w:pPr>
        <w:tabs>
          <w:tab w:val="num" w:pos="907"/>
        </w:tabs>
        <w:ind w:left="907" w:hanging="453"/>
      </w:pPr>
    </w:lvl>
    <w:lvl w:ilvl="2">
      <w:start w:val="1"/>
      <w:numFmt w:val="bullet"/>
      <w:pStyle w:val="ListNumberLevel3"/>
      <w:lvlText w:val="–"/>
      <w:lvlJc w:val="left"/>
      <w:pPr>
        <w:tabs>
          <w:tab w:val="num" w:pos="1361"/>
        </w:tabs>
        <w:ind w:left="1361" w:hanging="454"/>
      </w:pPr>
      <w:rPr>
        <w:rFonts w:ascii="Times New Roman" w:hAnsi="Times New Roman"/>
      </w:rPr>
    </w:lvl>
    <w:lvl w:ilvl="3">
      <w:start w:val="1"/>
      <w:numFmt w:val="bullet"/>
      <w:pStyle w:val="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120B8345"/>
    <w:multiLevelType w:val="multilevel"/>
    <w:tmpl w:val="31D635FE"/>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13CC3F60"/>
    <w:multiLevelType w:val="hybridMultilevel"/>
    <w:tmpl w:val="DE6A30DC"/>
    <w:lvl w:ilvl="0" w:tplc="7670465E">
      <w:start w:val="1"/>
      <w:numFmt w:val="bullet"/>
      <w:lvlText w:val=""/>
      <w:lvlJc w:val="left"/>
      <w:pPr>
        <w:ind w:left="360" w:hanging="360"/>
      </w:pPr>
      <w:rPr>
        <w:rFonts w:ascii="Wingdings" w:hAnsi="Wingdings" w:hint="default"/>
      </w:rPr>
    </w:lvl>
    <w:lvl w:ilvl="1" w:tplc="D46A89D0" w:tentative="1">
      <w:start w:val="1"/>
      <w:numFmt w:val="bullet"/>
      <w:lvlText w:val="o"/>
      <w:lvlJc w:val="left"/>
      <w:pPr>
        <w:ind w:left="1080" w:hanging="360"/>
      </w:pPr>
      <w:rPr>
        <w:rFonts w:ascii="Courier New" w:hAnsi="Courier New" w:hint="default"/>
      </w:rPr>
    </w:lvl>
    <w:lvl w:ilvl="2" w:tplc="6D76E248" w:tentative="1">
      <w:start w:val="1"/>
      <w:numFmt w:val="bullet"/>
      <w:lvlText w:val=""/>
      <w:lvlJc w:val="left"/>
      <w:pPr>
        <w:ind w:left="1800" w:hanging="360"/>
      </w:pPr>
      <w:rPr>
        <w:rFonts w:ascii="Wingdings" w:hAnsi="Wingdings" w:hint="default"/>
      </w:rPr>
    </w:lvl>
    <w:lvl w:ilvl="3" w:tplc="7B0CE3C0" w:tentative="1">
      <w:start w:val="1"/>
      <w:numFmt w:val="bullet"/>
      <w:lvlText w:val=""/>
      <w:lvlJc w:val="left"/>
      <w:pPr>
        <w:ind w:left="2520" w:hanging="360"/>
      </w:pPr>
      <w:rPr>
        <w:rFonts w:ascii="Symbol" w:hAnsi="Symbol" w:hint="default"/>
      </w:rPr>
    </w:lvl>
    <w:lvl w:ilvl="4" w:tplc="F92E1E70" w:tentative="1">
      <w:start w:val="1"/>
      <w:numFmt w:val="bullet"/>
      <w:lvlText w:val="o"/>
      <w:lvlJc w:val="left"/>
      <w:pPr>
        <w:ind w:left="3240" w:hanging="360"/>
      </w:pPr>
      <w:rPr>
        <w:rFonts w:ascii="Courier New" w:hAnsi="Courier New" w:hint="default"/>
      </w:rPr>
    </w:lvl>
    <w:lvl w:ilvl="5" w:tplc="1F986832" w:tentative="1">
      <w:start w:val="1"/>
      <w:numFmt w:val="bullet"/>
      <w:lvlText w:val=""/>
      <w:lvlJc w:val="left"/>
      <w:pPr>
        <w:ind w:left="3960" w:hanging="360"/>
      </w:pPr>
      <w:rPr>
        <w:rFonts w:ascii="Wingdings" w:hAnsi="Wingdings" w:hint="default"/>
      </w:rPr>
    </w:lvl>
    <w:lvl w:ilvl="6" w:tplc="AE0EDC76" w:tentative="1">
      <w:start w:val="1"/>
      <w:numFmt w:val="bullet"/>
      <w:lvlText w:val=""/>
      <w:lvlJc w:val="left"/>
      <w:pPr>
        <w:ind w:left="4680" w:hanging="360"/>
      </w:pPr>
      <w:rPr>
        <w:rFonts w:ascii="Symbol" w:hAnsi="Symbol" w:hint="default"/>
      </w:rPr>
    </w:lvl>
    <w:lvl w:ilvl="7" w:tplc="27C4E22E" w:tentative="1">
      <w:start w:val="1"/>
      <w:numFmt w:val="bullet"/>
      <w:lvlText w:val="o"/>
      <w:lvlJc w:val="left"/>
      <w:pPr>
        <w:ind w:left="5400" w:hanging="360"/>
      </w:pPr>
      <w:rPr>
        <w:rFonts w:ascii="Courier New" w:hAnsi="Courier New" w:hint="default"/>
      </w:rPr>
    </w:lvl>
    <w:lvl w:ilvl="8" w:tplc="84D45A4C" w:tentative="1">
      <w:start w:val="1"/>
      <w:numFmt w:val="bullet"/>
      <w:lvlText w:val=""/>
      <w:lvlJc w:val="left"/>
      <w:pPr>
        <w:ind w:left="6120" w:hanging="360"/>
      </w:pPr>
      <w:rPr>
        <w:rFonts w:ascii="Wingdings" w:hAnsi="Wingdings" w:hint="default"/>
      </w:rPr>
    </w:lvl>
  </w:abstractNum>
  <w:abstractNum w:abstractNumId="16" w15:restartNumberingAfterBreak="0">
    <w:nsid w:val="15661E3D"/>
    <w:multiLevelType w:val="multilevel"/>
    <w:tmpl w:val="9C448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B30EE3"/>
    <w:multiLevelType w:val="hybridMultilevel"/>
    <w:tmpl w:val="C0505126"/>
    <w:lvl w:ilvl="0" w:tplc="4BA43A6C">
      <w:start w:val="1"/>
      <w:numFmt w:val="bullet"/>
      <w:lvlText w:val=""/>
      <w:lvlJc w:val="left"/>
      <w:pPr>
        <w:ind w:left="720" w:hanging="360"/>
      </w:pPr>
      <w:rPr>
        <w:rFonts w:ascii="Symbol" w:hAnsi="Symbol" w:hint="default"/>
      </w:rPr>
    </w:lvl>
    <w:lvl w:ilvl="1" w:tplc="AB02E7E2" w:tentative="1">
      <w:start w:val="1"/>
      <w:numFmt w:val="bullet"/>
      <w:lvlText w:val="o"/>
      <w:lvlJc w:val="left"/>
      <w:pPr>
        <w:ind w:left="1440" w:hanging="360"/>
      </w:pPr>
      <w:rPr>
        <w:rFonts w:ascii="Courier New" w:hAnsi="Courier New" w:hint="default"/>
      </w:rPr>
    </w:lvl>
    <w:lvl w:ilvl="2" w:tplc="633A29F2" w:tentative="1">
      <w:start w:val="1"/>
      <w:numFmt w:val="bullet"/>
      <w:lvlText w:val=""/>
      <w:lvlJc w:val="left"/>
      <w:pPr>
        <w:ind w:left="2160" w:hanging="360"/>
      </w:pPr>
      <w:rPr>
        <w:rFonts w:ascii="Wingdings" w:hAnsi="Wingdings" w:hint="default"/>
      </w:rPr>
    </w:lvl>
    <w:lvl w:ilvl="3" w:tplc="97D2E218" w:tentative="1">
      <w:start w:val="1"/>
      <w:numFmt w:val="bullet"/>
      <w:lvlText w:val=""/>
      <w:lvlJc w:val="left"/>
      <w:pPr>
        <w:ind w:left="2880" w:hanging="360"/>
      </w:pPr>
      <w:rPr>
        <w:rFonts w:ascii="Symbol" w:hAnsi="Symbol" w:hint="default"/>
      </w:rPr>
    </w:lvl>
    <w:lvl w:ilvl="4" w:tplc="7168061A" w:tentative="1">
      <w:start w:val="1"/>
      <w:numFmt w:val="bullet"/>
      <w:lvlText w:val="o"/>
      <w:lvlJc w:val="left"/>
      <w:pPr>
        <w:ind w:left="3600" w:hanging="360"/>
      </w:pPr>
      <w:rPr>
        <w:rFonts w:ascii="Courier New" w:hAnsi="Courier New" w:hint="default"/>
      </w:rPr>
    </w:lvl>
    <w:lvl w:ilvl="5" w:tplc="7B086006" w:tentative="1">
      <w:start w:val="1"/>
      <w:numFmt w:val="bullet"/>
      <w:lvlText w:val=""/>
      <w:lvlJc w:val="left"/>
      <w:pPr>
        <w:ind w:left="4320" w:hanging="360"/>
      </w:pPr>
      <w:rPr>
        <w:rFonts w:ascii="Wingdings" w:hAnsi="Wingdings" w:hint="default"/>
      </w:rPr>
    </w:lvl>
    <w:lvl w:ilvl="6" w:tplc="2F2E5A86" w:tentative="1">
      <w:start w:val="1"/>
      <w:numFmt w:val="bullet"/>
      <w:lvlText w:val=""/>
      <w:lvlJc w:val="left"/>
      <w:pPr>
        <w:ind w:left="5040" w:hanging="360"/>
      </w:pPr>
      <w:rPr>
        <w:rFonts w:ascii="Symbol" w:hAnsi="Symbol" w:hint="default"/>
      </w:rPr>
    </w:lvl>
    <w:lvl w:ilvl="7" w:tplc="5C7C6DE6" w:tentative="1">
      <w:start w:val="1"/>
      <w:numFmt w:val="bullet"/>
      <w:lvlText w:val="o"/>
      <w:lvlJc w:val="left"/>
      <w:pPr>
        <w:ind w:left="5760" w:hanging="360"/>
      </w:pPr>
      <w:rPr>
        <w:rFonts w:ascii="Courier New" w:hAnsi="Courier New" w:hint="default"/>
      </w:rPr>
    </w:lvl>
    <w:lvl w:ilvl="8" w:tplc="A1D6F796" w:tentative="1">
      <w:start w:val="1"/>
      <w:numFmt w:val="bullet"/>
      <w:lvlText w:val=""/>
      <w:lvlJc w:val="left"/>
      <w:pPr>
        <w:ind w:left="6480" w:hanging="360"/>
      </w:pPr>
      <w:rPr>
        <w:rFonts w:ascii="Wingdings" w:hAnsi="Wingdings" w:hint="default"/>
      </w:rPr>
    </w:lvl>
  </w:abstractNum>
  <w:abstractNum w:abstractNumId="18" w15:restartNumberingAfterBreak="0">
    <w:nsid w:val="184D68C0"/>
    <w:multiLevelType w:val="multilevel"/>
    <w:tmpl w:val="A0CAC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702F05"/>
    <w:multiLevelType w:val="hybridMultilevel"/>
    <w:tmpl w:val="179AD4A6"/>
    <w:lvl w:ilvl="0" w:tplc="5038D010">
      <w:start w:val="1"/>
      <w:numFmt w:val="bullet"/>
      <w:lvlText w:val=""/>
      <w:lvlJc w:val="left"/>
      <w:pPr>
        <w:ind w:left="720" w:hanging="360"/>
      </w:pPr>
      <w:rPr>
        <w:rFonts w:ascii="Symbol" w:hAnsi="Symbol" w:hint="default"/>
      </w:rPr>
    </w:lvl>
    <w:lvl w:ilvl="1" w:tplc="8BA48F06" w:tentative="1">
      <w:start w:val="1"/>
      <w:numFmt w:val="bullet"/>
      <w:lvlText w:val="o"/>
      <w:lvlJc w:val="left"/>
      <w:pPr>
        <w:ind w:left="1440" w:hanging="360"/>
      </w:pPr>
      <w:rPr>
        <w:rFonts w:ascii="Courier New" w:hAnsi="Courier New" w:hint="default"/>
      </w:rPr>
    </w:lvl>
    <w:lvl w:ilvl="2" w:tplc="41E6700A" w:tentative="1">
      <w:start w:val="1"/>
      <w:numFmt w:val="bullet"/>
      <w:lvlText w:val=""/>
      <w:lvlJc w:val="left"/>
      <w:pPr>
        <w:ind w:left="2160" w:hanging="360"/>
      </w:pPr>
      <w:rPr>
        <w:rFonts w:ascii="Wingdings" w:hAnsi="Wingdings" w:hint="default"/>
      </w:rPr>
    </w:lvl>
    <w:lvl w:ilvl="3" w:tplc="B6242F6E" w:tentative="1">
      <w:start w:val="1"/>
      <w:numFmt w:val="bullet"/>
      <w:lvlText w:val=""/>
      <w:lvlJc w:val="left"/>
      <w:pPr>
        <w:ind w:left="2880" w:hanging="360"/>
      </w:pPr>
      <w:rPr>
        <w:rFonts w:ascii="Symbol" w:hAnsi="Symbol" w:hint="default"/>
      </w:rPr>
    </w:lvl>
    <w:lvl w:ilvl="4" w:tplc="FF48F0F8" w:tentative="1">
      <w:start w:val="1"/>
      <w:numFmt w:val="bullet"/>
      <w:lvlText w:val="o"/>
      <w:lvlJc w:val="left"/>
      <w:pPr>
        <w:ind w:left="3600" w:hanging="360"/>
      </w:pPr>
      <w:rPr>
        <w:rFonts w:ascii="Courier New" w:hAnsi="Courier New" w:hint="default"/>
      </w:rPr>
    </w:lvl>
    <w:lvl w:ilvl="5" w:tplc="EFE6D5D0" w:tentative="1">
      <w:start w:val="1"/>
      <w:numFmt w:val="bullet"/>
      <w:lvlText w:val=""/>
      <w:lvlJc w:val="left"/>
      <w:pPr>
        <w:ind w:left="4320" w:hanging="360"/>
      </w:pPr>
      <w:rPr>
        <w:rFonts w:ascii="Wingdings" w:hAnsi="Wingdings" w:hint="default"/>
      </w:rPr>
    </w:lvl>
    <w:lvl w:ilvl="6" w:tplc="22EE687C" w:tentative="1">
      <w:start w:val="1"/>
      <w:numFmt w:val="bullet"/>
      <w:lvlText w:val=""/>
      <w:lvlJc w:val="left"/>
      <w:pPr>
        <w:ind w:left="5040" w:hanging="360"/>
      </w:pPr>
      <w:rPr>
        <w:rFonts w:ascii="Symbol" w:hAnsi="Symbol" w:hint="default"/>
      </w:rPr>
    </w:lvl>
    <w:lvl w:ilvl="7" w:tplc="D59088E0" w:tentative="1">
      <w:start w:val="1"/>
      <w:numFmt w:val="bullet"/>
      <w:lvlText w:val="o"/>
      <w:lvlJc w:val="left"/>
      <w:pPr>
        <w:ind w:left="5760" w:hanging="360"/>
      </w:pPr>
      <w:rPr>
        <w:rFonts w:ascii="Courier New" w:hAnsi="Courier New" w:hint="default"/>
      </w:rPr>
    </w:lvl>
    <w:lvl w:ilvl="8" w:tplc="784A3CAE" w:tentative="1">
      <w:start w:val="1"/>
      <w:numFmt w:val="bullet"/>
      <w:lvlText w:val=""/>
      <w:lvlJc w:val="left"/>
      <w:pPr>
        <w:ind w:left="6480" w:hanging="360"/>
      </w:pPr>
      <w:rPr>
        <w:rFonts w:ascii="Wingdings" w:hAnsi="Wingdings" w:hint="default"/>
      </w:rPr>
    </w:lvl>
  </w:abstractNum>
  <w:abstractNum w:abstractNumId="20" w15:restartNumberingAfterBreak="0">
    <w:nsid w:val="1CB5119F"/>
    <w:multiLevelType w:val="hybridMultilevel"/>
    <w:tmpl w:val="7D3E1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D2F433C"/>
    <w:multiLevelType w:val="hybridMultilevel"/>
    <w:tmpl w:val="B5AADFDE"/>
    <w:lvl w:ilvl="0" w:tplc="CE5E8D58">
      <w:numFmt w:val="bullet"/>
      <w:lvlText w:val="•"/>
      <w:lvlJc w:val="left"/>
      <w:pPr>
        <w:ind w:left="1440" w:hanging="720"/>
      </w:pPr>
      <w:rPr>
        <w:rFonts w:ascii="Times New Roman" w:hAnsi="Times New Roman" w:hint="default"/>
      </w:rPr>
    </w:lvl>
    <w:lvl w:ilvl="1" w:tplc="D02EE946">
      <w:numFmt w:val="bullet"/>
      <w:lvlText w:val="–"/>
      <w:lvlJc w:val="left"/>
      <w:pPr>
        <w:ind w:left="1800" w:hanging="360"/>
      </w:pPr>
      <w:rPr>
        <w:rFonts w:ascii="Times New Roman" w:hAnsi="Times New Roman" w:hint="default"/>
      </w:rPr>
    </w:lvl>
    <w:lvl w:ilvl="2" w:tplc="C9C41F40" w:tentative="1">
      <w:start w:val="1"/>
      <w:numFmt w:val="bullet"/>
      <w:lvlText w:val=""/>
      <w:lvlJc w:val="left"/>
      <w:pPr>
        <w:ind w:left="2520" w:hanging="360"/>
      </w:pPr>
      <w:rPr>
        <w:rFonts w:ascii="Wingdings" w:hAnsi="Wingdings" w:hint="default"/>
      </w:rPr>
    </w:lvl>
    <w:lvl w:ilvl="3" w:tplc="43E05386" w:tentative="1">
      <w:start w:val="1"/>
      <w:numFmt w:val="bullet"/>
      <w:lvlText w:val=""/>
      <w:lvlJc w:val="left"/>
      <w:pPr>
        <w:ind w:left="3240" w:hanging="360"/>
      </w:pPr>
      <w:rPr>
        <w:rFonts w:ascii="Symbol" w:hAnsi="Symbol" w:hint="default"/>
      </w:rPr>
    </w:lvl>
    <w:lvl w:ilvl="4" w:tplc="A0381EF0" w:tentative="1">
      <w:start w:val="1"/>
      <w:numFmt w:val="bullet"/>
      <w:lvlText w:val="o"/>
      <w:lvlJc w:val="left"/>
      <w:pPr>
        <w:ind w:left="3960" w:hanging="360"/>
      </w:pPr>
      <w:rPr>
        <w:rFonts w:ascii="Courier New" w:hAnsi="Courier New" w:hint="default"/>
      </w:rPr>
    </w:lvl>
    <w:lvl w:ilvl="5" w:tplc="592E9AFC" w:tentative="1">
      <w:start w:val="1"/>
      <w:numFmt w:val="bullet"/>
      <w:lvlText w:val=""/>
      <w:lvlJc w:val="left"/>
      <w:pPr>
        <w:ind w:left="4680" w:hanging="360"/>
      </w:pPr>
      <w:rPr>
        <w:rFonts w:ascii="Wingdings" w:hAnsi="Wingdings" w:hint="default"/>
      </w:rPr>
    </w:lvl>
    <w:lvl w:ilvl="6" w:tplc="5FAE118C" w:tentative="1">
      <w:start w:val="1"/>
      <w:numFmt w:val="bullet"/>
      <w:lvlText w:val=""/>
      <w:lvlJc w:val="left"/>
      <w:pPr>
        <w:ind w:left="5400" w:hanging="360"/>
      </w:pPr>
      <w:rPr>
        <w:rFonts w:ascii="Symbol" w:hAnsi="Symbol" w:hint="default"/>
      </w:rPr>
    </w:lvl>
    <w:lvl w:ilvl="7" w:tplc="A6AECD82" w:tentative="1">
      <w:start w:val="1"/>
      <w:numFmt w:val="bullet"/>
      <w:lvlText w:val="o"/>
      <w:lvlJc w:val="left"/>
      <w:pPr>
        <w:ind w:left="6120" w:hanging="360"/>
      </w:pPr>
      <w:rPr>
        <w:rFonts w:ascii="Courier New" w:hAnsi="Courier New" w:hint="default"/>
      </w:rPr>
    </w:lvl>
    <w:lvl w:ilvl="8" w:tplc="7388AA30" w:tentative="1">
      <w:start w:val="1"/>
      <w:numFmt w:val="bullet"/>
      <w:lvlText w:val=""/>
      <w:lvlJc w:val="left"/>
      <w:pPr>
        <w:ind w:left="6840" w:hanging="360"/>
      </w:pPr>
      <w:rPr>
        <w:rFonts w:ascii="Wingdings" w:hAnsi="Wingdings" w:hint="default"/>
      </w:rPr>
    </w:lvl>
  </w:abstractNum>
  <w:abstractNum w:abstractNumId="22" w15:restartNumberingAfterBreak="0">
    <w:nsid w:val="1E746D1A"/>
    <w:multiLevelType w:val="multilevel"/>
    <w:tmpl w:val="B4FEE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E753872"/>
    <w:multiLevelType w:val="hybridMultilevel"/>
    <w:tmpl w:val="78D02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ED04C43"/>
    <w:multiLevelType w:val="multilevel"/>
    <w:tmpl w:val="BDA604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F1A58AD"/>
    <w:multiLevelType w:val="hybridMultilevel"/>
    <w:tmpl w:val="96BADE12"/>
    <w:lvl w:ilvl="0" w:tplc="B96013B6">
      <w:start w:val="2"/>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1F734306"/>
    <w:multiLevelType w:val="multilevel"/>
    <w:tmpl w:val="60AADF8C"/>
    <w:lvl w:ilvl="0">
      <w:start w:val="1"/>
      <w:numFmt w:val="decimal"/>
      <w:pStyle w:val="Heading1"/>
      <w:lvlText w:val="%1."/>
      <w:lvlJc w:val="left"/>
      <w:pPr>
        <w:tabs>
          <w:tab w:val="num" w:pos="480"/>
        </w:tabs>
        <w:ind w:left="480" w:hanging="480"/>
      </w:pPr>
      <w:rPr>
        <w:rFonts w:hint="default"/>
      </w:rPr>
    </w:lvl>
    <w:lvl w:ilvl="1">
      <w:start w:val="1"/>
      <w:numFmt w:val="decimal"/>
      <w:pStyle w:val="Heading2"/>
      <w:lvlText w:val="%1.%2."/>
      <w:lvlJc w:val="left"/>
      <w:pPr>
        <w:tabs>
          <w:tab w:val="num" w:pos="1200"/>
        </w:tabs>
        <w:ind w:left="1200" w:hanging="720"/>
      </w:pPr>
      <w:rPr>
        <w:rFonts w:hint="default"/>
      </w:rPr>
    </w:lvl>
    <w:lvl w:ilvl="2">
      <w:start w:val="1"/>
      <w:numFmt w:val="decimal"/>
      <w:pStyle w:val="Heading3"/>
      <w:lvlText w:val="%1.%2.%3."/>
      <w:lvlJc w:val="left"/>
      <w:pPr>
        <w:tabs>
          <w:tab w:val="num" w:pos="1920"/>
        </w:tabs>
        <w:ind w:left="1920" w:hanging="720"/>
      </w:pPr>
      <w:rPr>
        <w:rFonts w:hint="default"/>
        <w:b w:val="0"/>
        <w:bCs/>
      </w:rPr>
    </w:lvl>
    <w:lvl w:ilvl="3">
      <w:start w:val="1"/>
      <w:numFmt w:val="decimal"/>
      <w:pStyle w:val="Heading4"/>
      <w:lvlText w:val="%1.%2.%3.%4"/>
      <w:lvlJc w:val="left"/>
      <w:pPr>
        <w:tabs>
          <w:tab w:val="num" w:pos="1920"/>
        </w:tabs>
        <w:ind w:left="1920" w:hanging="720"/>
      </w:pPr>
      <w:rPr>
        <w:rFonts w:hint="default"/>
      </w:rPr>
    </w:lvl>
    <w:lvl w:ilvl="4">
      <w:start w:val="1"/>
      <w:numFmt w:val="decimal"/>
      <w:lvlText w:val="%1.%2.%3.%4.%5"/>
      <w:lvlJc w:val="left"/>
      <w:pPr>
        <w:tabs>
          <w:tab w:val="num" w:pos="1800"/>
        </w:tabs>
        <w:ind w:left="2098" w:hanging="658"/>
      </w:pPr>
      <w:rPr>
        <w:rFonts w:hint="default"/>
      </w:rPr>
    </w:lvl>
    <w:lvl w:ilvl="5">
      <w:start w:val="1"/>
      <w:numFmt w:val="decimal"/>
      <w:lvlText w:val="%1.%2.%3.%4.%5.%6"/>
      <w:lvlJc w:val="left"/>
      <w:pPr>
        <w:tabs>
          <w:tab w:val="num" w:pos="2160"/>
        </w:tabs>
        <w:ind w:left="2211" w:hanging="411"/>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204817CA"/>
    <w:multiLevelType w:val="multilevel"/>
    <w:tmpl w:val="C8DE7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28A3285"/>
    <w:multiLevelType w:val="hybridMultilevel"/>
    <w:tmpl w:val="893678B8"/>
    <w:lvl w:ilvl="0" w:tplc="EF0C3188">
      <w:start w:val="1"/>
      <w:numFmt w:val="bullet"/>
      <w:lvlText w:val=""/>
      <w:lvlJc w:val="left"/>
      <w:pPr>
        <w:ind w:left="720" w:hanging="360"/>
      </w:pPr>
      <w:rPr>
        <w:rFonts w:ascii="Symbol" w:hAnsi="Symbol" w:hint="default"/>
      </w:rPr>
    </w:lvl>
    <w:lvl w:ilvl="1" w:tplc="861C5990" w:tentative="1">
      <w:start w:val="1"/>
      <w:numFmt w:val="bullet"/>
      <w:lvlText w:val="o"/>
      <w:lvlJc w:val="left"/>
      <w:pPr>
        <w:ind w:left="1440" w:hanging="360"/>
      </w:pPr>
      <w:rPr>
        <w:rFonts w:ascii="Courier New" w:hAnsi="Courier New" w:hint="default"/>
      </w:rPr>
    </w:lvl>
    <w:lvl w:ilvl="2" w:tplc="4CEC8D26" w:tentative="1">
      <w:start w:val="1"/>
      <w:numFmt w:val="bullet"/>
      <w:lvlText w:val=""/>
      <w:lvlJc w:val="left"/>
      <w:pPr>
        <w:ind w:left="2160" w:hanging="360"/>
      </w:pPr>
      <w:rPr>
        <w:rFonts w:ascii="Wingdings" w:hAnsi="Wingdings" w:hint="default"/>
      </w:rPr>
    </w:lvl>
    <w:lvl w:ilvl="3" w:tplc="87C65756" w:tentative="1">
      <w:start w:val="1"/>
      <w:numFmt w:val="bullet"/>
      <w:lvlText w:val=""/>
      <w:lvlJc w:val="left"/>
      <w:pPr>
        <w:ind w:left="2880" w:hanging="360"/>
      </w:pPr>
      <w:rPr>
        <w:rFonts w:ascii="Symbol" w:hAnsi="Symbol" w:hint="default"/>
      </w:rPr>
    </w:lvl>
    <w:lvl w:ilvl="4" w:tplc="DDDA8544" w:tentative="1">
      <w:start w:val="1"/>
      <w:numFmt w:val="bullet"/>
      <w:lvlText w:val="o"/>
      <w:lvlJc w:val="left"/>
      <w:pPr>
        <w:ind w:left="3600" w:hanging="360"/>
      </w:pPr>
      <w:rPr>
        <w:rFonts w:ascii="Courier New" w:hAnsi="Courier New" w:hint="default"/>
      </w:rPr>
    </w:lvl>
    <w:lvl w:ilvl="5" w:tplc="E6165986" w:tentative="1">
      <w:start w:val="1"/>
      <w:numFmt w:val="bullet"/>
      <w:lvlText w:val=""/>
      <w:lvlJc w:val="left"/>
      <w:pPr>
        <w:ind w:left="4320" w:hanging="360"/>
      </w:pPr>
      <w:rPr>
        <w:rFonts w:ascii="Wingdings" w:hAnsi="Wingdings" w:hint="default"/>
      </w:rPr>
    </w:lvl>
    <w:lvl w:ilvl="6" w:tplc="F920F15A" w:tentative="1">
      <w:start w:val="1"/>
      <w:numFmt w:val="bullet"/>
      <w:lvlText w:val=""/>
      <w:lvlJc w:val="left"/>
      <w:pPr>
        <w:ind w:left="5040" w:hanging="360"/>
      </w:pPr>
      <w:rPr>
        <w:rFonts w:ascii="Symbol" w:hAnsi="Symbol" w:hint="default"/>
      </w:rPr>
    </w:lvl>
    <w:lvl w:ilvl="7" w:tplc="CF64C80E" w:tentative="1">
      <w:start w:val="1"/>
      <w:numFmt w:val="bullet"/>
      <w:lvlText w:val="o"/>
      <w:lvlJc w:val="left"/>
      <w:pPr>
        <w:ind w:left="5760" w:hanging="360"/>
      </w:pPr>
      <w:rPr>
        <w:rFonts w:ascii="Courier New" w:hAnsi="Courier New" w:hint="default"/>
      </w:rPr>
    </w:lvl>
    <w:lvl w:ilvl="8" w:tplc="71F8D782" w:tentative="1">
      <w:start w:val="1"/>
      <w:numFmt w:val="bullet"/>
      <w:lvlText w:val=""/>
      <w:lvlJc w:val="left"/>
      <w:pPr>
        <w:ind w:left="6480" w:hanging="360"/>
      </w:pPr>
      <w:rPr>
        <w:rFonts w:ascii="Wingdings" w:hAnsi="Wingdings" w:hint="default"/>
      </w:rPr>
    </w:lvl>
  </w:abstractNum>
  <w:abstractNum w:abstractNumId="29" w15:restartNumberingAfterBreak="0">
    <w:nsid w:val="22E149C2"/>
    <w:multiLevelType w:val="multilevel"/>
    <w:tmpl w:val="D8364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6943FB0"/>
    <w:multiLevelType w:val="multilevel"/>
    <w:tmpl w:val="055E4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69D0766"/>
    <w:multiLevelType w:val="multilevel"/>
    <w:tmpl w:val="26C83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77315D3"/>
    <w:multiLevelType w:val="multilevel"/>
    <w:tmpl w:val="E9DE7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9723DA8"/>
    <w:multiLevelType w:val="hybridMultilevel"/>
    <w:tmpl w:val="16E23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CD1063A"/>
    <w:multiLevelType w:val="hybridMultilevel"/>
    <w:tmpl w:val="3C2019E4"/>
    <w:lvl w:ilvl="0" w:tplc="8C96CC0C">
      <w:start w:val="1"/>
      <w:numFmt w:val="bullet"/>
      <w:lvlText w:val=""/>
      <w:lvlJc w:val="left"/>
      <w:pPr>
        <w:ind w:left="720" w:hanging="360"/>
      </w:pPr>
      <w:rPr>
        <w:rFonts w:ascii="Symbol" w:hAnsi="Symbol" w:hint="default"/>
      </w:rPr>
    </w:lvl>
    <w:lvl w:ilvl="1" w:tplc="7E4A7692" w:tentative="1">
      <w:start w:val="1"/>
      <w:numFmt w:val="bullet"/>
      <w:lvlText w:val="o"/>
      <w:lvlJc w:val="left"/>
      <w:pPr>
        <w:ind w:left="1440" w:hanging="360"/>
      </w:pPr>
      <w:rPr>
        <w:rFonts w:ascii="Courier New" w:hAnsi="Courier New" w:hint="default"/>
      </w:rPr>
    </w:lvl>
    <w:lvl w:ilvl="2" w:tplc="339689BC" w:tentative="1">
      <w:start w:val="1"/>
      <w:numFmt w:val="bullet"/>
      <w:lvlText w:val=""/>
      <w:lvlJc w:val="left"/>
      <w:pPr>
        <w:ind w:left="2160" w:hanging="360"/>
      </w:pPr>
      <w:rPr>
        <w:rFonts w:ascii="Wingdings" w:hAnsi="Wingdings" w:hint="default"/>
      </w:rPr>
    </w:lvl>
    <w:lvl w:ilvl="3" w:tplc="7E6C97EA" w:tentative="1">
      <w:start w:val="1"/>
      <w:numFmt w:val="bullet"/>
      <w:lvlText w:val=""/>
      <w:lvlJc w:val="left"/>
      <w:pPr>
        <w:ind w:left="2880" w:hanging="360"/>
      </w:pPr>
      <w:rPr>
        <w:rFonts w:ascii="Symbol" w:hAnsi="Symbol" w:hint="default"/>
      </w:rPr>
    </w:lvl>
    <w:lvl w:ilvl="4" w:tplc="867CCD4C" w:tentative="1">
      <w:start w:val="1"/>
      <w:numFmt w:val="bullet"/>
      <w:lvlText w:val="o"/>
      <w:lvlJc w:val="left"/>
      <w:pPr>
        <w:ind w:left="3600" w:hanging="360"/>
      </w:pPr>
      <w:rPr>
        <w:rFonts w:ascii="Courier New" w:hAnsi="Courier New" w:hint="default"/>
      </w:rPr>
    </w:lvl>
    <w:lvl w:ilvl="5" w:tplc="5660120E" w:tentative="1">
      <w:start w:val="1"/>
      <w:numFmt w:val="bullet"/>
      <w:lvlText w:val=""/>
      <w:lvlJc w:val="left"/>
      <w:pPr>
        <w:ind w:left="4320" w:hanging="360"/>
      </w:pPr>
      <w:rPr>
        <w:rFonts w:ascii="Wingdings" w:hAnsi="Wingdings" w:hint="default"/>
      </w:rPr>
    </w:lvl>
    <w:lvl w:ilvl="6" w:tplc="212E22B0" w:tentative="1">
      <w:start w:val="1"/>
      <w:numFmt w:val="bullet"/>
      <w:lvlText w:val=""/>
      <w:lvlJc w:val="left"/>
      <w:pPr>
        <w:ind w:left="5040" w:hanging="360"/>
      </w:pPr>
      <w:rPr>
        <w:rFonts w:ascii="Symbol" w:hAnsi="Symbol" w:hint="default"/>
      </w:rPr>
    </w:lvl>
    <w:lvl w:ilvl="7" w:tplc="1BDE900C" w:tentative="1">
      <w:start w:val="1"/>
      <w:numFmt w:val="bullet"/>
      <w:lvlText w:val="o"/>
      <w:lvlJc w:val="left"/>
      <w:pPr>
        <w:ind w:left="5760" w:hanging="360"/>
      </w:pPr>
      <w:rPr>
        <w:rFonts w:ascii="Courier New" w:hAnsi="Courier New" w:hint="default"/>
      </w:rPr>
    </w:lvl>
    <w:lvl w:ilvl="8" w:tplc="AE56CF14" w:tentative="1">
      <w:start w:val="1"/>
      <w:numFmt w:val="bullet"/>
      <w:lvlText w:val=""/>
      <w:lvlJc w:val="left"/>
      <w:pPr>
        <w:ind w:left="6480" w:hanging="360"/>
      </w:pPr>
      <w:rPr>
        <w:rFonts w:ascii="Wingdings" w:hAnsi="Wingdings" w:hint="default"/>
      </w:rPr>
    </w:lvl>
  </w:abstractNum>
  <w:abstractNum w:abstractNumId="35" w15:restartNumberingAfterBreak="0">
    <w:nsid w:val="2D293CE3"/>
    <w:multiLevelType w:val="multilevel"/>
    <w:tmpl w:val="790095F0"/>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start w:val="1"/>
      <w:numFmt w:val="decimal"/>
      <w:lvlText w:val="%4."/>
      <w:lvlJc w:val="left"/>
      <w:pPr>
        <w:tabs>
          <w:tab w:val="num" w:pos="1905"/>
        </w:tabs>
        <w:ind w:left="1905" w:hanging="476"/>
      </w:pPr>
      <w:rPr>
        <w:rFonts w:hint="default"/>
      </w:rPr>
    </w:lvl>
    <w:lvl w:ilvl="4">
      <w:start w:val="1"/>
      <w:numFmt w:val="lowerLetter"/>
      <w:lvlText w:val="%5."/>
      <w:lvlJc w:val="left"/>
      <w:pPr>
        <w:tabs>
          <w:tab w:val="num" w:pos="2381"/>
        </w:tabs>
        <w:ind w:left="2381" w:hanging="476"/>
      </w:pPr>
      <w:rPr>
        <w:rFonts w:hint="default"/>
      </w:rPr>
    </w:lvl>
    <w:lvl w:ilvl="5">
      <w:start w:val="1"/>
      <w:numFmt w:val="lowerRoman"/>
      <w:lvlText w:val="%6."/>
      <w:lvlJc w:val="left"/>
      <w:pPr>
        <w:tabs>
          <w:tab w:val="num" w:pos="2857"/>
        </w:tabs>
        <w:ind w:left="2857" w:hanging="476"/>
      </w:pPr>
      <w:rPr>
        <w:rFonts w:hint="default"/>
      </w:rPr>
    </w:lvl>
    <w:lvl w:ilvl="6">
      <w:start w:val="1"/>
      <w:numFmt w:val="decimal"/>
      <w:lvlText w:val="%7."/>
      <w:lvlJc w:val="left"/>
      <w:pPr>
        <w:tabs>
          <w:tab w:val="num" w:pos="3334"/>
        </w:tabs>
        <w:ind w:left="3334" w:hanging="477"/>
      </w:pPr>
      <w:rPr>
        <w:rFonts w:hint="default"/>
      </w:rPr>
    </w:lvl>
    <w:lvl w:ilvl="7">
      <w:start w:val="1"/>
      <w:numFmt w:val="lowerLetter"/>
      <w:lvlText w:val="%8."/>
      <w:lvlJc w:val="left"/>
      <w:pPr>
        <w:tabs>
          <w:tab w:val="num" w:pos="3810"/>
        </w:tabs>
        <w:ind w:left="3810" w:hanging="476"/>
      </w:pPr>
      <w:rPr>
        <w:rFonts w:hint="default"/>
      </w:rPr>
    </w:lvl>
    <w:lvl w:ilvl="8">
      <w:start w:val="1"/>
      <w:numFmt w:val="lowerRoman"/>
      <w:lvlText w:val="%9."/>
      <w:lvlJc w:val="left"/>
      <w:pPr>
        <w:tabs>
          <w:tab w:val="num" w:pos="4286"/>
        </w:tabs>
        <w:ind w:left="4286" w:hanging="476"/>
      </w:pPr>
      <w:rPr>
        <w:rFonts w:hint="default"/>
      </w:rPr>
    </w:lvl>
  </w:abstractNum>
  <w:abstractNum w:abstractNumId="36" w15:restartNumberingAfterBreak="0">
    <w:nsid w:val="2D293CF4"/>
    <w:multiLevelType w:val="multilevel"/>
    <w:tmpl w:val="500C5F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start w:val="1"/>
      <w:numFmt w:val="decimal"/>
      <w:lvlText w:val="%4."/>
      <w:lvlJc w:val="left"/>
      <w:pPr>
        <w:tabs>
          <w:tab w:val="num" w:pos="1905"/>
        </w:tabs>
        <w:ind w:left="1905" w:hanging="476"/>
      </w:pPr>
      <w:rPr>
        <w:rFonts w:hint="default"/>
      </w:rPr>
    </w:lvl>
    <w:lvl w:ilvl="4">
      <w:start w:val="1"/>
      <w:numFmt w:val="lowerLetter"/>
      <w:lvlText w:val="%5."/>
      <w:lvlJc w:val="left"/>
      <w:pPr>
        <w:tabs>
          <w:tab w:val="num" w:pos="2381"/>
        </w:tabs>
        <w:ind w:left="2381" w:hanging="476"/>
      </w:pPr>
      <w:rPr>
        <w:rFonts w:hint="default"/>
      </w:rPr>
    </w:lvl>
    <w:lvl w:ilvl="5">
      <w:start w:val="1"/>
      <w:numFmt w:val="lowerRoman"/>
      <w:lvlText w:val="%6."/>
      <w:lvlJc w:val="left"/>
      <w:pPr>
        <w:tabs>
          <w:tab w:val="num" w:pos="2857"/>
        </w:tabs>
        <w:ind w:left="2857" w:hanging="476"/>
      </w:pPr>
      <w:rPr>
        <w:rFonts w:hint="default"/>
      </w:rPr>
    </w:lvl>
    <w:lvl w:ilvl="6">
      <w:start w:val="1"/>
      <w:numFmt w:val="decimal"/>
      <w:lvlText w:val="%7."/>
      <w:lvlJc w:val="left"/>
      <w:pPr>
        <w:tabs>
          <w:tab w:val="num" w:pos="3334"/>
        </w:tabs>
        <w:ind w:left="3334" w:hanging="477"/>
      </w:pPr>
      <w:rPr>
        <w:rFonts w:hint="default"/>
      </w:rPr>
    </w:lvl>
    <w:lvl w:ilvl="7">
      <w:start w:val="1"/>
      <w:numFmt w:val="lowerLetter"/>
      <w:lvlText w:val="%8."/>
      <w:lvlJc w:val="left"/>
      <w:pPr>
        <w:tabs>
          <w:tab w:val="num" w:pos="3810"/>
        </w:tabs>
        <w:ind w:left="3810" w:hanging="476"/>
      </w:pPr>
      <w:rPr>
        <w:rFonts w:hint="default"/>
      </w:rPr>
    </w:lvl>
    <w:lvl w:ilvl="8">
      <w:start w:val="1"/>
      <w:numFmt w:val="lowerRoman"/>
      <w:lvlText w:val="%9."/>
      <w:lvlJc w:val="left"/>
      <w:pPr>
        <w:tabs>
          <w:tab w:val="num" w:pos="4286"/>
        </w:tabs>
        <w:ind w:left="4286" w:hanging="476"/>
      </w:pPr>
      <w:rPr>
        <w:rFonts w:hint="default"/>
      </w:rPr>
    </w:lvl>
  </w:abstractNum>
  <w:abstractNum w:abstractNumId="37" w15:restartNumberingAfterBreak="0">
    <w:nsid w:val="2EAE17C0"/>
    <w:multiLevelType w:val="hybridMultilevel"/>
    <w:tmpl w:val="8878F114"/>
    <w:lvl w:ilvl="0" w:tplc="18090001">
      <w:start w:val="1"/>
      <w:numFmt w:val="bullet"/>
      <w:lvlText w:val=""/>
      <w:lvlJc w:val="left"/>
      <w:pPr>
        <w:ind w:left="776" w:hanging="360"/>
      </w:pPr>
      <w:rPr>
        <w:rFonts w:ascii="Symbol" w:hAnsi="Symbol" w:hint="default"/>
      </w:rPr>
    </w:lvl>
    <w:lvl w:ilvl="1" w:tplc="18090003" w:tentative="1">
      <w:start w:val="1"/>
      <w:numFmt w:val="bullet"/>
      <w:lvlText w:val="o"/>
      <w:lvlJc w:val="left"/>
      <w:pPr>
        <w:ind w:left="1496" w:hanging="360"/>
      </w:pPr>
      <w:rPr>
        <w:rFonts w:ascii="Courier New" w:hAnsi="Courier New" w:cs="Courier New" w:hint="default"/>
      </w:rPr>
    </w:lvl>
    <w:lvl w:ilvl="2" w:tplc="18090005" w:tentative="1">
      <w:start w:val="1"/>
      <w:numFmt w:val="bullet"/>
      <w:lvlText w:val=""/>
      <w:lvlJc w:val="left"/>
      <w:pPr>
        <w:ind w:left="2216" w:hanging="360"/>
      </w:pPr>
      <w:rPr>
        <w:rFonts w:ascii="Wingdings" w:hAnsi="Wingdings" w:hint="default"/>
      </w:rPr>
    </w:lvl>
    <w:lvl w:ilvl="3" w:tplc="18090001" w:tentative="1">
      <w:start w:val="1"/>
      <w:numFmt w:val="bullet"/>
      <w:lvlText w:val=""/>
      <w:lvlJc w:val="left"/>
      <w:pPr>
        <w:ind w:left="2936" w:hanging="360"/>
      </w:pPr>
      <w:rPr>
        <w:rFonts w:ascii="Symbol" w:hAnsi="Symbol" w:hint="default"/>
      </w:rPr>
    </w:lvl>
    <w:lvl w:ilvl="4" w:tplc="18090003" w:tentative="1">
      <w:start w:val="1"/>
      <w:numFmt w:val="bullet"/>
      <w:lvlText w:val="o"/>
      <w:lvlJc w:val="left"/>
      <w:pPr>
        <w:ind w:left="3656" w:hanging="360"/>
      </w:pPr>
      <w:rPr>
        <w:rFonts w:ascii="Courier New" w:hAnsi="Courier New" w:cs="Courier New" w:hint="default"/>
      </w:rPr>
    </w:lvl>
    <w:lvl w:ilvl="5" w:tplc="18090005" w:tentative="1">
      <w:start w:val="1"/>
      <w:numFmt w:val="bullet"/>
      <w:lvlText w:val=""/>
      <w:lvlJc w:val="left"/>
      <w:pPr>
        <w:ind w:left="4376" w:hanging="360"/>
      </w:pPr>
      <w:rPr>
        <w:rFonts w:ascii="Wingdings" w:hAnsi="Wingdings" w:hint="default"/>
      </w:rPr>
    </w:lvl>
    <w:lvl w:ilvl="6" w:tplc="18090001" w:tentative="1">
      <w:start w:val="1"/>
      <w:numFmt w:val="bullet"/>
      <w:lvlText w:val=""/>
      <w:lvlJc w:val="left"/>
      <w:pPr>
        <w:ind w:left="5096" w:hanging="360"/>
      </w:pPr>
      <w:rPr>
        <w:rFonts w:ascii="Symbol" w:hAnsi="Symbol" w:hint="default"/>
      </w:rPr>
    </w:lvl>
    <w:lvl w:ilvl="7" w:tplc="18090003" w:tentative="1">
      <w:start w:val="1"/>
      <w:numFmt w:val="bullet"/>
      <w:lvlText w:val="o"/>
      <w:lvlJc w:val="left"/>
      <w:pPr>
        <w:ind w:left="5816" w:hanging="360"/>
      </w:pPr>
      <w:rPr>
        <w:rFonts w:ascii="Courier New" w:hAnsi="Courier New" w:cs="Courier New" w:hint="default"/>
      </w:rPr>
    </w:lvl>
    <w:lvl w:ilvl="8" w:tplc="18090005" w:tentative="1">
      <w:start w:val="1"/>
      <w:numFmt w:val="bullet"/>
      <w:lvlText w:val=""/>
      <w:lvlJc w:val="left"/>
      <w:pPr>
        <w:ind w:left="6536" w:hanging="360"/>
      </w:pPr>
      <w:rPr>
        <w:rFonts w:ascii="Wingdings" w:hAnsi="Wingdings" w:hint="default"/>
      </w:rPr>
    </w:lvl>
  </w:abstractNum>
  <w:abstractNum w:abstractNumId="38" w15:restartNumberingAfterBreak="0">
    <w:nsid w:val="2F1A271B"/>
    <w:multiLevelType w:val="hybridMultilevel"/>
    <w:tmpl w:val="DA580284"/>
    <w:lvl w:ilvl="0" w:tplc="9790D666">
      <w:start w:val="1"/>
      <w:numFmt w:val="bullet"/>
      <w:lvlText w:val=""/>
      <w:lvlJc w:val="left"/>
      <w:pPr>
        <w:ind w:left="720" w:hanging="360"/>
      </w:pPr>
      <w:rPr>
        <w:rFonts w:ascii="Symbol" w:hAnsi="Symbol" w:hint="default"/>
      </w:rPr>
    </w:lvl>
    <w:lvl w:ilvl="1" w:tplc="9C1093A6" w:tentative="1">
      <w:start w:val="1"/>
      <w:numFmt w:val="bullet"/>
      <w:lvlText w:val="o"/>
      <w:lvlJc w:val="left"/>
      <w:pPr>
        <w:ind w:left="1440" w:hanging="360"/>
      </w:pPr>
      <w:rPr>
        <w:rFonts w:ascii="Courier New" w:hAnsi="Courier New" w:hint="default"/>
      </w:rPr>
    </w:lvl>
    <w:lvl w:ilvl="2" w:tplc="AEC89ABA" w:tentative="1">
      <w:start w:val="1"/>
      <w:numFmt w:val="bullet"/>
      <w:lvlText w:val=""/>
      <w:lvlJc w:val="left"/>
      <w:pPr>
        <w:ind w:left="2160" w:hanging="360"/>
      </w:pPr>
      <w:rPr>
        <w:rFonts w:ascii="Wingdings" w:hAnsi="Wingdings" w:hint="default"/>
      </w:rPr>
    </w:lvl>
    <w:lvl w:ilvl="3" w:tplc="3FEE0A44" w:tentative="1">
      <w:start w:val="1"/>
      <w:numFmt w:val="bullet"/>
      <w:lvlText w:val=""/>
      <w:lvlJc w:val="left"/>
      <w:pPr>
        <w:ind w:left="2880" w:hanging="360"/>
      </w:pPr>
      <w:rPr>
        <w:rFonts w:ascii="Symbol" w:hAnsi="Symbol" w:hint="default"/>
      </w:rPr>
    </w:lvl>
    <w:lvl w:ilvl="4" w:tplc="2F8C8F6C" w:tentative="1">
      <w:start w:val="1"/>
      <w:numFmt w:val="bullet"/>
      <w:lvlText w:val="o"/>
      <w:lvlJc w:val="left"/>
      <w:pPr>
        <w:ind w:left="3600" w:hanging="360"/>
      </w:pPr>
      <w:rPr>
        <w:rFonts w:ascii="Courier New" w:hAnsi="Courier New" w:hint="default"/>
      </w:rPr>
    </w:lvl>
    <w:lvl w:ilvl="5" w:tplc="97F88B2C" w:tentative="1">
      <w:start w:val="1"/>
      <w:numFmt w:val="bullet"/>
      <w:lvlText w:val=""/>
      <w:lvlJc w:val="left"/>
      <w:pPr>
        <w:ind w:left="4320" w:hanging="360"/>
      </w:pPr>
      <w:rPr>
        <w:rFonts w:ascii="Wingdings" w:hAnsi="Wingdings" w:hint="default"/>
      </w:rPr>
    </w:lvl>
    <w:lvl w:ilvl="6" w:tplc="BCD833C8" w:tentative="1">
      <w:start w:val="1"/>
      <w:numFmt w:val="bullet"/>
      <w:lvlText w:val=""/>
      <w:lvlJc w:val="left"/>
      <w:pPr>
        <w:ind w:left="5040" w:hanging="360"/>
      </w:pPr>
      <w:rPr>
        <w:rFonts w:ascii="Symbol" w:hAnsi="Symbol" w:hint="default"/>
      </w:rPr>
    </w:lvl>
    <w:lvl w:ilvl="7" w:tplc="02B4EDC4" w:tentative="1">
      <w:start w:val="1"/>
      <w:numFmt w:val="bullet"/>
      <w:lvlText w:val="o"/>
      <w:lvlJc w:val="left"/>
      <w:pPr>
        <w:ind w:left="5760" w:hanging="360"/>
      </w:pPr>
      <w:rPr>
        <w:rFonts w:ascii="Courier New" w:hAnsi="Courier New" w:hint="default"/>
      </w:rPr>
    </w:lvl>
    <w:lvl w:ilvl="8" w:tplc="26469822" w:tentative="1">
      <w:start w:val="1"/>
      <w:numFmt w:val="bullet"/>
      <w:lvlText w:val=""/>
      <w:lvlJc w:val="left"/>
      <w:pPr>
        <w:ind w:left="6480" w:hanging="360"/>
      </w:pPr>
      <w:rPr>
        <w:rFonts w:ascii="Wingdings" w:hAnsi="Wingdings" w:hint="default"/>
      </w:rPr>
    </w:lvl>
  </w:abstractNum>
  <w:abstractNum w:abstractNumId="39" w15:restartNumberingAfterBreak="0">
    <w:nsid w:val="2F231A6D"/>
    <w:multiLevelType w:val="multilevel"/>
    <w:tmpl w:val="DDD61264"/>
    <w:lvl w:ilvl="0">
      <w:start w:val="1"/>
      <w:numFmt w:val="bullet"/>
      <w:lvlText w:val=""/>
      <w:lvlJc w:val="left"/>
      <w:pPr>
        <w:tabs>
          <w:tab w:val="num" w:pos="720"/>
        </w:tabs>
        <w:ind w:left="720" w:hanging="360"/>
      </w:pPr>
      <w:rPr>
        <w:rFonts w:ascii="Symbol" w:hAnsi="Symbol" w:hint="default"/>
        <w:sz w:val="20"/>
      </w:rPr>
    </w:lvl>
    <w:lvl w:ilvl="1">
      <w:start w:val="35"/>
      <w:numFmt w:val="bullet"/>
      <w:lvlText w:val="-"/>
      <w:lvlJc w:val="left"/>
      <w:pPr>
        <w:ind w:left="1495" w:hanging="360"/>
      </w:pPr>
      <w:rPr>
        <w:rFonts w:ascii="Times New Roman" w:hAnsi="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0BE15AD"/>
    <w:multiLevelType w:val="hybridMultilevel"/>
    <w:tmpl w:val="874AC72E"/>
    <w:lvl w:ilvl="0" w:tplc="B5AE53DE">
      <w:start w:val="1"/>
      <w:numFmt w:val="bullet"/>
      <w:lvlText w:val=""/>
      <w:lvlJc w:val="left"/>
      <w:pPr>
        <w:ind w:left="720" w:hanging="360"/>
      </w:pPr>
      <w:rPr>
        <w:rFonts w:ascii="Symbol" w:hAnsi="Symbol" w:hint="default"/>
      </w:rPr>
    </w:lvl>
    <w:lvl w:ilvl="1" w:tplc="00F8AAFC" w:tentative="1">
      <w:start w:val="1"/>
      <w:numFmt w:val="bullet"/>
      <w:lvlText w:val="o"/>
      <w:lvlJc w:val="left"/>
      <w:pPr>
        <w:ind w:left="1440" w:hanging="360"/>
      </w:pPr>
      <w:rPr>
        <w:rFonts w:ascii="Courier New" w:hAnsi="Courier New" w:hint="default"/>
      </w:rPr>
    </w:lvl>
    <w:lvl w:ilvl="2" w:tplc="FEBADA4C" w:tentative="1">
      <w:start w:val="1"/>
      <w:numFmt w:val="bullet"/>
      <w:lvlText w:val=""/>
      <w:lvlJc w:val="left"/>
      <w:pPr>
        <w:ind w:left="2160" w:hanging="360"/>
      </w:pPr>
      <w:rPr>
        <w:rFonts w:ascii="Wingdings" w:hAnsi="Wingdings" w:hint="default"/>
      </w:rPr>
    </w:lvl>
    <w:lvl w:ilvl="3" w:tplc="41B8BE4A" w:tentative="1">
      <w:start w:val="1"/>
      <w:numFmt w:val="bullet"/>
      <w:lvlText w:val=""/>
      <w:lvlJc w:val="left"/>
      <w:pPr>
        <w:ind w:left="2880" w:hanging="360"/>
      </w:pPr>
      <w:rPr>
        <w:rFonts w:ascii="Symbol" w:hAnsi="Symbol" w:hint="default"/>
      </w:rPr>
    </w:lvl>
    <w:lvl w:ilvl="4" w:tplc="C37CF0EE" w:tentative="1">
      <w:start w:val="1"/>
      <w:numFmt w:val="bullet"/>
      <w:lvlText w:val="o"/>
      <w:lvlJc w:val="left"/>
      <w:pPr>
        <w:ind w:left="3600" w:hanging="360"/>
      </w:pPr>
      <w:rPr>
        <w:rFonts w:ascii="Courier New" w:hAnsi="Courier New" w:hint="default"/>
      </w:rPr>
    </w:lvl>
    <w:lvl w:ilvl="5" w:tplc="8DD6D5D6" w:tentative="1">
      <w:start w:val="1"/>
      <w:numFmt w:val="bullet"/>
      <w:lvlText w:val=""/>
      <w:lvlJc w:val="left"/>
      <w:pPr>
        <w:ind w:left="4320" w:hanging="360"/>
      </w:pPr>
      <w:rPr>
        <w:rFonts w:ascii="Wingdings" w:hAnsi="Wingdings" w:hint="default"/>
      </w:rPr>
    </w:lvl>
    <w:lvl w:ilvl="6" w:tplc="080C06B4" w:tentative="1">
      <w:start w:val="1"/>
      <w:numFmt w:val="bullet"/>
      <w:lvlText w:val=""/>
      <w:lvlJc w:val="left"/>
      <w:pPr>
        <w:ind w:left="5040" w:hanging="360"/>
      </w:pPr>
      <w:rPr>
        <w:rFonts w:ascii="Symbol" w:hAnsi="Symbol" w:hint="default"/>
      </w:rPr>
    </w:lvl>
    <w:lvl w:ilvl="7" w:tplc="8D60FD22" w:tentative="1">
      <w:start w:val="1"/>
      <w:numFmt w:val="bullet"/>
      <w:lvlText w:val="o"/>
      <w:lvlJc w:val="left"/>
      <w:pPr>
        <w:ind w:left="5760" w:hanging="360"/>
      </w:pPr>
      <w:rPr>
        <w:rFonts w:ascii="Courier New" w:hAnsi="Courier New" w:hint="default"/>
      </w:rPr>
    </w:lvl>
    <w:lvl w:ilvl="8" w:tplc="8F08CEA8" w:tentative="1">
      <w:start w:val="1"/>
      <w:numFmt w:val="bullet"/>
      <w:lvlText w:val=""/>
      <w:lvlJc w:val="left"/>
      <w:pPr>
        <w:ind w:left="6480" w:hanging="360"/>
      </w:pPr>
      <w:rPr>
        <w:rFonts w:ascii="Wingdings" w:hAnsi="Wingdings" w:hint="default"/>
      </w:rPr>
    </w:lvl>
  </w:abstractNum>
  <w:abstractNum w:abstractNumId="41" w15:restartNumberingAfterBreak="0">
    <w:nsid w:val="33C55138"/>
    <w:multiLevelType w:val="hybridMultilevel"/>
    <w:tmpl w:val="0A14F65A"/>
    <w:lvl w:ilvl="0" w:tplc="1CC4DA3A">
      <w:start w:val="1"/>
      <w:numFmt w:val="bullet"/>
      <w:lvlText w:val=""/>
      <w:lvlJc w:val="left"/>
      <w:pPr>
        <w:ind w:left="720" w:hanging="360"/>
      </w:pPr>
      <w:rPr>
        <w:rFonts w:ascii="Symbol" w:hAnsi="Symbol" w:hint="default"/>
      </w:rPr>
    </w:lvl>
    <w:lvl w:ilvl="1" w:tplc="8018B81A" w:tentative="1">
      <w:start w:val="1"/>
      <w:numFmt w:val="bullet"/>
      <w:lvlText w:val="o"/>
      <w:lvlJc w:val="left"/>
      <w:pPr>
        <w:ind w:left="1440" w:hanging="360"/>
      </w:pPr>
      <w:rPr>
        <w:rFonts w:ascii="Courier New" w:hAnsi="Courier New" w:hint="default"/>
      </w:rPr>
    </w:lvl>
    <w:lvl w:ilvl="2" w:tplc="6EE24986" w:tentative="1">
      <w:start w:val="1"/>
      <w:numFmt w:val="bullet"/>
      <w:lvlText w:val=""/>
      <w:lvlJc w:val="left"/>
      <w:pPr>
        <w:ind w:left="2160" w:hanging="360"/>
      </w:pPr>
      <w:rPr>
        <w:rFonts w:ascii="Wingdings" w:hAnsi="Wingdings" w:hint="default"/>
      </w:rPr>
    </w:lvl>
    <w:lvl w:ilvl="3" w:tplc="1E7029F0" w:tentative="1">
      <w:start w:val="1"/>
      <w:numFmt w:val="bullet"/>
      <w:lvlText w:val=""/>
      <w:lvlJc w:val="left"/>
      <w:pPr>
        <w:ind w:left="2880" w:hanging="360"/>
      </w:pPr>
      <w:rPr>
        <w:rFonts w:ascii="Symbol" w:hAnsi="Symbol" w:hint="default"/>
      </w:rPr>
    </w:lvl>
    <w:lvl w:ilvl="4" w:tplc="41328C92" w:tentative="1">
      <w:start w:val="1"/>
      <w:numFmt w:val="bullet"/>
      <w:lvlText w:val="o"/>
      <w:lvlJc w:val="left"/>
      <w:pPr>
        <w:ind w:left="3600" w:hanging="360"/>
      </w:pPr>
      <w:rPr>
        <w:rFonts w:ascii="Courier New" w:hAnsi="Courier New" w:hint="default"/>
      </w:rPr>
    </w:lvl>
    <w:lvl w:ilvl="5" w:tplc="41FE0E3A" w:tentative="1">
      <w:start w:val="1"/>
      <w:numFmt w:val="bullet"/>
      <w:lvlText w:val=""/>
      <w:lvlJc w:val="left"/>
      <w:pPr>
        <w:ind w:left="4320" w:hanging="360"/>
      </w:pPr>
      <w:rPr>
        <w:rFonts w:ascii="Wingdings" w:hAnsi="Wingdings" w:hint="default"/>
      </w:rPr>
    </w:lvl>
    <w:lvl w:ilvl="6" w:tplc="279AC770" w:tentative="1">
      <w:start w:val="1"/>
      <w:numFmt w:val="bullet"/>
      <w:lvlText w:val=""/>
      <w:lvlJc w:val="left"/>
      <w:pPr>
        <w:ind w:left="5040" w:hanging="360"/>
      </w:pPr>
      <w:rPr>
        <w:rFonts w:ascii="Symbol" w:hAnsi="Symbol" w:hint="default"/>
      </w:rPr>
    </w:lvl>
    <w:lvl w:ilvl="7" w:tplc="96CC8258" w:tentative="1">
      <w:start w:val="1"/>
      <w:numFmt w:val="bullet"/>
      <w:lvlText w:val="o"/>
      <w:lvlJc w:val="left"/>
      <w:pPr>
        <w:ind w:left="5760" w:hanging="360"/>
      </w:pPr>
      <w:rPr>
        <w:rFonts w:ascii="Courier New" w:hAnsi="Courier New" w:hint="default"/>
      </w:rPr>
    </w:lvl>
    <w:lvl w:ilvl="8" w:tplc="ECB816E8" w:tentative="1">
      <w:start w:val="1"/>
      <w:numFmt w:val="bullet"/>
      <w:lvlText w:val=""/>
      <w:lvlJc w:val="left"/>
      <w:pPr>
        <w:ind w:left="6480" w:hanging="360"/>
      </w:pPr>
      <w:rPr>
        <w:rFonts w:ascii="Wingdings" w:hAnsi="Wingdings" w:hint="default"/>
      </w:rPr>
    </w:lvl>
  </w:abstractNum>
  <w:abstractNum w:abstractNumId="42" w15:restartNumberingAfterBreak="0">
    <w:nsid w:val="3458603F"/>
    <w:multiLevelType w:val="hybridMultilevel"/>
    <w:tmpl w:val="34EE1CE6"/>
    <w:lvl w:ilvl="0" w:tplc="B8CE4FEC">
      <w:start w:val="1"/>
      <w:numFmt w:val="bullet"/>
      <w:lvlText w:val=""/>
      <w:lvlJc w:val="left"/>
      <w:pPr>
        <w:ind w:left="720" w:hanging="360"/>
      </w:pPr>
      <w:rPr>
        <w:rFonts w:ascii="Symbol" w:hAnsi="Symbol" w:hint="default"/>
      </w:rPr>
    </w:lvl>
    <w:lvl w:ilvl="1" w:tplc="A7AAD39A" w:tentative="1">
      <w:start w:val="1"/>
      <w:numFmt w:val="bullet"/>
      <w:lvlText w:val="o"/>
      <w:lvlJc w:val="left"/>
      <w:pPr>
        <w:ind w:left="1440" w:hanging="360"/>
      </w:pPr>
      <w:rPr>
        <w:rFonts w:ascii="Courier New" w:hAnsi="Courier New" w:hint="default"/>
      </w:rPr>
    </w:lvl>
    <w:lvl w:ilvl="2" w:tplc="4080E356" w:tentative="1">
      <w:start w:val="1"/>
      <w:numFmt w:val="bullet"/>
      <w:lvlText w:val=""/>
      <w:lvlJc w:val="left"/>
      <w:pPr>
        <w:ind w:left="2160" w:hanging="360"/>
      </w:pPr>
      <w:rPr>
        <w:rFonts w:ascii="Wingdings" w:hAnsi="Wingdings" w:hint="default"/>
      </w:rPr>
    </w:lvl>
    <w:lvl w:ilvl="3" w:tplc="131463AC" w:tentative="1">
      <w:start w:val="1"/>
      <w:numFmt w:val="bullet"/>
      <w:lvlText w:val=""/>
      <w:lvlJc w:val="left"/>
      <w:pPr>
        <w:ind w:left="2880" w:hanging="360"/>
      </w:pPr>
      <w:rPr>
        <w:rFonts w:ascii="Symbol" w:hAnsi="Symbol" w:hint="default"/>
      </w:rPr>
    </w:lvl>
    <w:lvl w:ilvl="4" w:tplc="332A3082" w:tentative="1">
      <w:start w:val="1"/>
      <w:numFmt w:val="bullet"/>
      <w:lvlText w:val="o"/>
      <w:lvlJc w:val="left"/>
      <w:pPr>
        <w:ind w:left="3600" w:hanging="360"/>
      </w:pPr>
      <w:rPr>
        <w:rFonts w:ascii="Courier New" w:hAnsi="Courier New" w:hint="default"/>
      </w:rPr>
    </w:lvl>
    <w:lvl w:ilvl="5" w:tplc="55DC4BB8" w:tentative="1">
      <w:start w:val="1"/>
      <w:numFmt w:val="bullet"/>
      <w:lvlText w:val=""/>
      <w:lvlJc w:val="left"/>
      <w:pPr>
        <w:ind w:left="4320" w:hanging="360"/>
      </w:pPr>
      <w:rPr>
        <w:rFonts w:ascii="Wingdings" w:hAnsi="Wingdings" w:hint="default"/>
      </w:rPr>
    </w:lvl>
    <w:lvl w:ilvl="6" w:tplc="309ADBD8" w:tentative="1">
      <w:start w:val="1"/>
      <w:numFmt w:val="bullet"/>
      <w:lvlText w:val=""/>
      <w:lvlJc w:val="left"/>
      <w:pPr>
        <w:ind w:left="5040" w:hanging="360"/>
      </w:pPr>
      <w:rPr>
        <w:rFonts w:ascii="Symbol" w:hAnsi="Symbol" w:hint="default"/>
      </w:rPr>
    </w:lvl>
    <w:lvl w:ilvl="7" w:tplc="8ECE0E44" w:tentative="1">
      <w:start w:val="1"/>
      <w:numFmt w:val="bullet"/>
      <w:lvlText w:val="o"/>
      <w:lvlJc w:val="left"/>
      <w:pPr>
        <w:ind w:left="5760" w:hanging="360"/>
      </w:pPr>
      <w:rPr>
        <w:rFonts w:ascii="Courier New" w:hAnsi="Courier New" w:hint="default"/>
      </w:rPr>
    </w:lvl>
    <w:lvl w:ilvl="8" w:tplc="B5B21908" w:tentative="1">
      <w:start w:val="1"/>
      <w:numFmt w:val="bullet"/>
      <w:lvlText w:val=""/>
      <w:lvlJc w:val="left"/>
      <w:pPr>
        <w:ind w:left="6480" w:hanging="360"/>
      </w:pPr>
      <w:rPr>
        <w:rFonts w:ascii="Wingdings" w:hAnsi="Wingdings" w:hint="default"/>
      </w:rPr>
    </w:lvl>
  </w:abstractNum>
  <w:abstractNum w:abstractNumId="43" w15:restartNumberingAfterBreak="0">
    <w:nsid w:val="35EF4380"/>
    <w:multiLevelType w:val="hybridMultilevel"/>
    <w:tmpl w:val="DBBC6E94"/>
    <w:lvl w:ilvl="0" w:tplc="93B87814">
      <w:start w:val="1"/>
      <w:numFmt w:val="bullet"/>
      <w:lvlText w:val="-"/>
      <w:lvlJc w:val="left"/>
      <w:pPr>
        <w:ind w:left="720" w:hanging="360"/>
      </w:pPr>
      <w:rPr>
        <w:rFonts w:ascii="&quot;Aptos&quot;,sans-serif" w:hAnsi="&quot;Aptos&quot;,sans-serif" w:hint="default"/>
      </w:rPr>
    </w:lvl>
    <w:lvl w:ilvl="1" w:tplc="F256666A">
      <w:numFmt w:val="bullet"/>
      <w:lvlText w:val="•"/>
      <w:lvlJc w:val="left"/>
      <w:pPr>
        <w:ind w:left="1440" w:hanging="360"/>
      </w:pPr>
      <w:rPr>
        <w:rFonts w:ascii="Times New Roman" w:hAnsi="Times New Roman" w:hint="default"/>
      </w:rPr>
    </w:lvl>
    <w:lvl w:ilvl="2" w:tplc="5E2E5ED2" w:tentative="1">
      <w:start w:val="1"/>
      <w:numFmt w:val="bullet"/>
      <w:lvlText w:val=""/>
      <w:lvlJc w:val="left"/>
      <w:pPr>
        <w:ind w:left="2160" w:hanging="360"/>
      </w:pPr>
      <w:rPr>
        <w:rFonts w:ascii="Wingdings" w:hAnsi="Wingdings" w:hint="default"/>
      </w:rPr>
    </w:lvl>
    <w:lvl w:ilvl="3" w:tplc="F59C0670" w:tentative="1">
      <w:start w:val="1"/>
      <w:numFmt w:val="bullet"/>
      <w:lvlText w:val=""/>
      <w:lvlJc w:val="left"/>
      <w:pPr>
        <w:ind w:left="2880" w:hanging="360"/>
      </w:pPr>
      <w:rPr>
        <w:rFonts w:ascii="Symbol" w:hAnsi="Symbol" w:hint="default"/>
      </w:rPr>
    </w:lvl>
    <w:lvl w:ilvl="4" w:tplc="4EA46C98" w:tentative="1">
      <w:start w:val="1"/>
      <w:numFmt w:val="bullet"/>
      <w:lvlText w:val="o"/>
      <w:lvlJc w:val="left"/>
      <w:pPr>
        <w:ind w:left="3600" w:hanging="360"/>
      </w:pPr>
      <w:rPr>
        <w:rFonts w:ascii="Courier New" w:hAnsi="Courier New" w:hint="default"/>
      </w:rPr>
    </w:lvl>
    <w:lvl w:ilvl="5" w:tplc="9126DC18" w:tentative="1">
      <w:start w:val="1"/>
      <w:numFmt w:val="bullet"/>
      <w:lvlText w:val=""/>
      <w:lvlJc w:val="left"/>
      <w:pPr>
        <w:ind w:left="4320" w:hanging="360"/>
      </w:pPr>
      <w:rPr>
        <w:rFonts w:ascii="Wingdings" w:hAnsi="Wingdings" w:hint="default"/>
      </w:rPr>
    </w:lvl>
    <w:lvl w:ilvl="6" w:tplc="40D81422" w:tentative="1">
      <w:start w:val="1"/>
      <w:numFmt w:val="bullet"/>
      <w:lvlText w:val=""/>
      <w:lvlJc w:val="left"/>
      <w:pPr>
        <w:ind w:left="5040" w:hanging="360"/>
      </w:pPr>
      <w:rPr>
        <w:rFonts w:ascii="Symbol" w:hAnsi="Symbol" w:hint="default"/>
      </w:rPr>
    </w:lvl>
    <w:lvl w:ilvl="7" w:tplc="D4568B42" w:tentative="1">
      <w:start w:val="1"/>
      <w:numFmt w:val="bullet"/>
      <w:lvlText w:val="o"/>
      <w:lvlJc w:val="left"/>
      <w:pPr>
        <w:ind w:left="5760" w:hanging="360"/>
      </w:pPr>
      <w:rPr>
        <w:rFonts w:ascii="Courier New" w:hAnsi="Courier New" w:hint="default"/>
      </w:rPr>
    </w:lvl>
    <w:lvl w:ilvl="8" w:tplc="0810C434" w:tentative="1">
      <w:start w:val="1"/>
      <w:numFmt w:val="bullet"/>
      <w:lvlText w:val=""/>
      <w:lvlJc w:val="left"/>
      <w:pPr>
        <w:ind w:left="6480" w:hanging="360"/>
      </w:pPr>
      <w:rPr>
        <w:rFonts w:ascii="Wingdings" w:hAnsi="Wingdings" w:hint="default"/>
      </w:rPr>
    </w:lvl>
  </w:abstractNum>
  <w:abstractNum w:abstractNumId="44" w15:restartNumberingAfterBreak="0">
    <w:nsid w:val="361A406E"/>
    <w:multiLevelType w:val="hybridMultilevel"/>
    <w:tmpl w:val="1D0E169A"/>
    <w:lvl w:ilvl="0" w:tplc="547A64C6">
      <w:start w:val="1"/>
      <w:numFmt w:val="decimal"/>
      <w:lvlText w:val="%1."/>
      <w:lvlJc w:val="left"/>
      <w:pPr>
        <w:ind w:left="720" w:hanging="360"/>
      </w:pPr>
    </w:lvl>
    <w:lvl w:ilvl="1" w:tplc="647C6CD8" w:tentative="1">
      <w:start w:val="1"/>
      <w:numFmt w:val="lowerLetter"/>
      <w:lvlText w:val="%2."/>
      <w:lvlJc w:val="left"/>
      <w:pPr>
        <w:ind w:left="1440" w:hanging="360"/>
      </w:pPr>
    </w:lvl>
    <w:lvl w:ilvl="2" w:tplc="07F458EA" w:tentative="1">
      <w:start w:val="1"/>
      <w:numFmt w:val="lowerRoman"/>
      <w:lvlText w:val="%3."/>
      <w:lvlJc w:val="right"/>
      <w:pPr>
        <w:ind w:left="2160" w:hanging="180"/>
      </w:pPr>
    </w:lvl>
    <w:lvl w:ilvl="3" w:tplc="9EAA88E4" w:tentative="1">
      <w:start w:val="1"/>
      <w:numFmt w:val="decimal"/>
      <w:lvlText w:val="%4."/>
      <w:lvlJc w:val="left"/>
      <w:pPr>
        <w:ind w:left="2880" w:hanging="360"/>
      </w:pPr>
    </w:lvl>
    <w:lvl w:ilvl="4" w:tplc="3C1C6B42" w:tentative="1">
      <w:start w:val="1"/>
      <w:numFmt w:val="lowerLetter"/>
      <w:lvlText w:val="%5."/>
      <w:lvlJc w:val="left"/>
      <w:pPr>
        <w:ind w:left="3600" w:hanging="360"/>
      </w:pPr>
    </w:lvl>
    <w:lvl w:ilvl="5" w:tplc="3E465FFA" w:tentative="1">
      <w:start w:val="1"/>
      <w:numFmt w:val="lowerRoman"/>
      <w:lvlText w:val="%6."/>
      <w:lvlJc w:val="right"/>
      <w:pPr>
        <w:ind w:left="4320" w:hanging="180"/>
      </w:pPr>
    </w:lvl>
    <w:lvl w:ilvl="6" w:tplc="8E78F6B6" w:tentative="1">
      <w:start w:val="1"/>
      <w:numFmt w:val="decimal"/>
      <w:lvlText w:val="%7."/>
      <w:lvlJc w:val="left"/>
      <w:pPr>
        <w:ind w:left="5040" w:hanging="360"/>
      </w:pPr>
    </w:lvl>
    <w:lvl w:ilvl="7" w:tplc="6EA644B8" w:tentative="1">
      <w:start w:val="1"/>
      <w:numFmt w:val="lowerLetter"/>
      <w:lvlText w:val="%8."/>
      <w:lvlJc w:val="left"/>
      <w:pPr>
        <w:ind w:left="5760" w:hanging="360"/>
      </w:pPr>
    </w:lvl>
    <w:lvl w:ilvl="8" w:tplc="92EE4254" w:tentative="1">
      <w:start w:val="1"/>
      <w:numFmt w:val="lowerRoman"/>
      <w:lvlText w:val="%9."/>
      <w:lvlJc w:val="right"/>
      <w:pPr>
        <w:ind w:left="6480" w:hanging="180"/>
      </w:pPr>
    </w:lvl>
  </w:abstractNum>
  <w:abstractNum w:abstractNumId="45" w15:restartNumberingAfterBreak="0">
    <w:nsid w:val="375D1BCF"/>
    <w:multiLevelType w:val="multilevel"/>
    <w:tmpl w:val="25965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7DE79B8"/>
    <w:multiLevelType w:val="multilevel"/>
    <w:tmpl w:val="A9908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BC81FBA"/>
    <w:multiLevelType w:val="multilevel"/>
    <w:tmpl w:val="B82638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C3E623E"/>
    <w:multiLevelType w:val="hybridMultilevel"/>
    <w:tmpl w:val="481A93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3CF00E18"/>
    <w:multiLevelType w:val="singleLevel"/>
    <w:tmpl w:val="1A023AAC"/>
    <w:lvl w:ilvl="0">
      <w:start w:val="1"/>
      <w:numFmt w:val="bullet"/>
      <w:pStyle w:val="ListBullet"/>
      <w:lvlText w:val=""/>
      <w:lvlJc w:val="left"/>
      <w:pPr>
        <w:tabs>
          <w:tab w:val="num" w:pos="283"/>
        </w:tabs>
        <w:ind w:left="283" w:hanging="283"/>
      </w:pPr>
      <w:rPr>
        <w:rFonts w:ascii="Symbol" w:hAnsi="Symbol"/>
      </w:rPr>
    </w:lvl>
  </w:abstractNum>
  <w:abstractNum w:abstractNumId="50" w15:restartNumberingAfterBreak="0">
    <w:nsid w:val="43E31EA6"/>
    <w:multiLevelType w:val="hybridMultilevel"/>
    <w:tmpl w:val="9E3CE2DA"/>
    <w:lvl w:ilvl="0" w:tplc="20BE9C28">
      <w:start w:val="1"/>
      <w:numFmt w:val="bullet"/>
      <w:lvlText w:val=""/>
      <w:lvlJc w:val="left"/>
      <w:pPr>
        <w:ind w:left="720" w:hanging="360"/>
      </w:pPr>
      <w:rPr>
        <w:rFonts w:ascii="Symbol" w:hAnsi="Symbol" w:hint="default"/>
      </w:rPr>
    </w:lvl>
    <w:lvl w:ilvl="1" w:tplc="3AB6A694" w:tentative="1">
      <w:start w:val="1"/>
      <w:numFmt w:val="bullet"/>
      <w:lvlText w:val="o"/>
      <w:lvlJc w:val="left"/>
      <w:pPr>
        <w:ind w:left="1440" w:hanging="360"/>
      </w:pPr>
      <w:rPr>
        <w:rFonts w:ascii="Courier New" w:hAnsi="Courier New" w:hint="default"/>
      </w:rPr>
    </w:lvl>
    <w:lvl w:ilvl="2" w:tplc="13C6D326" w:tentative="1">
      <w:start w:val="1"/>
      <w:numFmt w:val="bullet"/>
      <w:lvlText w:val=""/>
      <w:lvlJc w:val="left"/>
      <w:pPr>
        <w:ind w:left="2160" w:hanging="360"/>
      </w:pPr>
      <w:rPr>
        <w:rFonts w:ascii="Wingdings" w:hAnsi="Wingdings" w:hint="default"/>
      </w:rPr>
    </w:lvl>
    <w:lvl w:ilvl="3" w:tplc="123CED6C" w:tentative="1">
      <w:start w:val="1"/>
      <w:numFmt w:val="bullet"/>
      <w:lvlText w:val=""/>
      <w:lvlJc w:val="left"/>
      <w:pPr>
        <w:ind w:left="2880" w:hanging="360"/>
      </w:pPr>
      <w:rPr>
        <w:rFonts w:ascii="Symbol" w:hAnsi="Symbol" w:hint="default"/>
      </w:rPr>
    </w:lvl>
    <w:lvl w:ilvl="4" w:tplc="096234B4" w:tentative="1">
      <w:start w:val="1"/>
      <w:numFmt w:val="bullet"/>
      <w:lvlText w:val="o"/>
      <w:lvlJc w:val="left"/>
      <w:pPr>
        <w:ind w:left="3600" w:hanging="360"/>
      </w:pPr>
      <w:rPr>
        <w:rFonts w:ascii="Courier New" w:hAnsi="Courier New" w:hint="default"/>
      </w:rPr>
    </w:lvl>
    <w:lvl w:ilvl="5" w:tplc="69AEB35A" w:tentative="1">
      <w:start w:val="1"/>
      <w:numFmt w:val="bullet"/>
      <w:lvlText w:val=""/>
      <w:lvlJc w:val="left"/>
      <w:pPr>
        <w:ind w:left="4320" w:hanging="360"/>
      </w:pPr>
      <w:rPr>
        <w:rFonts w:ascii="Wingdings" w:hAnsi="Wingdings" w:hint="default"/>
      </w:rPr>
    </w:lvl>
    <w:lvl w:ilvl="6" w:tplc="06DA3654" w:tentative="1">
      <w:start w:val="1"/>
      <w:numFmt w:val="bullet"/>
      <w:lvlText w:val=""/>
      <w:lvlJc w:val="left"/>
      <w:pPr>
        <w:ind w:left="5040" w:hanging="360"/>
      </w:pPr>
      <w:rPr>
        <w:rFonts w:ascii="Symbol" w:hAnsi="Symbol" w:hint="default"/>
      </w:rPr>
    </w:lvl>
    <w:lvl w:ilvl="7" w:tplc="C060D490" w:tentative="1">
      <w:start w:val="1"/>
      <w:numFmt w:val="bullet"/>
      <w:lvlText w:val="o"/>
      <w:lvlJc w:val="left"/>
      <w:pPr>
        <w:ind w:left="5760" w:hanging="360"/>
      </w:pPr>
      <w:rPr>
        <w:rFonts w:ascii="Courier New" w:hAnsi="Courier New" w:hint="default"/>
      </w:rPr>
    </w:lvl>
    <w:lvl w:ilvl="8" w:tplc="2B04A8D6" w:tentative="1">
      <w:start w:val="1"/>
      <w:numFmt w:val="bullet"/>
      <w:lvlText w:val=""/>
      <w:lvlJc w:val="left"/>
      <w:pPr>
        <w:ind w:left="6480" w:hanging="360"/>
      </w:pPr>
      <w:rPr>
        <w:rFonts w:ascii="Wingdings" w:hAnsi="Wingdings" w:hint="default"/>
      </w:rPr>
    </w:lvl>
  </w:abstractNum>
  <w:abstractNum w:abstractNumId="51" w15:restartNumberingAfterBreak="0">
    <w:nsid w:val="4502222F"/>
    <w:multiLevelType w:val="hybridMultilevel"/>
    <w:tmpl w:val="5A0627E2"/>
    <w:lvl w:ilvl="0" w:tplc="18090001">
      <w:start w:val="1"/>
      <w:numFmt w:val="bullet"/>
      <w:lvlText w:val=""/>
      <w:lvlJc w:val="left"/>
      <w:pPr>
        <w:ind w:left="578" w:hanging="360"/>
      </w:pPr>
      <w:rPr>
        <w:rFonts w:ascii="Symbol" w:hAnsi="Symbol" w:hint="default"/>
      </w:rPr>
    </w:lvl>
    <w:lvl w:ilvl="1" w:tplc="18090003" w:tentative="1">
      <w:start w:val="1"/>
      <w:numFmt w:val="bullet"/>
      <w:lvlText w:val="o"/>
      <w:lvlJc w:val="left"/>
      <w:pPr>
        <w:ind w:left="1298" w:hanging="360"/>
      </w:pPr>
      <w:rPr>
        <w:rFonts w:ascii="Courier New" w:hAnsi="Courier New" w:cs="Courier New" w:hint="default"/>
      </w:rPr>
    </w:lvl>
    <w:lvl w:ilvl="2" w:tplc="18090005" w:tentative="1">
      <w:start w:val="1"/>
      <w:numFmt w:val="bullet"/>
      <w:lvlText w:val=""/>
      <w:lvlJc w:val="left"/>
      <w:pPr>
        <w:ind w:left="2018" w:hanging="360"/>
      </w:pPr>
      <w:rPr>
        <w:rFonts w:ascii="Wingdings" w:hAnsi="Wingdings" w:hint="default"/>
      </w:rPr>
    </w:lvl>
    <w:lvl w:ilvl="3" w:tplc="18090001" w:tentative="1">
      <w:start w:val="1"/>
      <w:numFmt w:val="bullet"/>
      <w:lvlText w:val=""/>
      <w:lvlJc w:val="left"/>
      <w:pPr>
        <w:ind w:left="2738" w:hanging="360"/>
      </w:pPr>
      <w:rPr>
        <w:rFonts w:ascii="Symbol" w:hAnsi="Symbol" w:hint="default"/>
      </w:rPr>
    </w:lvl>
    <w:lvl w:ilvl="4" w:tplc="18090003" w:tentative="1">
      <w:start w:val="1"/>
      <w:numFmt w:val="bullet"/>
      <w:lvlText w:val="o"/>
      <w:lvlJc w:val="left"/>
      <w:pPr>
        <w:ind w:left="3458" w:hanging="360"/>
      </w:pPr>
      <w:rPr>
        <w:rFonts w:ascii="Courier New" w:hAnsi="Courier New" w:cs="Courier New" w:hint="default"/>
      </w:rPr>
    </w:lvl>
    <w:lvl w:ilvl="5" w:tplc="18090005" w:tentative="1">
      <w:start w:val="1"/>
      <w:numFmt w:val="bullet"/>
      <w:lvlText w:val=""/>
      <w:lvlJc w:val="left"/>
      <w:pPr>
        <w:ind w:left="4178" w:hanging="360"/>
      </w:pPr>
      <w:rPr>
        <w:rFonts w:ascii="Wingdings" w:hAnsi="Wingdings" w:hint="default"/>
      </w:rPr>
    </w:lvl>
    <w:lvl w:ilvl="6" w:tplc="18090001" w:tentative="1">
      <w:start w:val="1"/>
      <w:numFmt w:val="bullet"/>
      <w:lvlText w:val=""/>
      <w:lvlJc w:val="left"/>
      <w:pPr>
        <w:ind w:left="4898" w:hanging="360"/>
      </w:pPr>
      <w:rPr>
        <w:rFonts w:ascii="Symbol" w:hAnsi="Symbol" w:hint="default"/>
      </w:rPr>
    </w:lvl>
    <w:lvl w:ilvl="7" w:tplc="18090003" w:tentative="1">
      <w:start w:val="1"/>
      <w:numFmt w:val="bullet"/>
      <w:lvlText w:val="o"/>
      <w:lvlJc w:val="left"/>
      <w:pPr>
        <w:ind w:left="5618" w:hanging="360"/>
      </w:pPr>
      <w:rPr>
        <w:rFonts w:ascii="Courier New" w:hAnsi="Courier New" w:cs="Courier New" w:hint="default"/>
      </w:rPr>
    </w:lvl>
    <w:lvl w:ilvl="8" w:tplc="18090005" w:tentative="1">
      <w:start w:val="1"/>
      <w:numFmt w:val="bullet"/>
      <w:lvlText w:val=""/>
      <w:lvlJc w:val="left"/>
      <w:pPr>
        <w:ind w:left="6338" w:hanging="360"/>
      </w:pPr>
      <w:rPr>
        <w:rFonts w:ascii="Wingdings" w:hAnsi="Wingdings" w:hint="default"/>
      </w:rPr>
    </w:lvl>
  </w:abstractNum>
  <w:abstractNum w:abstractNumId="52" w15:restartNumberingAfterBreak="0">
    <w:nsid w:val="471C3785"/>
    <w:multiLevelType w:val="hybridMultilevel"/>
    <w:tmpl w:val="2F761DA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4A9C1372"/>
    <w:multiLevelType w:val="hybridMultilevel"/>
    <w:tmpl w:val="7BC6CC24"/>
    <w:lvl w:ilvl="0" w:tplc="B37E879A">
      <w:start w:val="1"/>
      <w:numFmt w:val="bullet"/>
      <w:lvlText w:val=""/>
      <w:lvlJc w:val="left"/>
      <w:pPr>
        <w:ind w:left="720" w:hanging="360"/>
      </w:pPr>
      <w:rPr>
        <w:rFonts w:ascii="Symbol" w:hAnsi="Symbol" w:hint="default"/>
      </w:rPr>
    </w:lvl>
    <w:lvl w:ilvl="1" w:tplc="A7EEC77C" w:tentative="1">
      <w:start w:val="1"/>
      <w:numFmt w:val="bullet"/>
      <w:lvlText w:val="o"/>
      <w:lvlJc w:val="left"/>
      <w:pPr>
        <w:ind w:left="1440" w:hanging="360"/>
      </w:pPr>
      <w:rPr>
        <w:rFonts w:ascii="Courier New" w:hAnsi="Courier New" w:hint="default"/>
      </w:rPr>
    </w:lvl>
    <w:lvl w:ilvl="2" w:tplc="53F2CE2A" w:tentative="1">
      <w:start w:val="1"/>
      <w:numFmt w:val="bullet"/>
      <w:lvlText w:val=""/>
      <w:lvlJc w:val="left"/>
      <w:pPr>
        <w:ind w:left="2160" w:hanging="360"/>
      </w:pPr>
      <w:rPr>
        <w:rFonts w:ascii="Wingdings" w:hAnsi="Wingdings" w:hint="default"/>
      </w:rPr>
    </w:lvl>
    <w:lvl w:ilvl="3" w:tplc="BEDC9480" w:tentative="1">
      <w:start w:val="1"/>
      <w:numFmt w:val="bullet"/>
      <w:lvlText w:val=""/>
      <w:lvlJc w:val="left"/>
      <w:pPr>
        <w:ind w:left="2880" w:hanging="360"/>
      </w:pPr>
      <w:rPr>
        <w:rFonts w:ascii="Symbol" w:hAnsi="Symbol" w:hint="default"/>
      </w:rPr>
    </w:lvl>
    <w:lvl w:ilvl="4" w:tplc="5538A518" w:tentative="1">
      <w:start w:val="1"/>
      <w:numFmt w:val="bullet"/>
      <w:lvlText w:val="o"/>
      <w:lvlJc w:val="left"/>
      <w:pPr>
        <w:ind w:left="3600" w:hanging="360"/>
      </w:pPr>
      <w:rPr>
        <w:rFonts w:ascii="Courier New" w:hAnsi="Courier New" w:hint="default"/>
      </w:rPr>
    </w:lvl>
    <w:lvl w:ilvl="5" w:tplc="2A94ED38" w:tentative="1">
      <w:start w:val="1"/>
      <w:numFmt w:val="bullet"/>
      <w:lvlText w:val=""/>
      <w:lvlJc w:val="left"/>
      <w:pPr>
        <w:ind w:left="4320" w:hanging="360"/>
      </w:pPr>
      <w:rPr>
        <w:rFonts w:ascii="Wingdings" w:hAnsi="Wingdings" w:hint="default"/>
      </w:rPr>
    </w:lvl>
    <w:lvl w:ilvl="6" w:tplc="45B804B0" w:tentative="1">
      <w:start w:val="1"/>
      <w:numFmt w:val="bullet"/>
      <w:lvlText w:val=""/>
      <w:lvlJc w:val="left"/>
      <w:pPr>
        <w:ind w:left="5040" w:hanging="360"/>
      </w:pPr>
      <w:rPr>
        <w:rFonts w:ascii="Symbol" w:hAnsi="Symbol" w:hint="default"/>
      </w:rPr>
    </w:lvl>
    <w:lvl w:ilvl="7" w:tplc="1A9C47A8" w:tentative="1">
      <w:start w:val="1"/>
      <w:numFmt w:val="bullet"/>
      <w:lvlText w:val="o"/>
      <w:lvlJc w:val="left"/>
      <w:pPr>
        <w:ind w:left="5760" w:hanging="360"/>
      </w:pPr>
      <w:rPr>
        <w:rFonts w:ascii="Courier New" w:hAnsi="Courier New" w:hint="default"/>
      </w:rPr>
    </w:lvl>
    <w:lvl w:ilvl="8" w:tplc="5382047C" w:tentative="1">
      <w:start w:val="1"/>
      <w:numFmt w:val="bullet"/>
      <w:lvlText w:val=""/>
      <w:lvlJc w:val="left"/>
      <w:pPr>
        <w:ind w:left="6480" w:hanging="360"/>
      </w:pPr>
      <w:rPr>
        <w:rFonts w:ascii="Wingdings" w:hAnsi="Wingdings" w:hint="default"/>
      </w:rPr>
    </w:lvl>
  </w:abstractNum>
  <w:abstractNum w:abstractNumId="54" w15:restartNumberingAfterBreak="0">
    <w:nsid w:val="4C2B616F"/>
    <w:multiLevelType w:val="multilevel"/>
    <w:tmpl w:val="5F268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4C3126B8"/>
    <w:multiLevelType w:val="hybridMultilevel"/>
    <w:tmpl w:val="2A5219B4"/>
    <w:lvl w:ilvl="0" w:tplc="0F38521E">
      <w:start w:val="1"/>
      <w:numFmt w:val="bullet"/>
      <w:lvlText w:val=""/>
      <w:lvlJc w:val="left"/>
      <w:pPr>
        <w:ind w:left="720" w:hanging="360"/>
      </w:pPr>
      <w:rPr>
        <w:rFonts w:ascii="Symbol" w:hAnsi="Symbol" w:hint="default"/>
      </w:rPr>
    </w:lvl>
    <w:lvl w:ilvl="1" w:tplc="CE2ABDA0" w:tentative="1">
      <w:start w:val="1"/>
      <w:numFmt w:val="bullet"/>
      <w:lvlText w:val="o"/>
      <w:lvlJc w:val="left"/>
      <w:pPr>
        <w:ind w:left="1440" w:hanging="360"/>
      </w:pPr>
      <w:rPr>
        <w:rFonts w:ascii="Courier New" w:hAnsi="Courier New" w:hint="default"/>
      </w:rPr>
    </w:lvl>
    <w:lvl w:ilvl="2" w:tplc="46AEE704" w:tentative="1">
      <w:start w:val="1"/>
      <w:numFmt w:val="bullet"/>
      <w:lvlText w:val=""/>
      <w:lvlJc w:val="left"/>
      <w:pPr>
        <w:ind w:left="2160" w:hanging="360"/>
      </w:pPr>
      <w:rPr>
        <w:rFonts w:ascii="Wingdings" w:hAnsi="Wingdings" w:hint="default"/>
      </w:rPr>
    </w:lvl>
    <w:lvl w:ilvl="3" w:tplc="3E862E1E" w:tentative="1">
      <w:start w:val="1"/>
      <w:numFmt w:val="bullet"/>
      <w:lvlText w:val=""/>
      <w:lvlJc w:val="left"/>
      <w:pPr>
        <w:ind w:left="2880" w:hanging="360"/>
      </w:pPr>
      <w:rPr>
        <w:rFonts w:ascii="Symbol" w:hAnsi="Symbol" w:hint="default"/>
      </w:rPr>
    </w:lvl>
    <w:lvl w:ilvl="4" w:tplc="C15EC59A" w:tentative="1">
      <w:start w:val="1"/>
      <w:numFmt w:val="bullet"/>
      <w:lvlText w:val="o"/>
      <w:lvlJc w:val="left"/>
      <w:pPr>
        <w:ind w:left="3600" w:hanging="360"/>
      </w:pPr>
      <w:rPr>
        <w:rFonts w:ascii="Courier New" w:hAnsi="Courier New" w:hint="default"/>
      </w:rPr>
    </w:lvl>
    <w:lvl w:ilvl="5" w:tplc="3D660120" w:tentative="1">
      <w:start w:val="1"/>
      <w:numFmt w:val="bullet"/>
      <w:lvlText w:val=""/>
      <w:lvlJc w:val="left"/>
      <w:pPr>
        <w:ind w:left="4320" w:hanging="360"/>
      </w:pPr>
      <w:rPr>
        <w:rFonts w:ascii="Wingdings" w:hAnsi="Wingdings" w:hint="default"/>
      </w:rPr>
    </w:lvl>
    <w:lvl w:ilvl="6" w:tplc="7FD209AE" w:tentative="1">
      <w:start w:val="1"/>
      <w:numFmt w:val="bullet"/>
      <w:lvlText w:val=""/>
      <w:lvlJc w:val="left"/>
      <w:pPr>
        <w:ind w:left="5040" w:hanging="360"/>
      </w:pPr>
      <w:rPr>
        <w:rFonts w:ascii="Symbol" w:hAnsi="Symbol" w:hint="default"/>
      </w:rPr>
    </w:lvl>
    <w:lvl w:ilvl="7" w:tplc="9A3C6694" w:tentative="1">
      <w:start w:val="1"/>
      <w:numFmt w:val="bullet"/>
      <w:lvlText w:val="o"/>
      <w:lvlJc w:val="left"/>
      <w:pPr>
        <w:ind w:left="5760" w:hanging="360"/>
      </w:pPr>
      <w:rPr>
        <w:rFonts w:ascii="Courier New" w:hAnsi="Courier New" w:hint="default"/>
      </w:rPr>
    </w:lvl>
    <w:lvl w:ilvl="8" w:tplc="C1906846" w:tentative="1">
      <w:start w:val="1"/>
      <w:numFmt w:val="bullet"/>
      <w:lvlText w:val=""/>
      <w:lvlJc w:val="left"/>
      <w:pPr>
        <w:ind w:left="6480" w:hanging="360"/>
      </w:pPr>
      <w:rPr>
        <w:rFonts w:ascii="Wingdings" w:hAnsi="Wingdings" w:hint="default"/>
      </w:rPr>
    </w:lvl>
  </w:abstractNum>
  <w:abstractNum w:abstractNumId="56" w15:restartNumberingAfterBreak="0">
    <w:nsid w:val="4E1A63DF"/>
    <w:multiLevelType w:val="multilevel"/>
    <w:tmpl w:val="302EE110"/>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7" w15:restartNumberingAfterBreak="0">
    <w:nsid w:val="4E1A982C"/>
    <w:multiLevelType w:val="multilevel"/>
    <w:tmpl w:val="2DF2084C"/>
    <w:name w:val="ListBulletNumbering"/>
    <w:lvl w:ilvl="0">
      <w:start w:val="1"/>
      <w:numFmt w:val="bullet"/>
      <w:lvlText w:val=""/>
      <w:lvlJc w:val="left"/>
      <w:pPr>
        <w:tabs>
          <w:tab w:val="num" w:pos="454"/>
        </w:tabs>
        <w:ind w:left="454" w:hanging="454"/>
      </w:pPr>
      <w:rPr>
        <w:rFonts w:ascii="Symbol" w:hAnsi="Symbol"/>
      </w:rPr>
    </w:lvl>
    <w:lvl w:ilvl="1">
      <w:start w:val="1"/>
      <w:numFmt w:val="bullet"/>
      <w:pStyle w:val="ListBulletLevel2"/>
      <w:lvlText w:val=""/>
      <w:lvlJc w:val="left"/>
      <w:pPr>
        <w:tabs>
          <w:tab w:val="num" w:pos="907"/>
        </w:tabs>
        <w:ind w:left="907" w:hanging="453"/>
      </w:pPr>
      <w:rPr>
        <w:rFonts w:ascii="Symbol" w:hAnsi="Symbol"/>
      </w:rPr>
    </w:lvl>
    <w:lvl w:ilvl="2">
      <w:start w:val="1"/>
      <w:numFmt w:val="bullet"/>
      <w:pStyle w:val="ListBulletLevel3"/>
      <w:lvlText w:val=""/>
      <w:lvlJc w:val="left"/>
      <w:pPr>
        <w:tabs>
          <w:tab w:val="num" w:pos="1361"/>
        </w:tabs>
        <w:ind w:left="1361" w:hanging="454"/>
      </w:pPr>
      <w:rPr>
        <w:rFonts w:ascii="Symbol" w:hAnsi="Symbol"/>
      </w:rPr>
    </w:lvl>
    <w:lvl w:ilvl="3">
      <w:start w:val="1"/>
      <w:numFmt w:val="bullet"/>
      <w:pStyle w:val="ListBullet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8" w15:restartNumberingAfterBreak="0">
    <w:nsid w:val="4FC87CFA"/>
    <w:multiLevelType w:val="hybridMultilevel"/>
    <w:tmpl w:val="A8E028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50366A8B"/>
    <w:multiLevelType w:val="hybridMultilevel"/>
    <w:tmpl w:val="63CCEF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5072619B"/>
    <w:multiLevelType w:val="multilevel"/>
    <w:tmpl w:val="3230B034"/>
    <w:name w:val="ListDashNumbering"/>
    <w:lvl w:ilvl="0">
      <w:start w:val="1"/>
      <w:numFmt w:val="bullet"/>
      <w:pStyle w:val="ListDash"/>
      <w:lvlText w:val="–"/>
      <w:lvlJc w:val="left"/>
      <w:pPr>
        <w:tabs>
          <w:tab w:val="num" w:pos="454"/>
        </w:tabs>
        <w:ind w:left="454" w:hanging="454"/>
      </w:pPr>
      <w:rPr>
        <w:rFonts w:ascii="Times New Roman" w:hAnsi="Times New Roman"/>
      </w:rPr>
    </w:lvl>
    <w:lvl w:ilvl="1">
      <w:start w:val="1"/>
      <w:numFmt w:val="bullet"/>
      <w:pStyle w:val="ListDashLevel2"/>
      <w:lvlText w:val="–"/>
      <w:lvlJc w:val="left"/>
      <w:pPr>
        <w:tabs>
          <w:tab w:val="num" w:pos="907"/>
        </w:tabs>
        <w:ind w:left="907" w:hanging="453"/>
      </w:pPr>
      <w:rPr>
        <w:rFonts w:ascii="Times New Roman" w:hAnsi="Times New Roman"/>
      </w:rPr>
    </w:lvl>
    <w:lvl w:ilvl="2">
      <w:start w:val="1"/>
      <w:numFmt w:val="bullet"/>
      <w:pStyle w:val="ListDashLevel3"/>
      <w:lvlText w:val="–"/>
      <w:lvlJc w:val="left"/>
      <w:pPr>
        <w:tabs>
          <w:tab w:val="num" w:pos="1361"/>
        </w:tabs>
        <w:ind w:left="1361" w:hanging="454"/>
      </w:pPr>
      <w:rPr>
        <w:rFonts w:ascii="Times New Roman" w:hAnsi="Times New Roman"/>
      </w:rPr>
    </w:lvl>
    <w:lvl w:ilvl="3">
      <w:start w:val="1"/>
      <w:numFmt w:val="bullet"/>
      <w:pStyle w:val="ListDashLevel4"/>
      <w:lvlText w:val="–"/>
      <w:lvlJc w:val="left"/>
      <w:pPr>
        <w:tabs>
          <w:tab w:val="num" w:pos="1814"/>
        </w:tabs>
        <w:ind w:left="1814" w:hanging="45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1" w15:restartNumberingAfterBreak="0">
    <w:nsid w:val="50729B52"/>
    <w:multiLevelType w:val="multilevel"/>
    <w:tmpl w:val="D5D4AFF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2" w15:restartNumberingAfterBreak="0">
    <w:nsid w:val="52D21261"/>
    <w:multiLevelType w:val="hybridMultilevel"/>
    <w:tmpl w:val="73AE7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7B913C7"/>
    <w:multiLevelType w:val="hybridMultilevel"/>
    <w:tmpl w:val="218EBFAA"/>
    <w:lvl w:ilvl="0" w:tplc="25126F72">
      <w:start w:val="1"/>
      <w:numFmt w:val="bullet"/>
      <w:lvlText w:val=""/>
      <w:lvlJc w:val="left"/>
      <w:pPr>
        <w:ind w:left="720" w:hanging="360"/>
      </w:pPr>
      <w:rPr>
        <w:rFonts w:ascii="Symbol" w:hAnsi="Symbol" w:hint="default"/>
      </w:rPr>
    </w:lvl>
    <w:lvl w:ilvl="1" w:tplc="02BE7132" w:tentative="1">
      <w:start w:val="1"/>
      <w:numFmt w:val="bullet"/>
      <w:lvlText w:val="o"/>
      <w:lvlJc w:val="left"/>
      <w:pPr>
        <w:ind w:left="1440" w:hanging="360"/>
      </w:pPr>
      <w:rPr>
        <w:rFonts w:ascii="Courier New" w:hAnsi="Courier New" w:hint="default"/>
      </w:rPr>
    </w:lvl>
    <w:lvl w:ilvl="2" w:tplc="221CD400" w:tentative="1">
      <w:start w:val="1"/>
      <w:numFmt w:val="bullet"/>
      <w:lvlText w:val=""/>
      <w:lvlJc w:val="left"/>
      <w:pPr>
        <w:ind w:left="2160" w:hanging="360"/>
      </w:pPr>
      <w:rPr>
        <w:rFonts w:ascii="Wingdings" w:hAnsi="Wingdings" w:hint="default"/>
      </w:rPr>
    </w:lvl>
    <w:lvl w:ilvl="3" w:tplc="95D8E6B6" w:tentative="1">
      <w:start w:val="1"/>
      <w:numFmt w:val="bullet"/>
      <w:lvlText w:val=""/>
      <w:lvlJc w:val="left"/>
      <w:pPr>
        <w:ind w:left="2880" w:hanging="360"/>
      </w:pPr>
      <w:rPr>
        <w:rFonts w:ascii="Symbol" w:hAnsi="Symbol" w:hint="default"/>
      </w:rPr>
    </w:lvl>
    <w:lvl w:ilvl="4" w:tplc="885CD220" w:tentative="1">
      <w:start w:val="1"/>
      <w:numFmt w:val="bullet"/>
      <w:lvlText w:val="o"/>
      <w:lvlJc w:val="left"/>
      <w:pPr>
        <w:ind w:left="3600" w:hanging="360"/>
      </w:pPr>
      <w:rPr>
        <w:rFonts w:ascii="Courier New" w:hAnsi="Courier New" w:hint="default"/>
      </w:rPr>
    </w:lvl>
    <w:lvl w:ilvl="5" w:tplc="C23886D6" w:tentative="1">
      <w:start w:val="1"/>
      <w:numFmt w:val="bullet"/>
      <w:lvlText w:val=""/>
      <w:lvlJc w:val="left"/>
      <w:pPr>
        <w:ind w:left="4320" w:hanging="360"/>
      </w:pPr>
      <w:rPr>
        <w:rFonts w:ascii="Wingdings" w:hAnsi="Wingdings" w:hint="default"/>
      </w:rPr>
    </w:lvl>
    <w:lvl w:ilvl="6" w:tplc="553EA9FE" w:tentative="1">
      <w:start w:val="1"/>
      <w:numFmt w:val="bullet"/>
      <w:lvlText w:val=""/>
      <w:lvlJc w:val="left"/>
      <w:pPr>
        <w:ind w:left="5040" w:hanging="360"/>
      </w:pPr>
      <w:rPr>
        <w:rFonts w:ascii="Symbol" w:hAnsi="Symbol" w:hint="default"/>
      </w:rPr>
    </w:lvl>
    <w:lvl w:ilvl="7" w:tplc="F6A23CC8" w:tentative="1">
      <w:start w:val="1"/>
      <w:numFmt w:val="bullet"/>
      <w:lvlText w:val="o"/>
      <w:lvlJc w:val="left"/>
      <w:pPr>
        <w:ind w:left="5760" w:hanging="360"/>
      </w:pPr>
      <w:rPr>
        <w:rFonts w:ascii="Courier New" w:hAnsi="Courier New" w:hint="default"/>
      </w:rPr>
    </w:lvl>
    <w:lvl w:ilvl="8" w:tplc="3628EE84" w:tentative="1">
      <w:start w:val="1"/>
      <w:numFmt w:val="bullet"/>
      <w:lvlText w:val=""/>
      <w:lvlJc w:val="left"/>
      <w:pPr>
        <w:ind w:left="6480" w:hanging="360"/>
      </w:pPr>
      <w:rPr>
        <w:rFonts w:ascii="Wingdings" w:hAnsi="Wingdings" w:hint="default"/>
      </w:rPr>
    </w:lvl>
  </w:abstractNum>
  <w:abstractNum w:abstractNumId="64" w15:restartNumberingAfterBreak="0">
    <w:nsid w:val="59FD04B0"/>
    <w:multiLevelType w:val="hybridMultilevel"/>
    <w:tmpl w:val="AA7AA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AB220AA"/>
    <w:multiLevelType w:val="hybridMultilevel"/>
    <w:tmpl w:val="BD9A2C1A"/>
    <w:lvl w:ilvl="0" w:tplc="716EEBFC">
      <w:start w:val="2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5B840E40"/>
    <w:multiLevelType w:val="multilevel"/>
    <w:tmpl w:val="B0D45B8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67" w15:restartNumberingAfterBreak="0">
    <w:nsid w:val="5E3D1B5D"/>
    <w:multiLevelType w:val="hybridMultilevel"/>
    <w:tmpl w:val="E76CDE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5E7E479F"/>
    <w:multiLevelType w:val="hybridMultilevel"/>
    <w:tmpl w:val="E4842D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5F86527A"/>
    <w:multiLevelType w:val="hybridMultilevel"/>
    <w:tmpl w:val="E56031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71" w15:restartNumberingAfterBreak="0">
    <w:nsid w:val="609A3FB3"/>
    <w:multiLevelType w:val="multilevel"/>
    <w:tmpl w:val="D4C08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2C97C50"/>
    <w:multiLevelType w:val="hybridMultilevel"/>
    <w:tmpl w:val="C2E8BE56"/>
    <w:lvl w:ilvl="0" w:tplc="E974AF3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3" w15:restartNumberingAfterBreak="0">
    <w:nsid w:val="68C058FA"/>
    <w:multiLevelType w:val="hybridMultilevel"/>
    <w:tmpl w:val="65A0335C"/>
    <w:lvl w:ilvl="0" w:tplc="3A425408">
      <w:start w:val="1"/>
      <w:numFmt w:val="bullet"/>
      <w:lvlText w:val=""/>
      <w:lvlJc w:val="left"/>
      <w:pPr>
        <w:ind w:left="720" w:hanging="360"/>
      </w:pPr>
      <w:rPr>
        <w:rFonts w:ascii="Symbol" w:hAnsi="Symbol" w:hint="default"/>
      </w:rPr>
    </w:lvl>
    <w:lvl w:ilvl="1" w:tplc="205A76AE" w:tentative="1">
      <w:start w:val="1"/>
      <w:numFmt w:val="bullet"/>
      <w:lvlText w:val="o"/>
      <w:lvlJc w:val="left"/>
      <w:pPr>
        <w:ind w:left="1440" w:hanging="360"/>
      </w:pPr>
      <w:rPr>
        <w:rFonts w:ascii="Courier New" w:hAnsi="Courier New" w:hint="default"/>
      </w:rPr>
    </w:lvl>
    <w:lvl w:ilvl="2" w:tplc="6F603854" w:tentative="1">
      <w:start w:val="1"/>
      <w:numFmt w:val="bullet"/>
      <w:lvlText w:val=""/>
      <w:lvlJc w:val="left"/>
      <w:pPr>
        <w:ind w:left="2160" w:hanging="360"/>
      </w:pPr>
      <w:rPr>
        <w:rFonts w:ascii="Wingdings" w:hAnsi="Wingdings" w:hint="default"/>
      </w:rPr>
    </w:lvl>
    <w:lvl w:ilvl="3" w:tplc="465483AA" w:tentative="1">
      <w:start w:val="1"/>
      <w:numFmt w:val="bullet"/>
      <w:lvlText w:val=""/>
      <w:lvlJc w:val="left"/>
      <w:pPr>
        <w:ind w:left="2880" w:hanging="360"/>
      </w:pPr>
      <w:rPr>
        <w:rFonts w:ascii="Symbol" w:hAnsi="Symbol" w:hint="default"/>
      </w:rPr>
    </w:lvl>
    <w:lvl w:ilvl="4" w:tplc="A0FA423E" w:tentative="1">
      <w:start w:val="1"/>
      <w:numFmt w:val="bullet"/>
      <w:lvlText w:val="o"/>
      <w:lvlJc w:val="left"/>
      <w:pPr>
        <w:ind w:left="3600" w:hanging="360"/>
      </w:pPr>
      <w:rPr>
        <w:rFonts w:ascii="Courier New" w:hAnsi="Courier New" w:hint="default"/>
      </w:rPr>
    </w:lvl>
    <w:lvl w:ilvl="5" w:tplc="D9F4E45C" w:tentative="1">
      <w:start w:val="1"/>
      <w:numFmt w:val="bullet"/>
      <w:lvlText w:val=""/>
      <w:lvlJc w:val="left"/>
      <w:pPr>
        <w:ind w:left="4320" w:hanging="360"/>
      </w:pPr>
      <w:rPr>
        <w:rFonts w:ascii="Wingdings" w:hAnsi="Wingdings" w:hint="default"/>
      </w:rPr>
    </w:lvl>
    <w:lvl w:ilvl="6" w:tplc="5A7E12CA" w:tentative="1">
      <w:start w:val="1"/>
      <w:numFmt w:val="bullet"/>
      <w:lvlText w:val=""/>
      <w:lvlJc w:val="left"/>
      <w:pPr>
        <w:ind w:left="5040" w:hanging="360"/>
      </w:pPr>
      <w:rPr>
        <w:rFonts w:ascii="Symbol" w:hAnsi="Symbol" w:hint="default"/>
      </w:rPr>
    </w:lvl>
    <w:lvl w:ilvl="7" w:tplc="397C91B2" w:tentative="1">
      <w:start w:val="1"/>
      <w:numFmt w:val="bullet"/>
      <w:lvlText w:val="o"/>
      <w:lvlJc w:val="left"/>
      <w:pPr>
        <w:ind w:left="5760" w:hanging="360"/>
      </w:pPr>
      <w:rPr>
        <w:rFonts w:ascii="Courier New" w:hAnsi="Courier New" w:hint="default"/>
      </w:rPr>
    </w:lvl>
    <w:lvl w:ilvl="8" w:tplc="E58CC956" w:tentative="1">
      <w:start w:val="1"/>
      <w:numFmt w:val="bullet"/>
      <w:lvlText w:val=""/>
      <w:lvlJc w:val="left"/>
      <w:pPr>
        <w:ind w:left="6480" w:hanging="360"/>
      </w:pPr>
      <w:rPr>
        <w:rFonts w:ascii="Wingdings" w:hAnsi="Wingdings" w:hint="default"/>
      </w:rPr>
    </w:lvl>
  </w:abstractNum>
  <w:abstractNum w:abstractNumId="74" w15:restartNumberingAfterBreak="0">
    <w:nsid w:val="72E6371B"/>
    <w:multiLevelType w:val="multilevel"/>
    <w:tmpl w:val="94D2D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4978DB7"/>
    <w:multiLevelType w:val="hybridMultilevel"/>
    <w:tmpl w:val="FFFFFFFF"/>
    <w:lvl w:ilvl="0" w:tplc="F81AA188">
      <w:start w:val="1"/>
      <w:numFmt w:val="decimal"/>
      <w:lvlText w:val="%1."/>
      <w:lvlJc w:val="left"/>
      <w:pPr>
        <w:ind w:left="720" w:hanging="360"/>
      </w:pPr>
    </w:lvl>
    <w:lvl w:ilvl="1" w:tplc="4A6229A0">
      <w:start w:val="1"/>
      <w:numFmt w:val="lowerLetter"/>
      <w:lvlText w:val="%2."/>
      <w:lvlJc w:val="left"/>
      <w:pPr>
        <w:ind w:left="1440" w:hanging="360"/>
      </w:pPr>
    </w:lvl>
    <w:lvl w:ilvl="2" w:tplc="4AA404BE">
      <w:start w:val="1"/>
      <w:numFmt w:val="lowerRoman"/>
      <w:lvlText w:val="%3."/>
      <w:lvlJc w:val="right"/>
      <w:pPr>
        <w:ind w:left="2160" w:hanging="180"/>
      </w:pPr>
    </w:lvl>
    <w:lvl w:ilvl="3" w:tplc="47E6A3EA">
      <w:start w:val="1"/>
      <w:numFmt w:val="decimal"/>
      <w:lvlText w:val="%4."/>
      <w:lvlJc w:val="left"/>
      <w:pPr>
        <w:ind w:left="2880" w:hanging="360"/>
      </w:pPr>
    </w:lvl>
    <w:lvl w:ilvl="4" w:tplc="FB20C4BA">
      <w:start w:val="1"/>
      <w:numFmt w:val="lowerLetter"/>
      <w:lvlText w:val="%5."/>
      <w:lvlJc w:val="left"/>
      <w:pPr>
        <w:ind w:left="3600" w:hanging="360"/>
      </w:pPr>
    </w:lvl>
    <w:lvl w:ilvl="5" w:tplc="BF26BB4C">
      <w:start w:val="1"/>
      <w:numFmt w:val="lowerRoman"/>
      <w:lvlText w:val="%6."/>
      <w:lvlJc w:val="right"/>
      <w:pPr>
        <w:ind w:left="4320" w:hanging="180"/>
      </w:pPr>
    </w:lvl>
    <w:lvl w:ilvl="6" w:tplc="FF120ABA">
      <w:start w:val="1"/>
      <w:numFmt w:val="decimal"/>
      <w:lvlText w:val="%7."/>
      <w:lvlJc w:val="left"/>
      <w:pPr>
        <w:ind w:left="5040" w:hanging="360"/>
      </w:pPr>
    </w:lvl>
    <w:lvl w:ilvl="7" w:tplc="FE9EB976">
      <w:start w:val="1"/>
      <w:numFmt w:val="lowerLetter"/>
      <w:lvlText w:val="%8."/>
      <w:lvlJc w:val="left"/>
      <w:pPr>
        <w:ind w:left="5760" w:hanging="360"/>
      </w:pPr>
    </w:lvl>
    <w:lvl w:ilvl="8" w:tplc="6F300004">
      <w:start w:val="1"/>
      <w:numFmt w:val="lowerRoman"/>
      <w:lvlText w:val="%9."/>
      <w:lvlJc w:val="right"/>
      <w:pPr>
        <w:ind w:left="6480" w:hanging="180"/>
      </w:pPr>
    </w:lvl>
  </w:abstractNum>
  <w:abstractNum w:abstractNumId="76" w15:restartNumberingAfterBreak="0">
    <w:nsid w:val="75D120AB"/>
    <w:multiLevelType w:val="multilevel"/>
    <w:tmpl w:val="161803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9FE67F8"/>
    <w:multiLevelType w:val="hybridMultilevel"/>
    <w:tmpl w:val="E098A9C8"/>
    <w:lvl w:ilvl="0" w:tplc="C0EEE9A6">
      <w:start w:val="1"/>
      <w:numFmt w:val="bullet"/>
      <w:lvlText w:val=""/>
      <w:lvlJc w:val="left"/>
      <w:pPr>
        <w:ind w:left="720" w:hanging="360"/>
      </w:pPr>
      <w:rPr>
        <w:rFonts w:ascii="Symbol" w:hAnsi="Symbol" w:hint="default"/>
      </w:rPr>
    </w:lvl>
    <w:lvl w:ilvl="1" w:tplc="111CA85A" w:tentative="1">
      <w:start w:val="1"/>
      <w:numFmt w:val="bullet"/>
      <w:lvlText w:val="o"/>
      <w:lvlJc w:val="left"/>
      <w:pPr>
        <w:ind w:left="1440" w:hanging="360"/>
      </w:pPr>
      <w:rPr>
        <w:rFonts w:ascii="Courier New" w:hAnsi="Courier New" w:hint="default"/>
      </w:rPr>
    </w:lvl>
    <w:lvl w:ilvl="2" w:tplc="FF12E76A" w:tentative="1">
      <w:start w:val="1"/>
      <w:numFmt w:val="bullet"/>
      <w:lvlText w:val=""/>
      <w:lvlJc w:val="left"/>
      <w:pPr>
        <w:ind w:left="2160" w:hanging="360"/>
      </w:pPr>
      <w:rPr>
        <w:rFonts w:ascii="Wingdings" w:hAnsi="Wingdings" w:hint="default"/>
      </w:rPr>
    </w:lvl>
    <w:lvl w:ilvl="3" w:tplc="860ABCE0" w:tentative="1">
      <w:start w:val="1"/>
      <w:numFmt w:val="bullet"/>
      <w:lvlText w:val=""/>
      <w:lvlJc w:val="left"/>
      <w:pPr>
        <w:ind w:left="2880" w:hanging="360"/>
      </w:pPr>
      <w:rPr>
        <w:rFonts w:ascii="Symbol" w:hAnsi="Symbol" w:hint="default"/>
      </w:rPr>
    </w:lvl>
    <w:lvl w:ilvl="4" w:tplc="7C44DE1E" w:tentative="1">
      <w:start w:val="1"/>
      <w:numFmt w:val="bullet"/>
      <w:lvlText w:val="o"/>
      <w:lvlJc w:val="left"/>
      <w:pPr>
        <w:ind w:left="3600" w:hanging="360"/>
      </w:pPr>
      <w:rPr>
        <w:rFonts w:ascii="Courier New" w:hAnsi="Courier New" w:hint="default"/>
      </w:rPr>
    </w:lvl>
    <w:lvl w:ilvl="5" w:tplc="E4F8B97A" w:tentative="1">
      <w:start w:val="1"/>
      <w:numFmt w:val="bullet"/>
      <w:lvlText w:val=""/>
      <w:lvlJc w:val="left"/>
      <w:pPr>
        <w:ind w:left="4320" w:hanging="360"/>
      </w:pPr>
      <w:rPr>
        <w:rFonts w:ascii="Wingdings" w:hAnsi="Wingdings" w:hint="default"/>
      </w:rPr>
    </w:lvl>
    <w:lvl w:ilvl="6" w:tplc="32FE8492" w:tentative="1">
      <w:start w:val="1"/>
      <w:numFmt w:val="bullet"/>
      <w:lvlText w:val=""/>
      <w:lvlJc w:val="left"/>
      <w:pPr>
        <w:ind w:left="5040" w:hanging="360"/>
      </w:pPr>
      <w:rPr>
        <w:rFonts w:ascii="Symbol" w:hAnsi="Symbol" w:hint="default"/>
      </w:rPr>
    </w:lvl>
    <w:lvl w:ilvl="7" w:tplc="4EBA9386" w:tentative="1">
      <w:start w:val="1"/>
      <w:numFmt w:val="bullet"/>
      <w:lvlText w:val="o"/>
      <w:lvlJc w:val="left"/>
      <w:pPr>
        <w:ind w:left="5760" w:hanging="360"/>
      </w:pPr>
      <w:rPr>
        <w:rFonts w:ascii="Courier New" w:hAnsi="Courier New" w:hint="default"/>
      </w:rPr>
    </w:lvl>
    <w:lvl w:ilvl="8" w:tplc="1BB688CC" w:tentative="1">
      <w:start w:val="1"/>
      <w:numFmt w:val="bullet"/>
      <w:lvlText w:val=""/>
      <w:lvlJc w:val="left"/>
      <w:pPr>
        <w:ind w:left="6480" w:hanging="360"/>
      </w:pPr>
      <w:rPr>
        <w:rFonts w:ascii="Wingdings" w:hAnsi="Wingdings" w:hint="default"/>
      </w:rPr>
    </w:lvl>
  </w:abstractNum>
  <w:abstractNum w:abstractNumId="78" w15:restartNumberingAfterBreak="0">
    <w:nsid w:val="7B925508"/>
    <w:multiLevelType w:val="hybridMultilevel"/>
    <w:tmpl w:val="741257D4"/>
    <w:lvl w:ilvl="0" w:tplc="2F86AD26">
      <w:start w:val="1"/>
      <w:numFmt w:val="bullet"/>
      <w:lvlText w:val=""/>
      <w:lvlJc w:val="left"/>
      <w:pPr>
        <w:ind w:left="720" w:hanging="360"/>
      </w:pPr>
      <w:rPr>
        <w:rFonts w:ascii="Symbol" w:hAnsi="Symbol" w:hint="default"/>
      </w:rPr>
    </w:lvl>
    <w:lvl w:ilvl="1" w:tplc="14C649B0" w:tentative="1">
      <w:start w:val="1"/>
      <w:numFmt w:val="bullet"/>
      <w:lvlText w:val="o"/>
      <w:lvlJc w:val="left"/>
      <w:pPr>
        <w:ind w:left="1440" w:hanging="360"/>
      </w:pPr>
      <w:rPr>
        <w:rFonts w:ascii="Courier New" w:hAnsi="Courier New" w:hint="default"/>
      </w:rPr>
    </w:lvl>
    <w:lvl w:ilvl="2" w:tplc="41782946" w:tentative="1">
      <w:start w:val="1"/>
      <w:numFmt w:val="bullet"/>
      <w:lvlText w:val=""/>
      <w:lvlJc w:val="left"/>
      <w:pPr>
        <w:ind w:left="2160" w:hanging="360"/>
      </w:pPr>
      <w:rPr>
        <w:rFonts w:ascii="Wingdings" w:hAnsi="Wingdings" w:hint="default"/>
      </w:rPr>
    </w:lvl>
    <w:lvl w:ilvl="3" w:tplc="B78AC6D6" w:tentative="1">
      <w:start w:val="1"/>
      <w:numFmt w:val="bullet"/>
      <w:lvlText w:val=""/>
      <w:lvlJc w:val="left"/>
      <w:pPr>
        <w:ind w:left="2880" w:hanging="360"/>
      </w:pPr>
      <w:rPr>
        <w:rFonts w:ascii="Symbol" w:hAnsi="Symbol" w:hint="default"/>
      </w:rPr>
    </w:lvl>
    <w:lvl w:ilvl="4" w:tplc="AD46CFD4" w:tentative="1">
      <w:start w:val="1"/>
      <w:numFmt w:val="bullet"/>
      <w:lvlText w:val="o"/>
      <w:lvlJc w:val="left"/>
      <w:pPr>
        <w:ind w:left="3600" w:hanging="360"/>
      </w:pPr>
      <w:rPr>
        <w:rFonts w:ascii="Courier New" w:hAnsi="Courier New" w:hint="default"/>
      </w:rPr>
    </w:lvl>
    <w:lvl w:ilvl="5" w:tplc="9280A898" w:tentative="1">
      <w:start w:val="1"/>
      <w:numFmt w:val="bullet"/>
      <w:lvlText w:val=""/>
      <w:lvlJc w:val="left"/>
      <w:pPr>
        <w:ind w:left="4320" w:hanging="360"/>
      </w:pPr>
      <w:rPr>
        <w:rFonts w:ascii="Wingdings" w:hAnsi="Wingdings" w:hint="default"/>
      </w:rPr>
    </w:lvl>
    <w:lvl w:ilvl="6" w:tplc="64C8E4BA" w:tentative="1">
      <w:start w:val="1"/>
      <w:numFmt w:val="bullet"/>
      <w:lvlText w:val=""/>
      <w:lvlJc w:val="left"/>
      <w:pPr>
        <w:ind w:left="5040" w:hanging="360"/>
      </w:pPr>
      <w:rPr>
        <w:rFonts w:ascii="Symbol" w:hAnsi="Symbol" w:hint="default"/>
      </w:rPr>
    </w:lvl>
    <w:lvl w:ilvl="7" w:tplc="5A9C7FB2" w:tentative="1">
      <w:start w:val="1"/>
      <w:numFmt w:val="bullet"/>
      <w:lvlText w:val="o"/>
      <w:lvlJc w:val="left"/>
      <w:pPr>
        <w:ind w:left="5760" w:hanging="360"/>
      </w:pPr>
      <w:rPr>
        <w:rFonts w:ascii="Courier New" w:hAnsi="Courier New" w:hint="default"/>
      </w:rPr>
    </w:lvl>
    <w:lvl w:ilvl="8" w:tplc="5D2AA28E" w:tentative="1">
      <w:start w:val="1"/>
      <w:numFmt w:val="bullet"/>
      <w:lvlText w:val=""/>
      <w:lvlJc w:val="left"/>
      <w:pPr>
        <w:ind w:left="6480" w:hanging="360"/>
      </w:pPr>
      <w:rPr>
        <w:rFonts w:ascii="Wingdings" w:hAnsi="Wingdings" w:hint="default"/>
      </w:rPr>
    </w:lvl>
  </w:abstractNum>
  <w:abstractNum w:abstractNumId="79" w15:restartNumberingAfterBreak="0">
    <w:nsid w:val="7C48225D"/>
    <w:multiLevelType w:val="multilevel"/>
    <w:tmpl w:val="E48A2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81" w15:restartNumberingAfterBreak="0">
    <w:nsid w:val="7D6C654A"/>
    <w:multiLevelType w:val="multilevel"/>
    <w:tmpl w:val="2BD4E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DD76B8C"/>
    <w:multiLevelType w:val="multilevel"/>
    <w:tmpl w:val="58A42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F291659"/>
    <w:multiLevelType w:val="multilevel"/>
    <w:tmpl w:val="F80EE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7F605418"/>
    <w:multiLevelType w:val="multilevel"/>
    <w:tmpl w:val="C7A49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FF11D6E"/>
    <w:multiLevelType w:val="multilevel"/>
    <w:tmpl w:val="53703F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0"/>
  </w:num>
  <w:num w:numId="2">
    <w:abstractNumId w:val="49"/>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2"/>
  </w:num>
  <w:num w:numId="5">
    <w:abstractNumId w:val="26"/>
  </w:num>
  <w:num w:numId="6">
    <w:abstractNumId w:val="25"/>
  </w:num>
  <w:num w:numId="7">
    <w:abstractNumId w:val="15"/>
  </w:num>
  <w:num w:numId="8">
    <w:abstractNumId w:val="13"/>
  </w:num>
  <w:num w:numId="9">
    <w:abstractNumId w:val="78"/>
  </w:num>
  <w:num w:numId="10">
    <w:abstractNumId w:val="63"/>
  </w:num>
  <w:num w:numId="11">
    <w:abstractNumId w:val="53"/>
  </w:num>
  <w:num w:numId="12">
    <w:abstractNumId w:val="19"/>
  </w:num>
  <w:num w:numId="13">
    <w:abstractNumId w:val="6"/>
  </w:num>
  <w:num w:numId="14">
    <w:abstractNumId w:val="8"/>
  </w:num>
  <w:num w:numId="15">
    <w:abstractNumId w:val="64"/>
  </w:num>
  <w:num w:numId="16">
    <w:abstractNumId w:val="33"/>
  </w:num>
  <w:num w:numId="17">
    <w:abstractNumId w:val="20"/>
  </w:num>
  <w:num w:numId="18">
    <w:abstractNumId w:val="23"/>
  </w:num>
  <w:num w:numId="19">
    <w:abstractNumId w:val="62"/>
  </w:num>
  <w:num w:numId="20">
    <w:abstractNumId w:val="39"/>
  </w:num>
  <w:num w:numId="21">
    <w:abstractNumId w:val="9"/>
  </w:num>
  <w:num w:numId="22">
    <w:abstractNumId w:val="11"/>
  </w:num>
  <w:num w:numId="23">
    <w:abstractNumId w:val="24"/>
  </w:num>
  <w:num w:numId="24">
    <w:abstractNumId w:val="74"/>
  </w:num>
  <w:num w:numId="25">
    <w:abstractNumId w:val="85"/>
  </w:num>
  <w:num w:numId="26">
    <w:abstractNumId w:val="21"/>
  </w:num>
  <w:num w:numId="27">
    <w:abstractNumId w:val="5"/>
  </w:num>
  <w:num w:numId="28">
    <w:abstractNumId w:val="12"/>
  </w:num>
  <w:num w:numId="29">
    <w:abstractNumId w:val="73"/>
  </w:num>
  <w:num w:numId="30">
    <w:abstractNumId w:val="18"/>
  </w:num>
  <w:num w:numId="31">
    <w:abstractNumId w:val="76"/>
  </w:num>
  <w:num w:numId="32">
    <w:abstractNumId w:val="27"/>
  </w:num>
  <w:num w:numId="33">
    <w:abstractNumId w:val="81"/>
  </w:num>
  <w:num w:numId="34">
    <w:abstractNumId w:val="38"/>
  </w:num>
  <w:num w:numId="35">
    <w:abstractNumId w:val="50"/>
  </w:num>
  <w:num w:numId="36">
    <w:abstractNumId w:val="40"/>
  </w:num>
  <w:num w:numId="37">
    <w:abstractNumId w:val="41"/>
  </w:num>
  <w:num w:numId="38">
    <w:abstractNumId w:val="44"/>
  </w:num>
  <w:num w:numId="39">
    <w:abstractNumId w:val="42"/>
  </w:num>
  <w:num w:numId="40">
    <w:abstractNumId w:val="66"/>
  </w:num>
  <w:num w:numId="41">
    <w:abstractNumId w:val="28"/>
  </w:num>
  <w:num w:numId="42">
    <w:abstractNumId w:val="34"/>
  </w:num>
  <w:num w:numId="43">
    <w:abstractNumId w:val="16"/>
  </w:num>
  <w:num w:numId="44">
    <w:abstractNumId w:val="22"/>
  </w:num>
  <w:num w:numId="45">
    <w:abstractNumId w:val="30"/>
  </w:num>
  <w:num w:numId="46">
    <w:abstractNumId w:val="45"/>
  </w:num>
  <w:num w:numId="47">
    <w:abstractNumId w:val="82"/>
  </w:num>
  <w:num w:numId="48">
    <w:abstractNumId w:val="84"/>
  </w:num>
  <w:num w:numId="49">
    <w:abstractNumId w:val="32"/>
  </w:num>
  <w:num w:numId="50">
    <w:abstractNumId w:val="55"/>
  </w:num>
  <w:num w:numId="51">
    <w:abstractNumId w:val="75"/>
  </w:num>
  <w:num w:numId="52">
    <w:abstractNumId w:val="52"/>
  </w:num>
  <w:num w:numId="53">
    <w:abstractNumId w:val="80"/>
  </w:num>
  <w:num w:numId="54">
    <w:abstractNumId w:val="36"/>
  </w:num>
  <w:num w:numId="55">
    <w:abstractNumId w:val="35"/>
  </w:num>
  <w:num w:numId="56">
    <w:abstractNumId w:val="14"/>
  </w:num>
  <w:num w:numId="57">
    <w:abstractNumId w:val="61"/>
  </w:num>
  <w:num w:numId="58">
    <w:abstractNumId w:val="56"/>
  </w:num>
  <w:num w:numId="59">
    <w:abstractNumId w:val="60"/>
  </w:num>
  <w:num w:numId="60">
    <w:abstractNumId w:val="57"/>
  </w:num>
  <w:num w:numId="61">
    <w:abstractNumId w:val="0"/>
  </w:num>
  <w:num w:numId="62">
    <w:abstractNumId w:val="2"/>
  </w:num>
  <w:num w:numId="63">
    <w:abstractNumId w:val="1"/>
  </w:num>
  <w:num w:numId="64">
    <w:abstractNumId w:val="17"/>
  </w:num>
  <w:num w:numId="65">
    <w:abstractNumId w:val="79"/>
  </w:num>
  <w:num w:numId="66">
    <w:abstractNumId w:val="83"/>
  </w:num>
  <w:num w:numId="67">
    <w:abstractNumId w:val="7"/>
  </w:num>
  <w:num w:numId="68">
    <w:abstractNumId w:val="47"/>
  </w:num>
  <w:num w:numId="69">
    <w:abstractNumId w:val="31"/>
  </w:num>
  <w:num w:numId="70">
    <w:abstractNumId w:val="71"/>
  </w:num>
  <w:num w:numId="71">
    <w:abstractNumId w:val="46"/>
  </w:num>
  <w:num w:numId="72">
    <w:abstractNumId w:val="29"/>
  </w:num>
  <w:num w:numId="73">
    <w:abstractNumId w:val="54"/>
  </w:num>
  <w:num w:numId="74">
    <w:abstractNumId w:val="58"/>
  </w:num>
  <w:num w:numId="75">
    <w:abstractNumId w:val="48"/>
  </w:num>
  <w:num w:numId="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8"/>
  </w:num>
  <w:num w:numId="80">
    <w:abstractNumId w:val="65"/>
  </w:num>
  <w:num w:numId="8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3"/>
  </w:num>
  <w:num w:numId="83">
    <w:abstractNumId w:val="77"/>
  </w:num>
  <w:num w:numId="84">
    <w:abstractNumId w:val="43"/>
  </w:num>
  <w:num w:numId="85">
    <w:abstractNumId w:val="69"/>
  </w:num>
  <w:num w:numId="86">
    <w:abstractNumId w:val="51"/>
  </w:num>
  <w:num w:numId="87">
    <w:abstractNumId w:val="26"/>
  </w:num>
  <w:num w:numId="88">
    <w:abstractNumId w:val="26"/>
  </w:num>
  <w:num w:numId="89">
    <w:abstractNumId w:val="26"/>
  </w:num>
  <w:num w:numId="90">
    <w:abstractNumId w:val="26"/>
  </w:num>
  <w:num w:numId="91">
    <w:abstractNumId w:val="26"/>
  </w:num>
  <w:num w:numId="92">
    <w:abstractNumId w:val="26"/>
  </w:num>
  <w:num w:numId="93">
    <w:abstractNumId w:val="26"/>
  </w:num>
  <w:num w:numId="94">
    <w:abstractNumId w:val="26"/>
  </w:num>
  <w:num w:numId="95">
    <w:abstractNumId w:val="26"/>
  </w:num>
  <w:num w:numId="96">
    <w:abstractNumId w:val="26"/>
  </w:num>
  <w:num w:numId="97">
    <w:abstractNumId w:val="4"/>
  </w:num>
  <w:num w:numId="98">
    <w:abstractNumId w:val="67"/>
  </w:num>
  <w:num w:numId="99">
    <w:abstractNumId w:val="59"/>
  </w:num>
  <w:num w:numId="100">
    <w:abstractNumId w:val="37"/>
  </w:num>
  <w:num w:numId="101">
    <w:abstractNumId w:val="10"/>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4"/>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ACCOMPAGNANT.CP" w:val="Accompanying the document"/>
    <w:docVar w:name="LW_CORRIGENDUM" w:val="&lt;UNUSED&gt;"/>
    <w:docVar w:name="LW_COVERPAGE_EXISTS" w:val="True"/>
    <w:docVar w:name="LW_COVERPAGE_GUID" w:val="1AAA53E1-3836-4205-8C5C-B6AF6E4E04EA"/>
    <w:docVar w:name="LW_COVERPAGE_TYPE" w:val="1"/>
    <w:docVar w:name="LW_CROSSREFERENCE" w:val="{COM(2026) 504 final} - {SEC(2026) 504 final} - {SWD(2026) 505 final}"/>
    <w:docVar w:name="LW_DocType" w:val="NORMAL"/>
    <w:docVar w:name="LW_EMISSION" w:val="3.6.2026"/>
    <w:docVar w:name="LW_EMISSION_ISODATE" w:val="2026-06-03"/>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on a framework of measures for strengthening Europe's semiconductor ecosystem repealing Regulation (EU) 2023/1782 (Chips Act 2.0)_x000b__x000b_"/>
    <w:docVar w:name="LW_PART_NBR" w:val="2"/>
    <w:docVar w:name="LW_PART_NBR_TOTAL" w:val="3"/>
    <w:docVar w:name="LW_REF.INST.NEW" w:val="SWD"/>
    <w:docVar w:name="LW_REF.INST.NEW_ADOPTED" w:val="final"/>
    <w:docVar w:name="LW_REF.INST.NEW_TEXT" w:val="(2026) 50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IMPACT ASSESSMENT REPORT_x000b_"/>
    <w:docVar w:name="LW_TYPEACTEPRINCIPAL.CP" w:val="_x000b_Proposal for a Regulation of the European Parliament and of the Council "/>
    <w:docVar w:name="LwApiVersions" w:val="LW4CoDe 1.24.5.0; LW 9.2, Build 20251112"/>
  </w:docVars>
  <w:rsids>
    <w:rsidRoot w:val="006B087E"/>
    <w:rsid w:val="000007D6"/>
    <w:rsid w:val="00000B03"/>
    <w:rsid w:val="0000292A"/>
    <w:rsid w:val="00002C43"/>
    <w:rsid w:val="0000314C"/>
    <w:rsid w:val="00003C89"/>
    <w:rsid w:val="000047BA"/>
    <w:rsid w:val="00004ACE"/>
    <w:rsid w:val="00005489"/>
    <w:rsid w:val="000078BE"/>
    <w:rsid w:val="00007F40"/>
    <w:rsid w:val="00011336"/>
    <w:rsid w:val="00011BBC"/>
    <w:rsid w:val="000128C3"/>
    <w:rsid w:val="00015724"/>
    <w:rsid w:val="00015C97"/>
    <w:rsid w:val="00016DAE"/>
    <w:rsid w:val="00017030"/>
    <w:rsid w:val="00021E68"/>
    <w:rsid w:val="00021E73"/>
    <w:rsid w:val="00024126"/>
    <w:rsid w:val="00024F50"/>
    <w:rsid w:val="000258B4"/>
    <w:rsid w:val="00025A31"/>
    <w:rsid w:val="00026E7E"/>
    <w:rsid w:val="0003015E"/>
    <w:rsid w:val="00030D9E"/>
    <w:rsid w:val="00031327"/>
    <w:rsid w:val="00031A53"/>
    <w:rsid w:val="00031DF2"/>
    <w:rsid w:val="00031E3A"/>
    <w:rsid w:val="00032223"/>
    <w:rsid w:val="000328D1"/>
    <w:rsid w:val="00033A2C"/>
    <w:rsid w:val="00035887"/>
    <w:rsid w:val="00036C86"/>
    <w:rsid w:val="00040769"/>
    <w:rsid w:val="00040FA6"/>
    <w:rsid w:val="00042829"/>
    <w:rsid w:val="00042F3B"/>
    <w:rsid w:val="000441BE"/>
    <w:rsid w:val="000445F2"/>
    <w:rsid w:val="00044A9D"/>
    <w:rsid w:val="00046357"/>
    <w:rsid w:val="0005053A"/>
    <w:rsid w:val="000517E9"/>
    <w:rsid w:val="0005276B"/>
    <w:rsid w:val="00053164"/>
    <w:rsid w:val="00053D78"/>
    <w:rsid w:val="00053D94"/>
    <w:rsid w:val="0005786A"/>
    <w:rsid w:val="00060314"/>
    <w:rsid w:val="0006077B"/>
    <w:rsid w:val="0006230B"/>
    <w:rsid w:val="0006283F"/>
    <w:rsid w:val="00062B84"/>
    <w:rsid w:val="00062F2C"/>
    <w:rsid w:val="00063401"/>
    <w:rsid w:val="0006350C"/>
    <w:rsid w:val="000644A6"/>
    <w:rsid w:val="0006462F"/>
    <w:rsid w:val="0006571C"/>
    <w:rsid w:val="00066AA2"/>
    <w:rsid w:val="000673B9"/>
    <w:rsid w:val="00070197"/>
    <w:rsid w:val="00072136"/>
    <w:rsid w:val="00074610"/>
    <w:rsid w:val="00075810"/>
    <w:rsid w:val="00076CA2"/>
    <w:rsid w:val="00081357"/>
    <w:rsid w:val="000855AE"/>
    <w:rsid w:val="00085CCA"/>
    <w:rsid w:val="00086CCA"/>
    <w:rsid w:val="00087F58"/>
    <w:rsid w:val="00091930"/>
    <w:rsid w:val="00091B9F"/>
    <w:rsid w:val="00092651"/>
    <w:rsid w:val="00093B21"/>
    <w:rsid w:val="00093E19"/>
    <w:rsid w:val="00094EF0"/>
    <w:rsid w:val="000958AE"/>
    <w:rsid w:val="00096FE1"/>
    <w:rsid w:val="00097322"/>
    <w:rsid w:val="00097352"/>
    <w:rsid w:val="00097DC4"/>
    <w:rsid w:val="000A2746"/>
    <w:rsid w:val="000A3B21"/>
    <w:rsid w:val="000A3FF1"/>
    <w:rsid w:val="000A4DC5"/>
    <w:rsid w:val="000A5487"/>
    <w:rsid w:val="000A5BC5"/>
    <w:rsid w:val="000A6D84"/>
    <w:rsid w:val="000B03B2"/>
    <w:rsid w:val="000B1FAF"/>
    <w:rsid w:val="000B2662"/>
    <w:rsid w:val="000B2667"/>
    <w:rsid w:val="000B6256"/>
    <w:rsid w:val="000B625A"/>
    <w:rsid w:val="000B63BE"/>
    <w:rsid w:val="000B6A11"/>
    <w:rsid w:val="000B6C53"/>
    <w:rsid w:val="000B7CEC"/>
    <w:rsid w:val="000C022D"/>
    <w:rsid w:val="000C104F"/>
    <w:rsid w:val="000C13D3"/>
    <w:rsid w:val="000C2D1B"/>
    <w:rsid w:val="000C60B3"/>
    <w:rsid w:val="000D1F3C"/>
    <w:rsid w:val="000D41A8"/>
    <w:rsid w:val="000D42FB"/>
    <w:rsid w:val="000D5427"/>
    <w:rsid w:val="000D54F2"/>
    <w:rsid w:val="000D6A8B"/>
    <w:rsid w:val="000D772F"/>
    <w:rsid w:val="000E0A44"/>
    <w:rsid w:val="000E3086"/>
    <w:rsid w:val="000E345B"/>
    <w:rsid w:val="000E42D6"/>
    <w:rsid w:val="000E4502"/>
    <w:rsid w:val="000E45F6"/>
    <w:rsid w:val="000E778A"/>
    <w:rsid w:val="000F2EB7"/>
    <w:rsid w:val="000F4178"/>
    <w:rsid w:val="000F5C4B"/>
    <w:rsid w:val="000F625D"/>
    <w:rsid w:val="000F798D"/>
    <w:rsid w:val="00100618"/>
    <w:rsid w:val="00100D3B"/>
    <w:rsid w:val="00102540"/>
    <w:rsid w:val="00102755"/>
    <w:rsid w:val="00102E81"/>
    <w:rsid w:val="00105A5D"/>
    <w:rsid w:val="001060DE"/>
    <w:rsid w:val="0010658D"/>
    <w:rsid w:val="00107735"/>
    <w:rsid w:val="00111646"/>
    <w:rsid w:val="00111880"/>
    <w:rsid w:val="001129BC"/>
    <w:rsid w:val="00114002"/>
    <w:rsid w:val="001171B2"/>
    <w:rsid w:val="00117356"/>
    <w:rsid w:val="00117597"/>
    <w:rsid w:val="0012336A"/>
    <w:rsid w:val="00124B9B"/>
    <w:rsid w:val="0012569C"/>
    <w:rsid w:val="00125D63"/>
    <w:rsid w:val="00134FD1"/>
    <w:rsid w:val="00135A6C"/>
    <w:rsid w:val="001369C2"/>
    <w:rsid w:val="00136D97"/>
    <w:rsid w:val="00137D94"/>
    <w:rsid w:val="0014107C"/>
    <w:rsid w:val="0014123A"/>
    <w:rsid w:val="0014155F"/>
    <w:rsid w:val="001415FB"/>
    <w:rsid w:val="00142647"/>
    <w:rsid w:val="00143FF1"/>
    <w:rsid w:val="001449E6"/>
    <w:rsid w:val="00144E6B"/>
    <w:rsid w:val="0014511A"/>
    <w:rsid w:val="00145DED"/>
    <w:rsid w:val="001474CC"/>
    <w:rsid w:val="00152149"/>
    <w:rsid w:val="001523FD"/>
    <w:rsid w:val="0015243B"/>
    <w:rsid w:val="001554C8"/>
    <w:rsid w:val="001558BE"/>
    <w:rsid w:val="00156BA9"/>
    <w:rsid w:val="00156C21"/>
    <w:rsid w:val="0016283E"/>
    <w:rsid w:val="00167A7A"/>
    <w:rsid w:val="00170C58"/>
    <w:rsid w:val="00170CCB"/>
    <w:rsid w:val="001715B5"/>
    <w:rsid w:val="00171B4F"/>
    <w:rsid w:val="00174774"/>
    <w:rsid w:val="00174F00"/>
    <w:rsid w:val="001753F4"/>
    <w:rsid w:val="00175CFF"/>
    <w:rsid w:val="001773DA"/>
    <w:rsid w:val="00177462"/>
    <w:rsid w:val="0018124A"/>
    <w:rsid w:val="00182BDC"/>
    <w:rsid w:val="00185ACC"/>
    <w:rsid w:val="0018612B"/>
    <w:rsid w:val="00186766"/>
    <w:rsid w:val="0018714A"/>
    <w:rsid w:val="0019052D"/>
    <w:rsid w:val="001909F7"/>
    <w:rsid w:val="00191883"/>
    <w:rsid w:val="00192F0F"/>
    <w:rsid w:val="0019683C"/>
    <w:rsid w:val="00197578"/>
    <w:rsid w:val="001A0C90"/>
    <w:rsid w:val="001A376C"/>
    <w:rsid w:val="001A3891"/>
    <w:rsid w:val="001A524A"/>
    <w:rsid w:val="001A529D"/>
    <w:rsid w:val="001A55A5"/>
    <w:rsid w:val="001B0161"/>
    <w:rsid w:val="001B0CD3"/>
    <w:rsid w:val="001B22B4"/>
    <w:rsid w:val="001B44FF"/>
    <w:rsid w:val="001B465F"/>
    <w:rsid w:val="001B4ED8"/>
    <w:rsid w:val="001B5652"/>
    <w:rsid w:val="001B5B4A"/>
    <w:rsid w:val="001B6A6E"/>
    <w:rsid w:val="001B7359"/>
    <w:rsid w:val="001B785B"/>
    <w:rsid w:val="001C0901"/>
    <w:rsid w:val="001C1BB8"/>
    <w:rsid w:val="001C4BF0"/>
    <w:rsid w:val="001C4E4A"/>
    <w:rsid w:val="001C5110"/>
    <w:rsid w:val="001C5577"/>
    <w:rsid w:val="001C5C02"/>
    <w:rsid w:val="001C6C6D"/>
    <w:rsid w:val="001C7BA2"/>
    <w:rsid w:val="001D3530"/>
    <w:rsid w:val="001D36E8"/>
    <w:rsid w:val="001D72B5"/>
    <w:rsid w:val="001D7956"/>
    <w:rsid w:val="001E0DCC"/>
    <w:rsid w:val="001E100A"/>
    <w:rsid w:val="001E1981"/>
    <w:rsid w:val="001E21FD"/>
    <w:rsid w:val="001E22D3"/>
    <w:rsid w:val="001E37B0"/>
    <w:rsid w:val="001E61B1"/>
    <w:rsid w:val="001E753F"/>
    <w:rsid w:val="001F0199"/>
    <w:rsid w:val="001F0472"/>
    <w:rsid w:val="001F0BD0"/>
    <w:rsid w:val="001F1068"/>
    <w:rsid w:val="001F1895"/>
    <w:rsid w:val="001F2790"/>
    <w:rsid w:val="001F2B27"/>
    <w:rsid w:val="001F2C05"/>
    <w:rsid w:val="001F3060"/>
    <w:rsid w:val="001F423E"/>
    <w:rsid w:val="001F4C3E"/>
    <w:rsid w:val="001F5329"/>
    <w:rsid w:val="001F5465"/>
    <w:rsid w:val="001F5936"/>
    <w:rsid w:val="001F6493"/>
    <w:rsid w:val="001F70E5"/>
    <w:rsid w:val="001F750C"/>
    <w:rsid w:val="00200A8F"/>
    <w:rsid w:val="002021C2"/>
    <w:rsid w:val="0020434B"/>
    <w:rsid w:val="0020560F"/>
    <w:rsid w:val="00206F5A"/>
    <w:rsid w:val="00207555"/>
    <w:rsid w:val="002075FB"/>
    <w:rsid w:val="0021082B"/>
    <w:rsid w:val="0021103A"/>
    <w:rsid w:val="00212AC4"/>
    <w:rsid w:val="00213431"/>
    <w:rsid w:val="00214C42"/>
    <w:rsid w:val="0021514C"/>
    <w:rsid w:val="002171C6"/>
    <w:rsid w:val="002209E9"/>
    <w:rsid w:val="00221EDC"/>
    <w:rsid w:val="002252CF"/>
    <w:rsid w:val="00225C65"/>
    <w:rsid w:val="00225FD8"/>
    <w:rsid w:val="00226329"/>
    <w:rsid w:val="00226824"/>
    <w:rsid w:val="00227EB8"/>
    <w:rsid w:val="00230BC4"/>
    <w:rsid w:val="0023170C"/>
    <w:rsid w:val="00231D73"/>
    <w:rsid w:val="00232B18"/>
    <w:rsid w:val="00233EC5"/>
    <w:rsid w:val="00237190"/>
    <w:rsid w:val="00237512"/>
    <w:rsid w:val="00237A0D"/>
    <w:rsid w:val="0024001E"/>
    <w:rsid w:val="00240EFA"/>
    <w:rsid w:val="002410E1"/>
    <w:rsid w:val="0024384B"/>
    <w:rsid w:val="002440D0"/>
    <w:rsid w:val="00244D50"/>
    <w:rsid w:val="00246164"/>
    <w:rsid w:val="002461FD"/>
    <w:rsid w:val="00246B27"/>
    <w:rsid w:val="00250335"/>
    <w:rsid w:val="00250F20"/>
    <w:rsid w:val="0025217F"/>
    <w:rsid w:val="002542E0"/>
    <w:rsid w:val="0025596E"/>
    <w:rsid w:val="002559C3"/>
    <w:rsid w:val="002564DE"/>
    <w:rsid w:val="00260548"/>
    <w:rsid w:val="00260DCB"/>
    <w:rsid w:val="00260F39"/>
    <w:rsid w:val="002619AA"/>
    <w:rsid w:val="0026304F"/>
    <w:rsid w:val="00263A85"/>
    <w:rsid w:val="00263C75"/>
    <w:rsid w:val="0026537F"/>
    <w:rsid w:val="0026616B"/>
    <w:rsid w:val="00267DA6"/>
    <w:rsid w:val="00267E66"/>
    <w:rsid w:val="00267FF4"/>
    <w:rsid w:val="00272C28"/>
    <w:rsid w:val="002742BC"/>
    <w:rsid w:val="002747B6"/>
    <w:rsid w:val="00275E75"/>
    <w:rsid w:val="002761D1"/>
    <w:rsid w:val="00280B11"/>
    <w:rsid w:val="002813E7"/>
    <w:rsid w:val="00281573"/>
    <w:rsid w:val="00281EE3"/>
    <w:rsid w:val="00283455"/>
    <w:rsid w:val="002848A1"/>
    <w:rsid w:val="002848FB"/>
    <w:rsid w:val="00284ED0"/>
    <w:rsid w:val="00285B28"/>
    <w:rsid w:val="002864E0"/>
    <w:rsid w:val="00286930"/>
    <w:rsid w:val="00286D92"/>
    <w:rsid w:val="002873A0"/>
    <w:rsid w:val="00287FD4"/>
    <w:rsid w:val="00291562"/>
    <w:rsid w:val="00293216"/>
    <w:rsid w:val="00293659"/>
    <w:rsid w:val="00293BD8"/>
    <w:rsid w:val="00293E6F"/>
    <w:rsid w:val="00294809"/>
    <w:rsid w:val="00295260"/>
    <w:rsid w:val="0029590C"/>
    <w:rsid w:val="00295FF3"/>
    <w:rsid w:val="00297B39"/>
    <w:rsid w:val="00297DCF"/>
    <w:rsid w:val="00297E71"/>
    <w:rsid w:val="002A2087"/>
    <w:rsid w:val="002A2208"/>
    <w:rsid w:val="002A2DCF"/>
    <w:rsid w:val="002A3E43"/>
    <w:rsid w:val="002A46F1"/>
    <w:rsid w:val="002A554E"/>
    <w:rsid w:val="002A642F"/>
    <w:rsid w:val="002A70BD"/>
    <w:rsid w:val="002A78E1"/>
    <w:rsid w:val="002B0400"/>
    <w:rsid w:val="002B1C07"/>
    <w:rsid w:val="002B7E77"/>
    <w:rsid w:val="002C0876"/>
    <w:rsid w:val="002C0B8B"/>
    <w:rsid w:val="002C37E7"/>
    <w:rsid w:val="002C3B8C"/>
    <w:rsid w:val="002C3C11"/>
    <w:rsid w:val="002C3D2B"/>
    <w:rsid w:val="002C465B"/>
    <w:rsid w:val="002C498E"/>
    <w:rsid w:val="002C4BFF"/>
    <w:rsid w:val="002D1943"/>
    <w:rsid w:val="002D29E4"/>
    <w:rsid w:val="002D364B"/>
    <w:rsid w:val="002D4011"/>
    <w:rsid w:val="002D4074"/>
    <w:rsid w:val="002D4CA3"/>
    <w:rsid w:val="002D58F5"/>
    <w:rsid w:val="002D5CA1"/>
    <w:rsid w:val="002D5FE2"/>
    <w:rsid w:val="002D6B22"/>
    <w:rsid w:val="002D75AA"/>
    <w:rsid w:val="002E14B6"/>
    <w:rsid w:val="002E1F61"/>
    <w:rsid w:val="002E3286"/>
    <w:rsid w:val="002E6C67"/>
    <w:rsid w:val="002E72BD"/>
    <w:rsid w:val="002F18C9"/>
    <w:rsid w:val="002F3070"/>
    <w:rsid w:val="002F4293"/>
    <w:rsid w:val="002F5818"/>
    <w:rsid w:val="002F6330"/>
    <w:rsid w:val="002F6FEC"/>
    <w:rsid w:val="002F7694"/>
    <w:rsid w:val="003003FD"/>
    <w:rsid w:val="003008FB"/>
    <w:rsid w:val="00303B8A"/>
    <w:rsid w:val="003048E1"/>
    <w:rsid w:val="00306A9A"/>
    <w:rsid w:val="00311050"/>
    <w:rsid w:val="00311235"/>
    <w:rsid w:val="00313E99"/>
    <w:rsid w:val="00315456"/>
    <w:rsid w:val="00315B43"/>
    <w:rsid w:val="00322AF1"/>
    <w:rsid w:val="00323BFE"/>
    <w:rsid w:val="00325595"/>
    <w:rsid w:val="00326124"/>
    <w:rsid w:val="00326416"/>
    <w:rsid w:val="00330B56"/>
    <w:rsid w:val="00331177"/>
    <w:rsid w:val="003315D0"/>
    <w:rsid w:val="00333077"/>
    <w:rsid w:val="003333E5"/>
    <w:rsid w:val="00333BBA"/>
    <w:rsid w:val="003365EA"/>
    <w:rsid w:val="00337DC3"/>
    <w:rsid w:val="003400FD"/>
    <w:rsid w:val="0034064C"/>
    <w:rsid w:val="00340A6F"/>
    <w:rsid w:val="00340BBA"/>
    <w:rsid w:val="00341A4F"/>
    <w:rsid w:val="00342520"/>
    <w:rsid w:val="003432A5"/>
    <w:rsid w:val="0034447B"/>
    <w:rsid w:val="00345E79"/>
    <w:rsid w:val="0034636B"/>
    <w:rsid w:val="003468CD"/>
    <w:rsid w:val="0034788F"/>
    <w:rsid w:val="00350039"/>
    <w:rsid w:val="003506A0"/>
    <w:rsid w:val="00351C2B"/>
    <w:rsid w:val="00351D61"/>
    <w:rsid w:val="003526E9"/>
    <w:rsid w:val="003552E8"/>
    <w:rsid w:val="003553B4"/>
    <w:rsid w:val="00357621"/>
    <w:rsid w:val="003576B4"/>
    <w:rsid w:val="00360C94"/>
    <w:rsid w:val="00361C2C"/>
    <w:rsid w:val="0036289F"/>
    <w:rsid w:val="00362E3C"/>
    <w:rsid w:val="00363700"/>
    <w:rsid w:val="00363AA0"/>
    <w:rsid w:val="00364CED"/>
    <w:rsid w:val="00365F51"/>
    <w:rsid w:val="0036738E"/>
    <w:rsid w:val="00367A9C"/>
    <w:rsid w:val="003708A1"/>
    <w:rsid w:val="003715F1"/>
    <w:rsid w:val="003726B5"/>
    <w:rsid w:val="003731F8"/>
    <w:rsid w:val="00373480"/>
    <w:rsid w:val="00373AA3"/>
    <w:rsid w:val="00373C6E"/>
    <w:rsid w:val="003742B6"/>
    <w:rsid w:val="00375918"/>
    <w:rsid w:val="003776CE"/>
    <w:rsid w:val="00380602"/>
    <w:rsid w:val="00380909"/>
    <w:rsid w:val="003833C1"/>
    <w:rsid w:val="00384667"/>
    <w:rsid w:val="00384F6C"/>
    <w:rsid w:val="00387C7A"/>
    <w:rsid w:val="003A0D9A"/>
    <w:rsid w:val="003A0DC0"/>
    <w:rsid w:val="003A27A3"/>
    <w:rsid w:val="003A3318"/>
    <w:rsid w:val="003A336A"/>
    <w:rsid w:val="003A4281"/>
    <w:rsid w:val="003A4EE8"/>
    <w:rsid w:val="003A535A"/>
    <w:rsid w:val="003A58A2"/>
    <w:rsid w:val="003A66BB"/>
    <w:rsid w:val="003A6DED"/>
    <w:rsid w:val="003A6F06"/>
    <w:rsid w:val="003A71AE"/>
    <w:rsid w:val="003B16D3"/>
    <w:rsid w:val="003B1F0B"/>
    <w:rsid w:val="003B2FC7"/>
    <w:rsid w:val="003B52F4"/>
    <w:rsid w:val="003C00C1"/>
    <w:rsid w:val="003C00D7"/>
    <w:rsid w:val="003C17C1"/>
    <w:rsid w:val="003C28F7"/>
    <w:rsid w:val="003C6138"/>
    <w:rsid w:val="003D01AD"/>
    <w:rsid w:val="003D025C"/>
    <w:rsid w:val="003D0498"/>
    <w:rsid w:val="003D3D90"/>
    <w:rsid w:val="003D49D1"/>
    <w:rsid w:val="003D4BC8"/>
    <w:rsid w:val="003D541F"/>
    <w:rsid w:val="003D5860"/>
    <w:rsid w:val="003D7D22"/>
    <w:rsid w:val="003E18E0"/>
    <w:rsid w:val="003E1E01"/>
    <w:rsid w:val="003E212E"/>
    <w:rsid w:val="003E2B96"/>
    <w:rsid w:val="003E646E"/>
    <w:rsid w:val="003F0664"/>
    <w:rsid w:val="003F1AFC"/>
    <w:rsid w:val="003F38C2"/>
    <w:rsid w:val="003F3FBE"/>
    <w:rsid w:val="003F50FD"/>
    <w:rsid w:val="003F7CA0"/>
    <w:rsid w:val="0040072A"/>
    <w:rsid w:val="00400A04"/>
    <w:rsid w:val="00401642"/>
    <w:rsid w:val="00401BB6"/>
    <w:rsid w:val="00402AA2"/>
    <w:rsid w:val="00402BCF"/>
    <w:rsid w:val="00404234"/>
    <w:rsid w:val="004045D8"/>
    <w:rsid w:val="0040759A"/>
    <w:rsid w:val="00410684"/>
    <w:rsid w:val="0041161C"/>
    <w:rsid w:val="00411891"/>
    <w:rsid w:val="0041221A"/>
    <w:rsid w:val="00413EF6"/>
    <w:rsid w:val="00414A95"/>
    <w:rsid w:val="00415149"/>
    <w:rsid w:val="00415A9D"/>
    <w:rsid w:val="00415BD9"/>
    <w:rsid w:val="004162CA"/>
    <w:rsid w:val="00417B7B"/>
    <w:rsid w:val="00422FC0"/>
    <w:rsid w:val="00423DBE"/>
    <w:rsid w:val="004242D8"/>
    <w:rsid w:val="00425680"/>
    <w:rsid w:val="0043070C"/>
    <w:rsid w:val="00431078"/>
    <w:rsid w:val="0043166B"/>
    <w:rsid w:val="00431C39"/>
    <w:rsid w:val="004325FB"/>
    <w:rsid w:val="00433B7F"/>
    <w:rsid w:val="00433EF9"/>
    <w:rsid w:val="00434861"/>
    <w:rsid w:val="00436A94"/>
    <w:rsid w:val="0044001F"/>
    <w:rsid w:val="00441AE7"/>
    <w:rsid w:val="0044339C"/>
    <w:rsid w:val="0044365B"/>
    <w:rsid w:val="00443BAD"/>
    <w:rsid w:val="00445211"/>
    <w:rsid w:val="00445FBB"/>
    <w:rsid w:val="00446A7A"/>
    <w:rsid w:val="004503FC"/>
    <w:rsid w:val="00450922"/>
    <w:rsid w:val="00450B10"/>
    <w:rsid w:val="00451206"/>
    <w:rsid w:val="004538A5"/>
    <w:rsid w:val="00453B2A"/>
    <w:rsid w:val="0045514C"/>
    <w:rsid w:val="00455CAD"/>
    <w:rsid w:val="00456B23"/>
    <w:rsid w:val="00457E56"/>
    <w:rsid w:val="0046207C"/>
    <w:rsid w:val="00462252"/>
    <w:rsid w:val="00462710"/>
    <w:rsid w:val="00463233"/>
    <w:rsid w:val="004651FA"/>
    <w:rsid w:val="00465A8E"/>
    <w:rsid w:val="00470303"/>
    <w:rsid w:val="00472471"/>
    <w:rsid w:val="004748C8"/>
    <w:rsid w:val="0047587F"/>
    <w:rsid w:val="00475BCB"/>
    <w:rsid w:val="004769F9"/>
    <w:rsid w:val="00476BB6"/>
    <w:rsid w:val="00477748"/>
    <w:rsid w:val="00480999"/>
    <w:rsid w:val="0048173D"/>
    <w:rsid w:val="00481AC0"/>
    <w:rsid w:val="00481C3A"/>
    <w:rsid w:val="00483C8D"/>
    <w:rsid w:val="0048486E"/>
    <w:rsid w:val="00484E6A"/>
    <w:rsid w:val="004850A2"/>
    <w:rsid w:val="004859D6"/>
    <w:rsid w:val="0048719C"/>
    <w:rsid w:val="00487565"/>
    <w:rsid w:val="00487D66"/>
    <w:rsid w:val="00487F52"/>
    <w:rsid w:val="004919D2"/>
    <w:rsid w:val="00491E78"/>
    <w:rsid w:val="00491FCE"/>
    <w:rsid w:val="00494078"/>
    <w:rsid w:val="00494805"/>
    <w:rsid w:val="00497125"/>
    <w:rsid w:val="004A0F8C"/>
    <w:rsid w:val="004A1E52"/>
    <w:rsid w:val="004A1F36"/>
    <w:rsid w:val="004A25E4"/>
    <w:rsid w:val="004A305C"/>
    <w:rsid w:val="004A35B6"/>
    <w:rsid w:val="004A41C0"/>
    <w:rsid w:val="004A45D8"/>
    <w:rsid w:val="004A564A"/>
    <w:rsid w:val="004A5B02"/>
    <w:rsid w:val="004A71CE"/>
    <w:rsid w:val="004A7475"/>
    <w:rsid w:val="004A7FE4"/>
    <w:rsid w:val="004B10D9"/>
    <w:rsid w:val="004B151F"/>
    <w:rsid w:val="004B1C73"/>
    <w:rsid w:val="004B23F5"/>
    <w:rsid w:val="004B24EF"/>
    <w:rsid w:val="004B2CB0"/>
    <w:rsid w:val="004B3D1C"/>
    <w:rsid w:val="004B402A"/>
    <w:rsid w:val="004B6E65"/>
    <w:rsid w:val="004B7974"/>
    <w:rsid w:val="004C078C"/>
    <w:rsid w:val="004C44DE"/>
    <w:rsid w:val="004C5C3D"/>
    <w:rsid w:val="004C7A6E"/>
    <w:rsid w:val="004D210B"/>
    <w:rsid w:val="004D3009"/>
    <w:rsid w:val="004D6887"/>
    <w:rsid w:val="004E0B17"/>
    <w:rsid w:val="004E15BB"/>
    <w:rsid w:val="004E40BD"/>
    <w:rsid w:val="004E4A54"/>
    <w:rsid w:val="004E537F"/>
    <w:rsid w:val="004E71B5"/>
    <w:rsid w:val="004F0CEF"/>
    <w:rsid w:val="004F0D9D"/>
    <w:rsid w:val="004F0E04"/>
    <w:rsid w:val="004F1873"/>
    <w:rsid w:val="004F2DE8"/>
    <w:rsid w:val="004F304E"/>
    <w:rsid w:val="004F528B"/>
    <w:rsid w:val="004F6D69"/>
    <w:rsid w:val="004F7BD3"/>
    <w:rsid w:val="0050086B"/>
    <w:rsid w:val="00501E50"/>
    <w:rsid w:val="00501E79"/>
    <w:rsid w:val="0050235C"/>
    <w:rsid w:val="005028AA"/>
    <w:rsid w:val="005058BD"/>
    <w:rsid w:val="00507C01"/>
    <w:rsid w:val="00507D3C"/>
    <w:rsid w:val="0051026E"/>
    <w:rsid w:val="00512735"/>
    <w:rsid w:val="005135DA"/>
    <w:rsid w:val="00513676"/>
    <w:rsid w:val="00515836"/>
    <w:rsid w:val="005175E5"/>
    <w:rsid w:val="005238B1"/>
    <w:rsid w:val="00524278"/>
    <w:rsid w:val="005251C4"/>
    <w:rsid w:val="005260D1"/>
    <w:rsid w:val="0052671E"/>
    <w:rsid w:val="00526CD9"/>
    <w:rsid w:val="005273AF"/>
    <w:rsid w:val="005319A7"/>
    <w:rsid w:val="00532412"/>
    <w:rsid w:val="0053316B"/>
    <w:rsid w:val="005348B4"/>
    <w:rsid w:val="005360F7"/>
    <w:rsid w:val="00536373"/>
    <w:rsid w:val="005409C8"/>
    <w:rsid w:val="00540D59"/>
    <w:rsid w:val="00541290"/>
    <w:rsid w:val="00546958"/>
    <w:rsid w:val="00547B44"/>
    <w:rsid w:val="00547E81"/>
    <w:rsid w:val="005523DE"/>
    <w:rsid w:val="00552986"/>
    <w:rsid w:val="00554603"/>
    <w:rsid w:val="00556725"/>
    <w:rsid w:val="0055733C"/>
    <w:rsid w:val="0056044F"/>
    <w:rsid w:val="005608C9"/>
    <w:rsid w:val="00560B10"/>
    <w:rsid w:val="00561255"/>
    <w:rsid w:val="00561B01"/>
    <w:rsid w:val="0056290B"/>
    <w:rsid w:val="005646CC"/>
    <w:rsid w:val="00564C25"/>
    <w:rsid w:val="005676F1"/>
    <w:rsid w:val="005677A8"/>
    <w:rsid w:val="00570145"/>
    <w:rsid w:val="00570343"/>
    <w:rsid w:val="00570DD9"/>
    <w:rsid w:val="005714B5"/>
    <w:rsid w:val="00571D3F"/>
    <w:rsid w:val="00573429"/>
    <w:rsid w:val="00574435"/>
    <w:rsid w:val="00574734"/>
    <w:rsid w:val="0057571F"/>
    <w:rsid w:val="00581C22"/>
    <w:rsid w:val="005826A6"/>
    <w:rsid w:val="00585A2A"/>
    <w:rsid w:val="005879D4"/>
    <w:rsid w:val="00591817"/>
    <w:rsid w:val="00591A33"/>
    <w:rsid w:val="00594D83"/>
    <w:rsid w:val="00594E38"/>
    <w:rsid w:val="005956C8"/>
    <w:rsid w:val="005958BC"/>
    <w:rsid w:val="005A0A33"/>
    <w:rsid w:val="005A115B"/>
    <w:rsid w:val="005A27AC"/>
    <w:rsid w:val="005A31CE"/>
    <w:rsid w:val="005A4BD0"/>
    <w:rsid w:val="005A6CAD"/>
    <w:rsid w:val="005A7F6A"/>
    <w:rsid w:val="005B0B49"/>
    <w:rsid w:val="005B107C"/>
    <w:rsid w:val="005B18B4"/>
    <w:rsid w:val="005B22F9"/>
    <w:rsid w:val="005B2B11"/>
    <w:rsid w:val="005B45DC"/>
    <w:rsid w:val="005B4A8B"/>
    <w:rsid w:val="005B5580"/>
    <w:rsid w:val="005B6051"/>
    <w:rsid w:val="005C0DB4"/>
    <w:rsid w:val="005C4D9D"/>
    <w:rsid w:val="005C5031"/>
    <w:rsid w:val="005C55AB"/>
    <w:rsid w:val="005C6760"/>
    <w:rsid w:val="005C6EBD"/>
    <w:rsid w:val="005C7AB1"/>
    <w:rsid w:val="005D1717"/>
    <w:rsid w:val="005D21B2"/>
    <w:rsid w:val="005D31F3"/>
    <w:rsid w:val="005D42A6"/>
    <w:rsid w:val="005D4C18"/>
    <w:rsid w:val="005D4CAB"/>
    <w:rsid w:val="005D4CEC"/>
    <w:rsid w:val="005D5460"/>
    <w:rsid w:val="005D5DD5"/>
    <w:rsid w:val="005D7A8B"/>
    <w:rsid w:val="005D7FAF"/>
    <w:rsid w:val="005E0AAB"/>
    <w:rsid w:val="005E0D34"/>
    <w:rsid w:val="005E1754"/>
    <w:rsid w:val="005E1D25"/>
    <w:rsid w:val="005E1FA4"/>
    <w:rsid w:val="005E3D93"/>
    <w:rsid w:val="005E3F8A"/>
    <w:rsid w:val="005E5423"/>
    <w:rsid w:val="005E5870"/>
    <w:rsid w:val="005E5F8C"/>
    <w:rsid w:val="005E622E"/>
    <w:rsid w:val="005E6417"/>
    <w:rsid w:val="005E7350"/>
    <w:rsid w:val="005E7374"/>
    <w:rsid w:val="005E7F0E"/>
    <w:rsid w:val="005F0655"/>
    <w:rsid w:val="005F1212"/>
    <w:rsid w:val="005F1B42"/>
    <w:rsid w:val="005F2996"/>
    <w:rsid w:val="005F4B9C"/>
    <w:rsid w:val="005F57A7"/>
    <w:rsid w:val="005F787D"/>
    <w:rsid w:val="005F7D4D"/>
    <w:rsid w:val="00600A2E"/>
    <w:rsid w:val="00601EAB"/>
    <w:rsid w:val="006022A4"/>
    <w:rsid w:val="00602C4F"/>
    <w:rsid w:val="00603D63"/>
    <w:rsid w:val="0060501E"/>
    <w:rsid w:val="00605E9D"/>
    <w:rsid w:val="006076CA"/>
    <w:rsid w:val="00610AD0"/>
    <w:rsid w:val="00610C16"/>
    <w:rsid w:val="00612F90"/>
    <w:rsid w:val="00613685"/>
    <w:rsid w:val="00613F84"/>
    <w:rsid w:val="006143EF"/>
    <w:rsid w:val="00615145"/>
    <w:rsid w:val="00615392"/>
    <w:rsid w:val="0061744C"/>
    <w:rsid w:val="0062057B"/>
    <w:rsid w:val="00621343"/>
    <w:rsid w:val="006215E3"/>
    <w:rsid w:val="006221C9"/>
    <w:rsid w:val="0062233D"/>
    <w:rsid w:val="00622971"/>
    <w:rsid w:val="00623E4F"/>
    <w:rsid w:val="00623F81"/>
    <w:rsid w:val="00624F24"/>
    <w:rsid w:val="00625742"/>
    <w:rsid w:val="00626359"/>
    <w:rsid w:val="00626E57"/>
    <w:rsid w:val="006271E4"/>
    <w:rsid w:val="00627FCF"/>
    <w:rsid w:val="0063065F"/>
    <w:rsid w:val="00632AF4"/>
    <w:rsid w:val="00632EFC"/>
    <w:rsid w:val="0063317A"/>
    <w:rsid w:val="00635345"/>
    <w:rsid w:val="006357D3"/>
    <w:rsid w:val="00636F5E"/>
    <w:rsid w:val="00637955"/>
    <w:rsid w:val="00640D7C"/>
    <w:rsid w:val="006424E4"/>
    <w:rsid w:val="00642673"/>
    <w:rsid w:val="006435CD"/>
    <w:rsid w:val="006461F2"/>
    <w:rsid w:val="00646909"/>
    <w:rsid w:val="00646981"/>
    <w:rsid w:val="006470E3"/>
    <w:rsid w:val="00647647"/>
    <w:rsid w:val="00650791"/>
    <w:rsid w:val="006512CB"/>
    <w:rsid w:val="00652483"/>
    <w:rsid w:val="00652DD9"/>
    <w:rsid w:val="006531BE"/>
    <w:rsid w:val="00653F7B"/>
    <w:rsid w:val="006542D4"/>
    <w:rsid w:val="00654E99"/>
    <w:rsid w:val="00655B5A"/>
    <w:rsid w:val="00655EB9"/>
    <w:rsid w:val="00657543"/>
    <w:rsid w:val="006609B0"/>
    <w:rsid w:val="006619B1"/>
    <w:rsid w:val="006621F8"/>
    <w:rsid w:val="00664A91"/>
    <w:rsid w:val="00671CC7"/>
    <w:rsid w:val="0067458C"/>
    <w:rsid w:val="006757C4"/>
    <w:rsid w:val="0067584F"/>
    <w:rsid w:val="0067620D"/>
    <w:rsid w:val="0068052A"/>
    <w:rsid w:val="00680EF2"/>
    <w:rsid w:val="00682D75"/>
    <w:rsid w:val="00682F13"/>
    <w:rsid w:val="006834D2"/>
    <w:rsid w:val="006836A0"/>
    <w:rsid w:val="00683BEA"/>
    <w:rsid w:val="00683C01"/>
    <w:rsid w:val="00684B12"/>
    <w:rsid w:val="00685B7F"/>
    <w:rsid w:val="0069144A"/>
    <w:rsid w:val="00692ABD"/>
    <w:rsid w:val="0069382F"/>
    <w:rsid w:val="006963CB"/>
    <w:rsid w:val="00697521"/>
    <w:rsid w:val="00697C91"/>
    <w:rsid w:val="006A1F60"/>
    <w:rsid w:val="006A2195"/>
    <w:rsid w:val="006A3E63"/>
    <w:rsid w:val="006A42F2"/>
    <w:rsid w:val="006A546C"/>
    <w:rsid w:val="006A5E0C"/>
    <w:rsid w:val="006A7B0E"/>
    <w:rsid w:val="006B009C"/>
    <w:rsid w:val="006B087E"/>
    <w:rsid w:val="006B155E"/>
    <w:rsid w:val="006B2B6B"/>
    <w:rsid w:val="006B4BB3"/>
    <w:rsid w:val="006B5C02"/>
    <w:rsid w:val="006B5F46"/>
    <w:rsid w:val="006B5F67"/>
    <w:rsid w:val="006B79DB"/>
    <w:rsid w:val="006C0332"/>
    <w:rsid w:val="006C1622"/>
    <w:rsid w:val="006C29DF"/>
    <w:rsid w:val="006C4042"/>
    <w:rsid w:val="006C439C"/>
    <w:rsid w:val="006C54D4"/>
    <w:rsid w:val="006C5509"/>
    <w:rsid w:val="006C6098"/>
    <w:rsid w:val="006C6E5C"/>
    <w:rsid w:val="006D2C44"/>
    <w:rsid w:val="006D2EF2"/>
    <w:rsid w:val="006D3278"/>
    <w:rsid w:val="006D3A23"/>
    <w:rsid w:val="006D47BC"/>
    <w:rsid w:val="006D4949"/>
    <w:rsid w:val="006D567B"/>
    <w:rsid w:val="006D7CCB"/>
    <w:rsid w:val="006E0A97"/>
    <w:rsid w:val="006E1E92"/>
    <w:rsid w:val="006E6E3E"/>
    <w:rsid w:val="006E6FD7"/>
    <w:rsid w:val="006E7F9C"/>
    <w:rsid w:val="006E7FCC"/>
    <w:rsid w:val="006F006B"/>
    <w:rsid w:val="006F319C"/>
    <w:rsid w:val="006F3327"/>
    <w:rsid w:val="006F4DD3"/>
    <w:rsid w:val="006F6C8F"/>
    <w:rsid w:val="006F7578"/>
    <w:rsid w:val="007010E7"/>
    <w:rsid w:val="0070111B"/>
    <w:rsid w:val="00702F50"/>
    <w:rsid w:val="00703442"/>
    <w:rsid w:val="00704A03"/>
    <w:rsid w:val="007053D2"/>
    <w:rsid w:val="00710C2C"/>
    <w:rsid w:val="00713A52"/>
    <w:rsid w:val="0071623F"/>
    <w:rsid w:val="00716AB6"/>
    <w:rsid w:val="007174CE"/>
    <w:rsid w:val="007217F2"/>
    <w:rsid w:val="007219C4"/>
    <w:rsid w:val="00721A9D"/>
    <w:rsid w:val="007225DC"/>
    <w:rsid w:val="00725507"/>
    <w:rsid w:val="00727D51"/>
    <w:rsid w:val="00727F51"/>
    <w:rsid w:val="0073167D"/>
    <w:rsid w:val="00731AF1"/>
    <w:rsid w:val="007321B0"/>
    <w:rsid w:val="00733196"/>
    <w:rsid w:val="00733839"/>
    <w:rsid w:val="00733981"/>
    <w:rsid w:val="00734925"/>
    <w:rsid w:val="00734B21"/>
    <w:rsid w:val="00734BFE"/>
    <w:rsid w:val="00735763"/>
    <w:rsid w:val="00737595"/>
    <w:rsid w:val="00737D3D"/>
    <w:rsid w:val="00740DE9"/>
    <w:rsid w:val="007414AB"/>
    <w:rsid w:val="0074348F"/>
    <w:rsid w:val="0074355E"/>
    <w:rsid w:val="00743AFA"/>
    <w:rsid w:val="00743B64"/>
    <w:rsid w:val="007442C8"/>
    <w:rsid w:val="007452EF"/>
    <w:rsid w:val="007455B1"/>
    <w:rsid w:val="007503AA"/>
    <w:rsid w:val="0075273B"/>
    <w:rsid w:val="00752F08"/>
    <w:rsid w:val="007545E7"/>
    <w:rsid w:val="00755255"/>
    <w:rsid w:val="007555AF"/>
    <w:rsid w:val="0075595B"/>
    <w:rsid w:val="007573C3"/>
    <w:rsid w:val="00757ADC"/>
    <w:rsid w:val="007601F5"/>
    <w:rsid w:val="00765071"/>
    <w:rsid w:val="0076647D"/>
    <w:rsid w:val="00767AC6"/>
    <w:rsid w:val="00772542"/>
    <w:rsid w:val="00772CFA"/>
    <w:rsid w:val="00774274"/>
    <w:rsid w:val="0077526C"/>
    <w:rsid w:val="007767CE"/>
    <w:rsid w:val="0077792B"/>
    <w:rsid w:val="00780AA0"/>
    <w:rsid w:val="00780E45"/>
    <w:rsid w:val="007811BA"/>
    <w:rsid w:val="007811C4"/>
    <w:rsid w:val="00781455"/>
    <w:rsid w:val="00781AAF"/>
    <w:rsid w:val="00782392"/>
    <w:rsid w:val="0078279F"/>
    <w:rsid w:val="00782B0E"/>
    <w:rsid w:val="00783E31"/>
    <w:rsid w:val="0078644E"/>
    <w:rsid w:val="00786C32"/>
    <w:rsid w:val="00786CC8"/>
    <w:rsid w:val="00787298"/>
    <w:rsid w:val="00791159"/>
    <w:rsid w:val="00791A05"/>
    <w:rsid w:val="007928E6"/>
    <w:rsid w:val="00794365"/>
    <w:rsid w:val="007956B7"/>
    <w:rsid w:val="007971D7"/>
    <w:rsid w:val="0079721D"/>
    <w:rsid w:val="007978EB"/>
    <w:rsid w:val="007A023F"/>
    <w:rsid w:val="007A27D4"/>
    <w:rsid w:val="007A2D87"/>
    <w:rsid w:val="007A3094"/>
    <w:rsid w:val="007A33B6"/>
    <w:rsid w:val="007A48F4"/>
    <w:rsid w:val="007A4EB1"/>
    <w:rsid w:val="007A7A8A"/>
    <w:rsid w:val="007B0B1E"/>
    <w:rsid w:val="007B0E35"/>
    <w:rsid w:val="007B29DB"/>
    <w:rsid w:val="007B30D6"/>
    <w:rsid w:val="007B47D3"/>
    <w:rsid w:val="007B520A"/>
    <w:rsid w:val="007B5F62"/>
    <w:rsid w:val="007B79C3"/>
    <w:rsid w:val="007C40F9"/>
    <w:rsid w:val="007C492B"/>
    <w:rsid w:val="007C54D3"/>
    <w:rsid w:val="007C550E"/>
    <w:rsid w:val="007C5603"/>
    <w:rsid w:val="007C5ADA"/>
    <w:rsid w:val="007C5D74"/>
    <w:rsid w:val="007C6659"/>
    <w:rsid w:val="007C6BF7"/>
    <w:rsid w:val="007D05A8"/>
    <w:rsid w:val="007D18CB"/>
    <w:rsid w:val="007D300B"/>
    <w:rsid w:val="007D37C9"/>
    <w:rsid w:val="007D3F03"/>
    <w:rsid w:val="007D7538"/>
    <w:rsid w:val="007E0DF7"/>
    <w:rsid w:val="007E195F"/>
    <w:rsid w:val="007E2505"/>
    <w:rsid w:val="007E31F5"/>
    <w:rsid w:val="007E4B21"/>
    <w:rsid w:val="007E53EA"/>
    <w:rsid w:val="007E6021"/>
    <w:rsid w:val="007F1CFD"/>
    <w:rsid w:val="007F2854"/>
    <w:rsid w:val="007F292A"/>
    <w:rsid w:val="007F296F"/>
    <w:rsid w:val="007F3658"/>
    <w:rsid w:val="007F55C8"/>
    <w:rsid w:val="007F7499"/>
    <w:rsid w:val="007F7522"/>
    <w:rsid w:val="007F7792"/>
    <w:rsid w:val="007F7F81"/>
    <w:rsid w:val="00800662"/>
    <w:rsid w:val="00801268"/>
    <w:rsid w:val="00801CD5"/>
    <w:rsid w:val="008027CE"/>
    <w:rsid w:val="00804BF1"/>
    <w:rsid w:val="00804C4E"/>
    <w:rsid w:val="0081146A"/>
    <w:rsid w:val="008116C0"/>
    <w:rsid w:val="00811F56"/>
    <w:rsid w:val="00814185"/>
    <w:rsid w:val="0081617F"/>
    <w:rsid w:val="00817C8A"/>
    <w:rsid w:val="0082015D"/>
    <w:rsid w:val="008203FD"/>
    <w:rsid w:val="0082049B"/>
    <w:rsid w:val="00821413"/>
    <w:rsid w:val="0082415D"/>
    <w:rsid w:val="00826A61"/>
    <w:rsid w:val="00830385"/>
    <w:rsid w:val="0083085A"/>
    <w:rsid w:val="00831159"/>
    <w:rsid w:val="00831D21"/>
    <w:rsid w:val="008343D0"/>
    <w:rsid w:val="00835A8A"/>
    <w:rsid w:val="0083785A"/>
    <w:rsid w:val="008378DC"/>
    <w:rsid w:val="0084140F"/>
    <w:rsid w:val="00841F6C"/>
    <w:rsid w:val="00843ABE"/>
    <w:rsid w:val="00845BCE"/>
    <w:rsid w:val="00847296"/>
    <w:rsid w:val="008473AF"/>
    <w:rsid w:val="008518A4"/>
    <w:rsid w:val="0085725F"/>
    <w:rsid w:val="0086069D"/>
    <w:rsid w:val="00861FB2"/>
    <w:rsid w:val="00863C71"/>
    <w:rsid w:val="00864546"/>
    <w:rsid w:val="0086576D"/>
    <w:rsid w:val="00865793"/>
    <w:rsid w:val="00866FDC"/>
    <w:rsid w:val="00870150"/>
    <w:rsid w:val="008710B4"/>
    <w:rsid w:val="0087299B"/>
    <w:rsid w:val="00872A01"/>
    <w:rsid w:val="00873AEF"/>
    <w:rsid w:val="008753E6"/>
    <w:rsid w:val="00875770"/>
    <w:rsid w:val="00875B99"/>
    <w:rsid w:val="008818BD"/>
    <w:rsid w:val="00882A1D"/>
    <w:rsid w:val="008902B8"/>
    <w:rsid w:val="0089042B"/>
    <w:rsid w:val="00894A13"/>
    <w:rsid w:val="00894FDF"/>
    <w:rsid w:val="0089551D"/>
    <w:rsid w:val="00895C35"/>
    <w:rsid w:val="00896824"/>
    <w:rsid w:val="00896E77"/>
    <w:rsid w:val="008A04BF"/>
    <w:rsid w:val="008A2099"/>
    <w:rsid w:val="008A2B9F"/>
    <w:rsid w:val="008A31A4"/>
    <w:rsid w:val="008A3DDC"/>
    <w:rsid w:val="008A4B41"/>
    <w:rsid w:val="008A4CFE"/>
    <w:rsid w:val="008A4E2B"/>
    <w:rsid w:val="008A5F6A"/>
    <w:rsid w:val="008B0A3B"/>
    <w:rsid w:val="008B13A5"/>
    <w:rsid w:val="008B2875"/>
    <w:rsid w:val="008B4AF8"/>
    <w:rsid w:val="008B578D"/>
    <w:rsid w:val="008B6F6B"/>
    <w:rsid w:val="008B750D"/>
    <w:rsid w:val="008B7572"/>
    <w:rsid w:val="008C0170"/>
    <w:rsid w:val="008C0B69"/>
    <w:rsid w:val="008C2A61"/>
    <w:rsid w:val="008C391C"/>
    <w:rsid w:val="008C526F"/>
    <w:rsid w:val="008C5789"/>
    <w:rsid w:val="008C7462"/>
    <w:rsid w:val="008C77BF"/>
    <w:rsid w:val="008D6CC8"/>
    <w:rsid w:val="008E0D17"/>
    <w:rsid w:val="008E1667"/>
    <w:rsid w:val="008E1689"/>
    <w:rsid w:val="008E23AE"/>
    <w:rsid w:val="008E479E"/>
    <w:rsid w:val="008E48E1"/>
    <w:rsid w:val="008E5A3B"/>
    <w:rsid w:val="008E62CE"/>
    <w:rsid w:val="008E6DFE"/>
    <w:rsid w:val="008F0A3C"/>
    <w:rsid w:val="008F1315"/>
    <w:rsid w:val="008F1F24"/>
    <w:rsid w:val="008F2068"/>
    <w:rsid w:val="008F2BD9"/>
    <w:rsid w:val="008F2FF0"/>
    <w:rsid w:val="008F3AE4"/>
    <w:rsid w:val="008F4F11"/>
    <w:rsid w:val="008F5B84"/>
    <w:rsid w:val="008F6765"/>
    <w:rsid w:val="00900DFC"/>
    <w:rsid w:val="0090152F"/>
    <w:rsid w:val="00903C83"/>
    <w:rsid w:val="009050E1"/>
    <w:rsid w:val="00906FD3"/>
    <w:rsid w:val="00907042"/>
    <w:rsid w:val="00907176"/>
    <w:rsid w:val="00907BEA"/>
    <w:rsid w:val="00911030"/>
    <w:rsid w:val="009140DD"/>
    <w:rsid w:val="00916585"/>
    <w:rsid w:val="00916FB9"/>
    <w:rsid w:val="00917E7F"/>
    <w:rsid w:val="00921473"/>
    <w:rsid w:val="0092307F"/>
    <w:rsid w:val="00925E1F"/>
    <w:rsid w:val="0092617E"/>
    <w:rsid w:val="00926AD5"/>
    <w:rsid w:val="00927F8D"/>
    <w:rsid w:val="00930A38"/>
    <w:rsid w:val="009321A7"/>
    <w:rsid w:val="00932FD4"/>
    <w:rsid w:val="00933311"/>
    <w:rsid w:val="00936622"/>
    <w:rsid w:val="009366BF"/>
    <w:rsid w:val="0093689C"/>
    <w:rsid w:val="009400D4"/>
    <w:rsid w:val="009409F1"/>
    <w:rsid w:val="00940A61"/>
    <w:rsid w:val="009413F2"/>
    <w:rsid w:val="00942452"/>
    <w:rsid w:val="0094281D"/>
    <w:rsid w:val="00942892"/>
    <w:rsid w:val="009438E4"/>
    <w:rsid w:val="00950F15"/>
    <w:rsid w:val="00952BB2"/>
    <w:rsid w:val="00953928"/>
    <w:rsid w:val="00954323"/>
    <w:rsid w:val="009563E0"/>
    <w:rsid w:val="0095694D"/>
    <w:rsid w:val="00962D3E"/>
    <w:rsid w:val="009630B3"/>
    <w:rsid w:val="009668DB"/>
    <w:rsid w:val="00966B0C"/>
    <w:rsid w:val="0096733A"/>
    <w:rsid w:val="0096737A"/>
    <w:rsid w:val="00967C77"/>
    <w:rsid w:val="009712FE"/>
    <w:rsid w:val="00971501"/>
    <w:rsid w:val="00973078"/>
    <w:rsid w:val="00973490"/>
    <w:rsid w:val="00973E6C"/>
    <w:rsid w:val="00974E57"/>
    <w:rsid w:val="00975816"/>
    <w:rsid w:val="009761F9"/>
    <w:rsid w:val="00976B11"/>
    <w:rsid w:val="00981A20"/>
    <w:rsid w:val="00981F55"/>
    <w:rsid w:val="0098289A"/>
    <w:rsid w:val="00982914"/>
    <w:rsid w:val="00983256"/>
    <w:rsid w:val="00984226"/>
    <w:rsid w:val="00984511"/>
    <w:rsid w:val="0098628A"/>
    <w:rsid w:val="00986892"/>
    <w:rsid w:val="0098695B"/>
    <w:rsid w:val="00986C4F"/>
    <w:rsid w:val="00987B39"/>
    <w:rsid w:val="00987FCA"/>
    <w:rsid w:val="00990AEB"/>
    <w:rsid w:val="0099151F"/>
    <w:rsid w:val="009945F2"/>
    <w:rsid w:val="00994B9B"/>
    <w:rsid w:val="0099571F"/>
    <w:rsid w:val="00995D4B"/>
    <w:rsid w:val="00995F32"/>
    <w:rsid w:val="009964BE"/>
    <w:rsid w:val="0099672E"/>
    <w:rsid w:val="0099773D"/>
    <w:rsid w:val="009A1135"/>
    <w:rsid w:val="009A2ECE"/>
    <w:rsid w:val="009A3176"/>
    <w:rsid w:val="009A3BF4"/>
    <w:rsid w:val="009A444A"/>
    <w:rsid w:val="009A4613"/>
    <w:rsid w:val="009A4647"/>
    <w:rsid w:val="009A48EB"/>
    <w:rsid w:val="009A65F9"/>
    <w:rsid w:val="009B0F72"/>
    <w:rsid w:val="009B1F23"/>
    <w:rsid w:val="009B23D2"/>
    <w:rsid w:val="009B3B60"/>
    <w:rsid w:val="009B4C2D"/>
    <w:rsid w:val="009B4FA5"/>
    <w:rsid w:val="009B5DED"/>
    <w:rsid w:val="009B6EE7"/>
    <w:rsid w:val="009C0AD1"/>
    <w:rsid w:val="009C1305"/>
    <w:rsid w:val="009C32C0"/>
    <w:rsid w:val="009C3EDF"/>
    <w:rsid w:val="009D19DF"/>
    <w:rsid w:val="009D1F49"/>
    <w:rsid w:val="009D3C07"/>
    <w:rsid w:val="009D4C15"/>
    <w:rsid w:val="009D5B01"/>
    <w:rsid w:val="009D641A"/>
    <w:rsid w:val="009D7256"/>
    <w:rsid w:val="009D78C3"/>
    <w:rsid w:val="009E01A8"/>
    <w:rsid w:val="009E058B"/>
    <w:rsid w:val="009E1CBF"/>
    <w:rsid w:val="009E225A"/>
    <w:rsid w:val="009E24D2"/>
    <w:rsid w:val="009E45BE"/>
    <w:rsid w:val="009E5120"/>
    <w:rsid w:val="009E583D"/>
    <w:rsid w:val="009E6076"/>
    <w:rsid w:val="009E6540"/>
    <w:rsid w:val="009F2986"/>
    <w:rsid w:val="009F2C4E"/>
    <w:rsid w:val="009F31CF"/>
    <w:rsid w:val="009F3552"/>
    <w:rsid w:val="009F5440"/>
    <w:rsid w:val="009F6804"/>
    <w:rsid w:val="009F7ACC"/>
    <w:rsid w:val="00A0018E"/>
    <w:rsid w:val="00A00702"/>
    <w:rsid w:val="00A02AEE"/>
    <w:rsid w:val="00A03A2F"/>
    <w:rsid w:val="00A04EC7"/>
    <w:rsid w:val="00A05BAC"/>
    <w:rsid w:val="00A0738F"/>
    <w:rsid w:val="00A1063F"/>
    <w:rsid w:val="00A10B85"/>
    <w:rsid w:val="00A12478"/>
    <w:rsid w:val="00A12BA1"/>
    <w:rsid w:val="00A13107"/>
    <w:rsid w:val="00A1369C"/>
    <w:rsid w:val="00A13EC6"/>
    <w:rsid w:val="00A1421B"/>
    <w:rsid w:val="00A14543"/>
    <w:rsid w:val="00A148D0"/>
    <w:rsid w:val="00A15C1A"/>
    <w:rsid w:val="00A16583"/>
    <w:rsid w:val="00A16719"/>
    <w:rsid w:val="00A17020"/>
    <w:rsid w:val="00A20185"/>
    <w:rsid w:val="00A20D8E"/>
    <w:rsid w:val="00A238D9"/>
    <w:rsid w:val="00A24BF6"/>
    <w:rsid w:val="00A2571A"/>
    <w:rsid w:val="00A25C47"/>
    <w:rsid w:val="00A279C4"/>
    <w:rsid w:val="00A31089"/>
    <w:rsid w:val="00A32525"/>
    <w:rsid w:val="00A32BED"/>
    <w:rsid w:val="00A3562E"/>
    <w:rsid w:val="00A36D94"/>
    <w:rsid w:val="00A405FD"/>
    <w:rsid w:val="00A4156E"/>
    <w:rsid w:val="00A41661"/>
    <w:rsid w:val="00A41B45"/>
    <w:rsid w:val="00A42261"/>
    <w:rsid w:val="00A43594"/>
    <w:rsid w:val="00A43F70"/>
    <w:rsid w:val="00A44C68"/>
    <w:rsid w:val="00A45754"/>
    <w:rsid w:val="00A47F13"/>
    <w:rsid w:val="00A5068D"/>
    <w:rsid w:val="00A50C27"/>
    <w:rsid w:val="00A51102"/>
    <w:rsid w:val="00A52F80"/>
    <w:rsid w:val="00A537D0"/>
    <w:rsid w:val="00A546A5"/>
    <w:rsid w:val="00A5505E"/>
    <w:rsid w:val="00A57158"/>
    <w:rsid w:val="00A5728C"/>
    <w:rsid w:val="00A57505"/>
    <w:rsid w:val="00A57A3B"/>
    <w:rsid w:val="00A61303"/>
    <w:rsid w:val="00A62088"/>
    <w:rsid w:val="00A631E8"/>
    <w:rsid w:val="00A64DFD"/>
    <w:rsid w:val="00A65611"/>
    <w:rsid w:val="00A6587E"/>
    <w:rsid w:val="00A67938"/>
    <w:rsid w:val="00A712BD"/>
    <w:rsid w:val="00A71DA0"/>
    <w:rsid w:val="00A71F4F"/>
    <w:rsid w:val="00A7250E"/>
    <w:rsid w:val="00A736A1"/>
    <w:rsid w:val="00A7742A"/>
    <w:rsid w:val="00A77CDA"/>
    <w:rsid w:val="00A80E93"/>
    <w:rsid w:val="00A83FE9"/>
    <w:rsid w:val="00A84A61"/>
    <w:rsid w:val="00A85B32"/>
    <w:rsid w:val="00A87A09"/>
    <w:rsid w:val="00A87CAF"/>
    <w:rsid w:val="00A87CEA"/>
    <w:rsid w:val="00A90211"/>
    <w:rsid w:val="00A90483"/>
    <w:rsid w:val="00A92100"/>
    <w:rsid w:val="00A923D8"/>
    <w:rsid w:val="00A932D4"/>
    <w:rsid w:val="00A94485"/>
    <w:rsid w:val="00A952C8"/>
    <w:rsid w:val="00A95857"/>
    <w:rsid w:val="00A95A18"/>
    <w:rsid w:val="00A97370"/>
    <w:rsid w:val="00AA1096"/>
    <w:rsid w:val="00AA1C5A"/>
    <w:rsid w:val="00AA356A"/>
    <w:rsid w:val="00AA3F22"/>
    <w:rsid w:val="00AA410F"/>
    <w:rsid w:val="00AA4AD4"/>
    <w:rsid w:val="00AA6244"/>
    <w:rsid w:val="00AA65F3"/>
    <w:rsid w:val="00AB0758"/>
    <w:rsid w:val="00AB075F"/>
    <w:rsid w:val="00AB0EA7"/>
    <w:rsid w:val="00AB195E"/>
    <w:rsid w:val="00AB1AE2"/>
    <w:rsid w:val="00AB2398"/>
    <w:rsid w:val="00AB5D3C"/>
    <w:rsid w:val="00AB620D"/>
    <w:rsid w:val="00AB6C4D"/>
    <w:rsid w:val="00AC041C"/>
    <w:rsid w:val="00AC0A07"/>
    <w:rsid w:val="00AC0C7A"/>
    <w:rsid w:val="00AC0E14"/>
    <w:rsid w:val="00AC16D9"/>
    <w:rsid w:val="00AC1803"/>
    <w:rsid w:val="00AC2256"/>
    <w:rsid w:val="00AC22DE"/>
    <w:rsid w:val="00AC32C3"/>
    <w:rsid w:val="00AC45A9"/>
    <w:rsid w:val="00AC73F9"/>
    <w:rsid w:val="00AD2429"/>
    <w:rsid w:val="00AD283B"/>
    <w:rsid w:val="00AD2EBE"/>
    <w:rsid w:val="00AD6455"/>
    <w:rsid w:val="00AD7339"/>
    <w:rsid w:val="00AD766B"/>
    <w:rsid w:val="00AD7F0E"/>
    <w:rsid w:val="00AE0C34"/>
    <w:rsid w:val="00AE0FA6"/>
    <w:rsid w:val="00AE1548"/>
    <w:rsid w:val="00AE15F8"/>
    <w:rsid w:val="00AE272C"/>
    <w:rsid w:val="00AE3E46"/>
    <w:rsid w:val="00AE46BF"/>
    <w:rsid w:val="00AE5B3D"/>
    <w:rsid w:val="00AE5E81"/>
    <w:rsid w:val="00AF1444"/>
    <w:rsid w:val="00AF239C"/>
    <w:rsid w:val="00AF299D"/>
    <w:rsid w:val="00AF386D"/>
    <w:rsid w:val="00AF4F6B"/>
    <w:rsid w:val="00AF6001"/>
    <w:rsid w:val="00AF6500"/>
    <w:rsid w:val="00AF7291"/>
    <w:rsid w:val="00B00A0D"/>
    <w:rsid w:val="00B02B7C"/>
    <w:rsid w:val="00B03D8E"/>
    <w:rsid w:val="00B03F6E"/>
    <w:rsid w:val="00B044B8"/>
    <w:rsid w:val="00B04DEB"/>
    <w:rsid w:val="00B07525"/>
    <w:rsid w:val="00B12988"/>
    <w:rsid w:val="00B131F4"/>
    <w:rsid w:val="00B14592"/>
    <w:rsid w:val="00B16675"/>
    <w:rsid w:val="00B17366"/>
    <w:rsid w:val="00B2016C"/>
    <w:rsid w:val="00B205BD"/>
    <w:rsid w:val="00B20AB7"/>
    <w:rsid w:val="00B24ADB"/>
    <w:rsid w:val="00B31F78"/>
    <w:rsid w:val="00B32CB5"/>
    <w:rsid w:val="00B32E7F"/>
    <w:rsid w:val="00B33B24"/>
    <w:rsid w:val="00B33D9F"/>
    <w:rsid w:val="00B3443F"/>
    <w:rsid w:val="00B34590"/>
    <w:rsid w:val="00B347A7"/>
    <w:rsid w:val="00B357E9"/>
    <w:rsid w:val="00B36BA8"/>
    <w:rsid w:val="00B36D3B"/>
    <w:rsid w:val="00B37468"/>
    <w:rsid w:val="00B374A3"/>
    <w:rsid w:val="00B378A1"/>
    <w:rsid w:val="00B427B6"/>
    <w:rsid w:val="00B4316F"/>
    <w:rsid w:val="00B44358"/>
    <w:rsid w:val="00B447D5"/>
    <w:rsid w:val="00B462AF"/>
    <w:rsid w:val="00B47DD4"/>
    <w:rsid w:val="00B52A3B"/>
    <w:rsid w:val="00B52BF5"/>
    <w:rsid w:val="00B52FD3"/>
    <w:rsid w:val="00B533B0"/>
    <w:rsid w:val="00B53C97"/>
    <w:rsid w:val="00B550C9"/>
    <w:rsid w:val="00B55850"/>
    <w:rsid w:val="00B60136"/>
    <w:rsid w:val="00B6150E"/>
    <w:rsid w:val="00B62EC9"/>
    <w:rsid w:val="00B64048"/>
    <w:rsid w:val="00B64607"/>
    <w:rsid w:val="00B65106"/>
    <w:rsid w:val="00B660D1"/>
    <w:rsid w:val="00B66D38"/>
    <w:rsid w:val="00B67FCB"/>
    <w:rsid w:val="00B7145E"/>
    <w:rsid w:val="00B72E50"/>
    <w:rsid w:val="00B74812"/>
    <w:rsid w:val="00B7534A"/>
    <w:rsid w:val="00B766AF"/>
    <w:rsid w:val="00B76BC4"/>
    <w:rsid w:val="00B8083D"/>
    <w:rsid w:val="00B810EC"/>
    <w:rsid w:val="00B8130D"/>
    <w:rsid w:val="00B81424"/>
    <w:rsid w:val="00B8395B"/>
    <w:rsid w:val="00B850AE"/>
    <w:rsid w:val="00B8622B"/>
    <w:rsid w:val="00B86A6A"/>
    <w:rsid w:val="00B91AA1"/>
    <w:rsid w:val="00B92949"/>
    <w:rsid w:val="00B92FBB"/>
    <w:rsid w:val="00B95E0A"/>
    <w:rsid w:val="00B9613F"/>
    <w:rsid w:val="00B969D0"/>
    <w:rsid w:val="00B96BFA"/>
    <w:rsid w:val="00BA1997"/>
    <w:rsid w:val="00BA2F88"/>
    <w:rsid w:val="00BA3229"/>
    <w:rsid w:val="00BA3DDA"/>
    <w:rsid w:val="00BA41F7"/>
    <w:rsid w:val="00BA4829"/>
    <w:rsid w:val="00BA4F07"/>
    <w:rsid w:val="00BA5F12"/>
    <w:rsid w:val="00BA6D6B"/>
    <w:rsid w:val="00BA6FBF"/>
    <w:rsid w:val="00BB28B9"/>
    <w:rsid w:val="00BB29C0"/>
    <w:rsid w:val="00BB2C31"/>
    <w:rsid w:val="00BB3611"/>
    <w:rsid w:val="00BB5475"/>
    <w:rsid w:val="00BB5ACA"/>
    <w:rsid w:val="00BB5E6D"/>
    <w:rsid w:val="00BB7BD0"/>
    <w:rsid w:val="00BC1225"/>
    <w:rsid w:val="00BC33DA"/>
    <w:rsid w:val="00BC6B7E"/>
    <w:rsid w:val="00BD008E"/>
    <w:rsid w:val="00BD2EDA"/>
    <w:rsid w:val="00BD4969"/>
    <w:rsid w:val="00BD670E"/>
    <w:rsid w:val="00BD7D4F"/>
    <w:rsid w:val="00BE0C93"/>
    <w:rsid w:val="00BE3B3F"/>
    <w:rsid w:val="00BE4440"/>
    <w:rsid w:val="00BE6037"/>
    <w:rsid w:val="00BF0157"/>
    <w:rsid w:val="00BF05AF"/>
    <w:rsid w:val="00BF2691"/>
    <w:rsid w:val="00BF3454"/>
    <w:rsid w:val="00BF3AC8"/>
    <w:rsid w:val="00BF4A61"/>
    <w:rsid w:val="00BF4AFA"/>
    <w:rsid w:val="00BF4E3D"/>
    <w:rsid w:val="00C00B44"/>
    <w:rsid w:val="00C019A2"/>
    <w:rsid w:val="00C01A58"/>
    <w:rsid w:val="00C028B6"/>
    <w:rsid w:val="00C02ABA"/>
    <w:rsid w:val="00C0312C"/>
    <w:rsid w:val="00C0413C"/>
    <w:rsid w:val="00C054EE"/>
    <w:rsid w:val="00C0695E"/>
    <w:rsid w:val="00C06BBA"/>
    <w:rsid w:val="00C10378"/>
    <w:rsid w:val="00C11C48"/>
    <w:rsid w:val="00C12A57"/>
    <w:rsid w:val="00C1554C"/>
    <w:rsid w:val="00C16EAA"/>
    <w:rsid w:val="00C16ECE"/>
    <w:rsid w:val="00C200B2"/>
    <w:rsid w:val="00C2052E"/>
    <w:rsid w:val="00C206C9"/>
    <w:rsid w:val="00C2121F"/>
    <w:rsid w:val="00C2217E"/>
    <w:rsid w:val="00C22AB4"/>
    <w:rsid w:val="00C23580"/>
    <w:rsid w:val="00C268AA"/>
    <w:rsid w:val="00C26DE7"/>
    <w:rsid w:val="00C31F58"/>
    <w:rsid w:val="00C33094"/>
    <w:rsid w:val="00C333E6"/>
    <w:rsid w:val="00C33673"/>
    <w:rsid w:val="00C343E2"/>
    <w:rsid w:val="00C34B18"/>
    <w:rsid w:val="00C35E80"/>
    <w:rsid w:val="00C36C0E"/>
    <w:rsid w:val="00C36C6D"/>
    <w:rsid w:val="00C41AA9"/>
    <w:rsid w:val="00C441C3"/>
    <w:rsid w:val="00C46CC7"/>
    <w:rsid w:val="00C47054"/>
    <w:rsid w:val="00C47151"/>
    <w:rsid w:val="00C50479"/>
    <w:rsid w:val="00C52815"/>
    <w:rsid w:val="00C565A6"/>
    <w:rsid w:val="00C572F8"/>
    <w:rsid w:val="00C605EE"/>
    <w:rsid w:val="00C60C93"/>
    <w:rsid w:val="00C60E93"/>
    <w:rsid w:val="00C60EA4"/>
    <w:rsid w:val="00C60EE7"/>
    <w:rsid w:val="00C612D3"/>
    <w:rsid w:val="00C628E4"/>
    <w:rsid w:val="00C62A90"/>
    <w:rsid w:val="00C62BDF"/>
    <w:rsid w:val="00C63AC2"/>
    <w:rsid w:val="00C65689"/>
    <w:rsid w:val="00C66157"/>
    <w:rsid w:val="00C74D68"/>
    <w:rsid w:val="00C75CDA"/>
    <w:rsid w:val="00C81FE4"/>
    <w:rsid w:val="00C844B2"/>
    <w:rsid w:val="00C84D08"/>
    <w:rsid w:val="00C8625F"/>
    <w:rsid w:val="00C904BA"/>
    <w:rsid w:val="00C90DD0"/>
    <w:rsid w:val="00C91997"/>
    <w:rsid w:val="00C921B9"/>
    <w:rsid w:val="00C94E26"/>
    <w:rsid w:val="00C94F25"/>
    <w:rsid w:val="00C9522E"/>
    <w:rsid w:val="00C96779"/>
    <w:rsid w:val="00CA013B"/>
    <w:rsid w:val="00CA0AEF"/>
    <w:rsid w:val="00CA1EA8"/>
    <w:rsid w:val="00CA2046"/>
    <w:rsid w:val="00CA31C5"/>
    <w:rsid w:val="00CA4437"/>
    <w:rsid w:val="00CA5680"/>
    <w:rsid w:val="00CA598F"/>
    <w:rsid w:val="00CB047E"/>
    <w:rsid w:val="00CB14B2"/>
    <w:rsid w:val="00CB1661"/>
    <w:rsid w:val="00CB3448"/>
    <w:rsid w:val="00CB3DC8"/>
    <w:rsid w:val="00CB6FB0"/>
    <w:rsid w:val="00CB76CD"/>
    <w:rsid w:val="00CB7BBA"/>
    <w:rsid w:val="00CC17EE"/>
    <w:rsid w:val="00CC1CE3"/>
    <w:rsid w:val="00CC1E7F"/>
    <w:rsid w:val="00CC1FF2"/>
    <w:rsid w:val="00CC2F3C"/>
    <w:rsid w:val="00CC3AAC"/>
    <w:rsid w:val="00CC4328"/>
    <w:rsid w:val="00CC4BD1"/>
    <w:rsid w:val="00CC5546"/>
    <w:rsid w:val="00CC56DD"/>
    <w:rsid w:val="00CC5764"/>
    <w:rsid w:val="00CC5922"/>
    <w:rsid w:val="00CD02AB"/>
    <w:rsid w:val="00CD0DC5"/>
    <w:rsid w:val="00CD2472"/>
    <w:rsid w:val="00CD49E9"/>
    <w:rsid w:val="00CD6FF2"/>
    <w:rsid w:val="00CD7879"/>
    <w:rsid w:val="00CE090F"/>
    <w:rsid w:val="00CE4757"/>
    <w:rsid w:val="00CE78E5"/>
    <w:rsid w:val="00CE79BB"/>
    <w:rsid w:val="00CF2438"/>
    <w:rsid w:val="00CF5372"/>
    <w:rsid w:val="00CF5C52"/>
    <w:rsid w:val="00CF6A27"/>
    <w:rsid w:val="00CF6BFD"/>
    <w:rsid w:val="00D001EA"/>
    <w:rsid w:val="00D01544"/>
    <w:rsid w:val="00D01A0B"/>
    <w:rsid w:val="00D0608A"/>
    <w:rsid w:val="00D063C6"/>
    <w:rsid w:val="00D06C46"/>
    <w:rsid w:val="00D07A5C"/>
    <w:rsid w:val="00D07D14"/>
    <w:rsid w:val="00D104C0"/>
    <w:rsid w:val="00D136DE"/>
    <w:rsid w:val="00D13BFE"/>
    <w:rsid w:val="00D16090"/>
    <w:rsid w:val="00D1724B"/>
    <w:rsid w:val="00D17B87"/>
    <w:rsid w:val="00D20FD1"/>
    <w:rsid w:val="00D22457"/>
    <w:rsid w:val="00D22BF2"/>
    <w:rsid w:val="00D22E23"/>
    <w:rsid w:val="00D238FD"/>
    <w:rsid w:val="00D23DF8"/>
    <w:rsid w:val="00D24AB2"/>
    <w:rsid w:val="00D24C85"/>
    <w:rsid w:val="00D25689"/>
    <w:rsid w:val="00D25B19"/>
    <w:rsid w:val="00D278E5"/>
    <w:rsid w:val="00D27C6E"/>
    <w:rsid w:val="00D30049"/>
    <w:rsid w:val="00D33323"/>
    <w:rsid w:val="00D34A81"/>
    <w:rsid w:val="00D366D4"/>
    <w:rsid w:val="00D44081"/>
    <w:rsid w:val="00D455D3"/>
    <w:rsid w:val="00D456F5"/>
    <w:rsid w:val="00D45DFF"/>
    <w:rsid w:val="00D463C7"/>
    <w:rsid w:val="00D508F0"/>
    <w:rsid w:val="00D51867"/>
    <w:rsid w:val="00D5357C"/>
    <w:rsid w:val="00D56953"/>
    <w:rsid w:val="00D573F4"/>
    <w:rsid w:val="00D57F0C"/>
    <w:rsid w:val="00D601C0"/>
    <w:rsid w:val="00D60B5F"/>
    <w:rsid w:val="00D60C0C"/>
    <w:rsid w:val="00D624C2"/>
    <w:rsid w:val="00D63052"/>
    <w:rsid w:val="00D63AC7"/>
    <w:rsid w:val="00D64A05"/>
    <w:rsid w:val="00D656E6"/>
    <w:rsid w:val="00D66CBC"/>
    <w:rsid w:val="00D6766D"/>
    <w:rsid w:val="00D6785C"/>
    <w:rsid w:val="00D67E77"/>
    <w:rsid w:val="00D67ECE"/>
    <w:rsid w:val="00D7054D"/>
    <w:rsid w:val="00D7479C"/>
    <w:rsid w:val="00D75162"/>
    <w:rsid w:val="00D75EB2"/>
    <w:rsid w:val="00D76F49"/>
    <w:rsid w:val="00D82C22"/>
    <w:rsid w:val="00D83382"/>
    <w:rsid w:val="00D83BA3"/>
    <w:rsid w:val="00D845F1"/>
    <w:rsid w:val="00D8509E"/>
    <w:rsid w:val="00D85275"/>
    <w:rsid w:val="00D854C1"/>
    <w:rsid w:val="00D858AF"/>
    <w:rsid w:val="00D86C82"/>
    <w:rsid w:val="00D87B01"/>
    <w:rsid w:val="00D918D9"/>
    <w:rsid w:val="00D93719"/>
    <w:rsid w:val="00D94410"/>
    <w:rsid w:val="00D94616"/>
    <w:rsid w:val="00D94CD7"/>
    <w:rsid w:val="00D95AD2"/>
    <w:rsid w:val="00D964AC"/>
    <w:rsid w:val="00D96C2E"/>
    <w:rsid w:val="00DA0644"/>
    <w:rsid w:val="00DA21E1"/>
    <w:rsid w:val="00DA405C"/>
    <w:rsid w:val="00DA406F"/>
    <w:rsid w:val="00DA5C48"/>
    <w:rsid w:val="00DA63BF"/>
    <w:rsid w:val="00DB12D4"/>
    <w:rsid w:val="00DB262B"/>
    <w:rsid w:val="00DB2ABE"/>
    <w:rsid w:val="00DB35A6"/>
    <w:rsid w:val="00DB4B3A"/>
    <w:rsid w:val="00DB57CE"/>
    <w:rsid w:val="00DB6AF1"/>
    <w:rsid w:val="00DB6D7D"/>
    <w:rsid w:val="00DB71CA"/>
    <w:rsid w:val="00DC0352"/>
    <w:rsid w:val="00DC082E"/>
    <w:rsid w:val="00DC0AFD"/>
    <w:rsid w:val="00DC198D"/>
    <w:rsid w:val="00DC2CD6"/>
    <w:rsid w:val="00DC3B64"/>
    <w:rsid w:val="00DC3C9D"/>
    <w:rsid w:val="00DC4C01"/>
    <w:rsid w:val="00DC4CD6"/>
    <w:rsid w:val="00DC562A"/>
    <w:rsid w:val="00DC61ED"/>
    <w:rsid w:val="00DC65C5"/>
    <w:rsid w:val="00DC7B52"/>
    <w:rsid w:val="00DD07C4"/>
    <w:rsid w:val="00DD2BA4"/>
    <w:rsid w:val="00DD2C38"/>
    <w:rsid w:val="00DD30C8"/>
    <w:rsid w:val="00DD3FC8"/>
    <w:rsid w:val="00DD468E"/>
    <w:rsid w:val="00DD56E5"/>
    <w:rsid w:val="00DE0FFE"/>
    <w:rsid w:val="00DE5227"/>
    <w:rsid w:val="00DE5FD4"/>
    <w:rsid w:val="00DE6EE1"/>
    <w:rsid w:val="00DE7B24"/>
    <w:rsid w:val="00DF0F68"/>
    <w:rsid w:val="00DF287C"/>
    <w:rsid w:val="00DF3DF5"/>
    <w:rsid w:val="00DF5A06"/>
    <w:rsid w:val="00DF64D6"/>
    <w:rsid w:val="00DF7B76"/>
    <w:rsid w:val="00E01834"/>
    <w:rsid w:val="00E031BD"/>
    <w:rsid w:val="00E0331C"/>
    <w:rsid w:val="00E033ED"/>
    <w:rsid w:val="00E059D9"/>
    <w:rsid w:val="00E05DEC"/>
    <w:rsid w:val="00E05E8B"/>
    <w:rsid w:val="00E07E55"/>
    <w:rsid w:val="00E109BA"/>
    <w:rsid w:val="00E11FDA"/>
    <w:rsid w:val="00E201CC"/>
    <w:rsid w:val="00E21BB5"/>
    <w:rsid w:val="00E231A2"/>
    <w:rsid w:val="00E240BA"/>
    <w:rsid w:val="00E241F5"/>
    <w:rsid w:val="00E24E91"/>
    <w:rsid w:val="00E2592C"/>
    <w:rsid w:val="00E25AC1"/>
    <w:rsid w:val="00E26E24"/>
    <w:rsid w:val="00E27BF7"/>
    <w:rsid w:val="00E30F2D"/>
    <w:rsid w:val="00E33866"/>
    <w:rsid w:val="00E33A99"/>
    <w:rsid w:val="00E34472"/>
    <w:rsid w:val="00E359C7"/>
    <w:rsid w:val="00E361B9"/>
    <w:rsid w:val="00E41C42"/>
    <w:rsid w:val="00E41D87"/>
    <w:rsid w:val="00E46128"/>
    <w:rsid w:val="00E46B3C"/>
    <w:rsid w:val="00E46CD5"/>
    <w:rsid w:val="00E4722B"/>
    <w:rsid w:val="00E50050"/>
    <w:rsid w:val="00E522AE"/>
    <w:rsid w:val="00E53309"/>
    <w:rsid w:val="00E537A8"/>
    <w:rsid w:val="00E53B67"/>
    <w:rsid w:val="00E53E58"/>
    <w:rsid w:val="00E555C7"/>
    <w:rsid w:val="00E5715C"/>
    <w:rsid w:val="00E602F0"/>
    <w:rsid w:val="00E62FDD"/>
    <w:rsid w:val="00E630E6"/>
    <w:rsid w:val="00E64CEB"/>
    <w:rsid w:val="00E668FF"/>
    <w:rsid w:val="00E672E6"/>
    <w:rsid w:val="00E679E9"/>
    <w:rsid w:val="00E718A9"/>
    <w:rsid w:val="00E718EF"/>
    <w:rsid w:val="00E71969"/>
    <w:rsid w:val="00E71F07"/>
    <w:rsid w:val="00E7218A"/>
    <w:rsid w:val="00E72591"/>
    <w:rsid w:val="00E7279A"/>
    <w:rsid w:val="00E732A7"/>
    <w:rsid w:val="00E73AD6"/>
    <w:rsid w:val="00E76293"/>
    <w:rsid w:val="00E7649F"/>
    <w:rsid w:val="00E8060C"/>
    <w:rsid w:val="00E809E0"/>
    <w:rsid w:val="00E816BD"/>
    <w:rsid w:val="00E81F6E"/>
    <w:rsid w:val="00E837E0"/>
    <w:rsid w:val="00E842B5"/>
    <w:rsid w:val="00E84C05"/>
    <w:rsid w:val="00E85F3D"/>
    <w:rsid w:val="00E871BA"/>
    <w:rsid w:val="00E874F7"/>
    <w:rsid w:val="00E91906"/>
    <w:rsid w:val="00E91B57"/>
    <w:rsid w:val="00E93902"/>
    <w:rsid w:val="00E93A46"/>
    <w:rsid w:val="00E94261"/>
    <w:rsid w:val="00E9731B"/>
    <w:rsid w:val="00E97449"/>
    <w:rsid w:val="00EA0767"/>
    <w:rsid w:val="00EA0F0D"/>
    <w:rsid w:val="00EA15CD"/>
    <w:rsid w:val="00EA1C04"/>
    <w:rsid w:val="00EA3859"/>
    <w:rsid w:val="00EA4C16"/>
    <w:rsid w:val="00EA544A"/>
    <w:rsid w:val="00EA6452"/>
    <w:rsid w:val="00EA7D1B"/>
    <w:rsid w:val="00EB02E9"/>
    <w:rsid w:val="00EB11B7"/>
    <w:rsid w:val="00EB1697"/>
    <w:rsid w:val="00EB386B"/>
    <w:rsid w:val="00EB3FAC"/>
    <w:rsid w:val="00EB4637"/>
    <w:rsid w:val="00EB5048"/>
    <w:rsid w:val="00EC0CB3"/>
    <w:rsid w:val="00EC1365"/>
    <w:rsid w:val="00EC2F6E"/>
    <w:rsid w:val="00EC4086"/>
    <w:rsid w:val="00EC49AF"/>
    <w:rsid w:val="00EC4DC0"/>
    <w:rsid w:val="00EC557F"/>
    <w:rsid w:val="00EC596F"/>
    <w:rsid w:val="00EC5D14"/>
    <w:rsid w:val="00EC6603"/>
    <w:rsid w:val="00EC7B13"/>
    <w:rsid w:val="00ED08CA"/>
    <w:rsid w:val="00ED1D23"/>
    <w:rsid w:val="00ED511E"/>
    <w:rsid w:val="00ED5909"/>
    <w:rsid w:val="00ED5E88"/>
    <w:rsid w:val="00ED6FAD"/>
    <w:rsid w:val="00ED744F"/>
    <w:rsid w:val="00EE1CC7"/>
    <w:rsid w:val="00EE290C"/>
    <w:rsid w:val="00EE2ACD"/>
    <w:rsid w:val="00EE4655"/>
    <w:rsid w:val="00EE4D9F"/>
    <w:rsid w:val="00EE6F18"/>
    <w:rsid w:val="00EE7DA1"/>
    <w:rsid w:val="00EF3FF8"/>
    <w:rsid w:val="00EF5187"/>
    <w:rsid w:val="00EF7885"/>
    <w:rsid w:val="00EF7E4C"/>
    <w:rsid w:val="00F029B4"/>
    <w:rsid w:val="00F02E3F"/>
    <w:rsid w:val="00F05178"/>
    <w:rsid w:val="00F05FA0"/>
    <w:rsid w:val="00F06CE5"/>
    <w:rsid w:val="00F071AE"/>
    <w:rsid w:val="00F079A2"/>
    <w:rsid w:val="00F07AD5"/>
    <w:rsid w:val="00F11945"/>
    <w:rsid w:val="00F11AA6"/>
    <w:rsid w:val="00F13163"/>
    <w:rsid w:val="00F131DA"/>
    <w:rsid w:val="00F13AD7"/>
    <w:rsid w:val="00F13E3D"/>
    <w:rsid w:val="00F143F6"/>
    <w:rsid w:val="00F14540"/>
    <w:rsid w:val="00F14600"/>
    <w:rsid w:val="00F149F2"/>
    <w:rsid w:val="00F14BDD"/>
    <w:rsid w:val="00F15C9C"/>
    <w:rsid w:val="00F169D4"/>
    <w:rsid w:val="00F24562"/>
    <w:rsid w:val="00F274BD"/>
    <w:rsid w:val="00F274DD"/>
    <w:rsid w:val="00F30488"/>
    <w:rsid w:val="00F31543"/>
    <w:rsid w:val="00F31EAC"/>
    <w:rsid w:val="00F322F7"/>
    <w:rsid w:val="00F33592"/>
    <w:rsid w:val="00F376B9"/>
    <w:rsid w:val="00F379EA"/>
    <w:rsid w:val="00F37D31"/>
    <w:rsid w:val="00F42197"/>
    <w:rsid w:val="00F44CAD"/>
    <w:rsid w:val="00F46189"/>
    <w:rsid w:val="00F4647C"/>
    <w:rsid w:val="00F47256"/>
    <w:rsid w:val="00F475BB"/>
    <w:rsid w:val="00F4764C"/>
    <w:rsid w:val="00F47FBD"/>
    <w:rsid w:val="00F51AFF"/>
    <w:rsid w:val="00F5284D"/>
    <w:rsid w:val="00F53148"/>
    <w:rsid w:val="00F53220"/>
    <w:rsid w:val="00F54990"/>
    <w:rsid w:val="00F55DC6"/>
    <w:rsid w:val="00F56029"/>
    <w:rsid w:val="00F57D6B"/>
    <w:rsid w:val="00F63309"/>
    <w:rsid w:val="00F633F6"/>
    <w:rsid w:val="00F63A4D"/>
    <w:rsid w:val="00F6469C"/>
    <w:rsid w:val="00F661DB"/>
    <w:rsid w:val="00F66283"/>
    <w:rsid w:val="00F701BA"/>
    <w:rsid w:val="00F70A8B"/>
    <w:rsid w:val="00F71105"/>
    <w:rsid w:val="00F71BB3"/>
    <w:rsid w:val="00F71D56"/>
    <w:rsid w:val="00F742D8"/>
    <w:rsid w:val="00F744FC"/>
    <w:rsid w:val="00F75BA8"/>
    <w:rsid w:val="00F77C72"/>
    <w:rsid w:val="00F77D9B"/>
    <w:rsid w:val="00F8011D"/>
    <w:rsid w:val="00F80F14"/>
    <w:rsid w:val="00F814A8"/>
    <w:rsid w:val="00F82118"/>
    <w:rsid w:val="00F8481C"/>
    <w:rsid w:val="00F8618D"/>
    <w:rsid w:val="00F86A74"/>
    <w:rsid w:val="00F87DCA"/>
    <w:rsid w:val="00F91480"/>
    <w:rsid w:val="00F92EAE"/>
    <w:rsid w:val="00F9395B"/>
    <w:rsid w:val="00F950A1"/>
    <w:rsid w:val="00F9548E"/>
    <w:rsid w:val="00F96391"/>
    <w:rsid w:val="00F966E4"/>
    <w:rsid w:val="00F9704B"/>
    <w:rsid w:val="00FA0149"/>
    <w:rsid w:val="00FA0A95"/>
    <w:rsid w:val="00FA6853"/>
    <w:rsid w:val="00FB0724"/>
    <w:rsid w:val="00FB074E"/>
    <w:rsid w:val="00FB0D73"/>
    <w:rsid w:val="00FB1308"/>
    <w:rsid w:val="00FB1DA6"/>
    <w:rsid w:val="00FB4460"/>
    <w:rsid w:val="00FB4739"/>
    <w:rsid w:val="00FB4EFE"/>
    <w:rsid w:val="00FB4F04"/>
    <w:rsid w:val="00FB6C37"/>
    <w:rsid w:val="00FB6EA0"/>
    <w:rsid w:val="00FB7332"/>
    <w:rsid w:val="00FB7AD4"/>
    <w:rsid w:val="00FC308E"/>
    <w:rsid w:val="00FC5C48"/>
    <w:rsid w:val="00FC61EB"/>
    <w:rsid w:val="00FD01AD"/>
    <w:rsid w:val="00FD0359"/>
    <w:rsid w:val="00FD0749"/>
    <w:rsid w:val="00FD208D"/>
    <w:rsid w:val="00FD486F"/>
    <w:rsid w:val="00FD76C5"/>
    <w:rsid w:val="00FE049A"/>
    <w:rsid w:val="00FE0583"/>
    <w:rsid w:val="00FE0AA7"/>
    <w:rsid w:val="00FE0B30"/>
    <w:rsid w:val="00FE2AD6"/>
    <w:rsid w:val="00FE58D2"/>
    <w:rsid w:val="00FE700B"/>
    <w:rsid w:val="00FE79CF"/>
    <w:rsid w:val="00FF0BEC"/>
    <w:rsid w:val="00FF1233"/>
    <w:rsid w:val="00FF299C"/>
    <w:rsid w:val="00FF37D3"/>
    <w:rsid w:val="00FF58AB"/>
    <w:rsid w:val="00FF74E7"/>
    <w:rsid w:val="04D1D420"/>
    <w:rsid w:val="0676DED6"/>
    <w:rsid w:val="07AA0E3A"/>
    <w:rsid w:val="0DF2B615"/>
    <w:rsid w:val="10C5AC69"/>
    <w:rsid w:val="14E19CB9"/>
    <w:rsid w:val="152DCBBE"/>
    <w:rsid w:val="180DC9DF"/>
    <w:rsid w:val="1E74FC8F"/>
    <w:rsid w:val="20B435A3"/>
    <w:rsid w:val="21CCBD2F"/>
    <w:rsid w:val="21EDB012"/>
    <w:rsid w:val="2932BCE0"/>
    <w:rsid w:val="29CFC34C"/>
    <w:rsid w:val="29F0C91E"/>
    <w:rsid w:val="2C6797D0"/>
    <w:rsid w:val="31FD023D"/>
    <w:rsid w:val="364BBF54"/>
    <w:rsid w:val="3823CCA5"/>
    <w:rsid w:val="3825936B"/>
    <w:rsid w:val="39C78E49"/>
    <w:rsid w:val="3A33AC2E"/>
    <w:rsid w:val="3A4F02C4"/>
    <w:rsid w:val="3AC340CA"/>
    <w:rsid w:val="3B1A56A7"/>
    <w:rsid w:val="3CFF57E0"/>
    <w:rsid w:val="3F6C4EEA"/>
    <w:rsid w:val="41C2C552"/>
    <w:rsid w:val="425C03DD"/>
    <w:rsid w:val="44C2C5BE"/>
    <w:rsid w:val="47680DD2"/>
    <w:rsid w:val="4E0446C9"/>
    <w:rsid w:val="4F78CCE6"/>
    <w:rsid w:val="54AC3C1D"/>
    <w:rsid w:val="572B2680"/>
    <w:rsid w:val="59C557D1"/>
    <w:rsid w:val="5A1B69AD"/>
    <w:rsid w:val="5AC41C01"/>
    <w:rsid w:val="5C6C1D55"/>
    <w:rsid w:val="5CEE81BF"/>
    <w:rsid w:val="5F29F250"/>
    <w:rsid w:val="61DDF96F"/>
    <w:rsid w:val="64539B7E"/>
    <w:rsid w:val="65FCCB56"/>
    <w:rsid w:val="6976F552"/>
    <w:rsid w:val="6D9288D6"/>
    <w:rsid w:val="6E8822F1"/>
    <w:rsid w:val="6EEB394A"/>
    <w:rsid w:val="70355242"/>
    <w:rsid w:val="7106EDBE"/>
    <w:rsid w:val="73A4EA75"/>
    <w:rsid w:val="77847154"/>
    <w:rsid w:val="791606B5"/>
    <w:rsid w:val="7B421A9A"/>
    <w:rsid w:val="7D78EC0B"/>
    <w:rsid w:val="7FA347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0F1ACC1B"/>
  <w15:docId w15:val="{86491BED-A1EF-4041-9B05-BCDFD2BAB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0" w:qFormat="1"/>
    <w:lsdException w:name="heading 2" w:semiHidden="1" w:uiPriority="10" w:unhideWhenUsed="1" w:qFormat="1"/>
    <w:lsdException w:name="heading 3" w:semiHidden="1" w:uiPriority="10" w:unhideWhenUsed="1" w:qFormat="1"/>
    <w:lsdException w:name="heading 4" w:semiHidden="1" w:uiPriority="1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iPriority="5" w:unhideWhenUsed="1" w:qFormat="1"/>
    <w:lsdException w:name="toa heading" w:semiHidden="1" w:unhideWhenUsed="1"/>
    <w:lsdException w:name="List" w:semiHidden="1" w:unhideWhenUsed="1"/>
    <w:lsdException w:name="List Bullet" w:semiHidden="1" w:uiPriority="35"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0"/>
    <w:lsdException w:name="Plain Table 2" w:uiPriority="0"/>
    <w:lsdException w:name="Plain Table 3" w:uiPriority="0"/>
    <w:lsdException w:name="Plain Table 4" w:uiPriority="44"/>
    <w:lsdException w:name="Plain Table 5" w:uiPriority="45"/>
    <w:lsdException w:name="Grid Table Light" w:uiPriority="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23E"/>
    <w:pPr>
      <w:spacing w:after="240" w:line="240" w:lineRule="auto"/>
      <w:jc w:val="both"/>
    </w:pPr>
    <w:rPr>
      <w:rFonts w:ascii="Times New Roman" w:hAnsi="Times New Roman" w:cs="Times New Roman"/>
      <w:sz w:val="24"/>
      <w:szCs w:val="24"/>
    </w:rPr>
  </w:style>
  <w:style w:type="paragraph" w:styleId="Heading1">
    <w:name w:val="heading 1"/>
    <w:basedOn w:val="Normal"/>
    <w:next w:val="Text1"/>
    <w:link w:val="Heading1Char"/>
    <w:uiPriority w:val="10"/>
    <w:qFormat/>
    <w:rsid w:val="006B087E"/>
    <w:pPr>
      <w:keepNext/>
      <w:numPr>
        <w:numId w:val="5"/>
      </w:numPr>
      <w:spacing w:before="240"/>
      <w:outlineLvl w:val="0"/>
    </w:pPr>
    <w:rPr>
      <w:rFonts w:eastAsia="Times New Roman"/>
      <w:b/>
      <w:smallCaps/>
      <w:szCs w:val="20"/>
    </w:rPr>
  </w:style>
  <w:style w:type="paragraph" w:styleId="Heading2">
    <w:name w:val="heading 2"/>
    <w:basedOn w:val="Normal"/>
    <w:next w:val="Text2"/>
    <w:link w:val="Heading2Char"/>
    <w:uiPriority w:val="10"/>
    <w:qFormat/>
    <w:rsid w:val="006B087E"/>
    <w:pPr>
      <w:keepNext/>
      <w:numPr>
        <w:ilvl w:val="1"/>
        <w:numId w:val="5"/>
      </w:numPr>
      <w:outlineLvl w:val="1"/>
    </w:pPr>
    <w:rPr>
      <w:rFonts w:eastAsia="Times New Roman"/>
      <w:b/>
      <w:szCs w:val="20"/>
    </w:rPr>
  </w:style>
  <w:style w:type="paragraph" w:styleId="Heading3">
    <w:name w:val="heading 3"/>
    <w:basedOn w:val="Normal"/>
    <w:next w:val="Normal"/>
    <w:link w:val="Heading3Char"/>
    <w:uiPriority w:val="10"/>
    <w:qFormat/>
    <w:rsid w:val="006B087E"/>
    <w:pPr>
      <w:keepNext/>
      <w:numPr>
        <w:ilvl w:val="2"/>
        <w:numId w:val="5"/>
      </w:numPr>
      <w:outlineLvl w:val="2"/>
    </w:pPr>
    <w:rPr>
      <w:rFonts w:eastAsia="Times New Roman"/>
      <w:i/>
      <w:szCs w:val="20"/>
    </w:rPr>
  </w:style>
  <w:style w:type="paragraph" w:styleId="Heading4">
    <w:name w:val="heading 4"/>
    <w:basedOn w:val="Normal"/>
    <w:next w:val="Normal"/>
    <w:link w:val="Heading4Char"/>
    <w:uiPriority w:val="10"/>
    <w:qFormat/>
    <w:rsid w:val="006B087E"/>
    <w:pPr>
      <w:keepNext/>
      <w:numPr>
        <w:ilvl w:val="3"/>
        <w:numId w:val="5"/>
      </w:numPr>
      <w:outlineLvl w:val="3"/>
    </w:pPr>
    <w:rPr>
      <w:rFonts w:eastAsia="Times New Roman"/>
      <w:szCs w:val="20"/>
    </w:rPr>
  </w:style>
  <w:style w:type="paragraph" w:styleId="Heading5">
    <w:name w:val="heading 5"/>
    <w:basedOn w:val="Normal"/>
    <w:next w:val="Normal"/>
    <w:link w:val="Heading5Char"/>
    <w:unhideWhenUsed/>
    <w:qFormat/>
    <w:rsid w:val="0053316B"/>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EC49AF"/>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EC49AF"/>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rsid w:val="00EC49AF"/>
    <w:pPr>
      <w:keepNext/>
      <w:spacing w:after="120" w:line="264" w:lineRule="auto"/>
      <w:outlineLvl w:val="7"/>
    </w:pPr>
    <w:rPr>
      <w:rFonts w:eastAsia="Times New Roman"/>
      <w:sz w:val="22"/>
      <w:szCs w:val="20"/>
      <w:lang w:eastAsia="en-IE"/>
    </w:rPr>
  </w:style>
  <w:style w:type="paragraph" w:styleId="Heading9">
    <w:name w:val="heading 9"/>
    <w:basedOn w:val="Normal"/>
    <w:next w:val="Normal"/>
    <w:link w:val="Heading9Char"/>
    <w:semiHidden/>
    <w:rsid w:val="00EC49AF"/>
    <w:pPr>
      <w:keepNext/>
      <w:spacing w:after="120" w:line="264" w:lineRule="auto"/>
      <w:outlineLvl w:val="8"/>
    </w:pPr>
    <w:rPr>
      <w:rFonts w:eastAsia="Times New Roman"/>
      <w:sz w:val="22"/>
      <w:szCs w:val="20"/>
      <w:lang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0"/>
    <w:rsid w:val="006B087E"/>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uiPriority w:val="10"/>
    <w:rsid w:val="006B087E"/>
    <w:rPr>
      <w:rFonts w:ascii="Times New Roman" w:eastAsia="Times New Roman" w:hAnsi="Times New Roman" w:cs="Times New Roman"/>
      <w:b/>
      <w:sz w:val="24"/>
      <w:szCs w:val="20"/>
    </w:rPr>
  </w:style>
  <w:style w:type="character" w:customStyle="1" w:styleId="Heading3Char">
    <w:name w:val="Heading 3 Char"/>
    <w:basedOn w:val="DefaultParagraphFont"/>
    <w:link w:val="Heading3"/>
    <w:uiPriority w:val="10"/>
    <w:rsid w:val="006B087E"/>
    <w:rPr>
      <w:rFonts w:ascii="Times New Roman" w:eastAsia="Times New Roman" w:hAnsi="Times New Roman" w:cs="Times New Roman"/>
      <w:i/>
      <w:sz w:val="24"/>
      <w:szCs w:val="20"/>
    </w:rPr>
  </w:style>
  <w:style w:type="character" w:customStyle="1" w:styleId="Heading4Char">
    <w:name w:val="Heading 4 Char"/>
    <w:basedOn w:val="DefaultParagraphFont"/>
    <w:link w:val="Heading4"/>
    <w:uiPriority w:val="10"/>
    <w:rsid w:val="006B087E"/>
    <w:rPr>
      <w:rFonts w:ascii="Times New Roman" w:eastAsia="Times New Roman" w:hAnsi="Times New Roman" w:cs="Times New Roman"/>
      <w:sz w:val="24"/>
      <w:szCs w:val="20"/>
    </w:rPr>
  </w:style>
  <w:style w:type="character" w:customStyle="1" w:styleId="Marker">
    <w:name w:val="Marker"/>
    <w:basedOn w:val="DefaultParagraphFont"/>
    <w:rsid w:val="006B087E"/>
    <w:rPr>
      <w:color w:val="0000FF"/>
      <w:shd w:val="clear" w:color="auto" w:fill="auto"/>
    </w:rPr>
  </w:style>
  <w:style w:type="paragraph" w:customStyle="1" w:styleId="Pagedecouverture">
    <w:name w:val="Page de couverture"/>
    <w:basedOn w:val="Normal"/>
    <w:next w:val="Normal"/>
    <w:rsid w:val="006B087E"/>
    <w:pPr>
      <w:spacing w:after="0"/>
    </w:pPr>
  </w:style>
  <w:style w:type="paragraph" w:styleId="Header">
    <w:name w:val="header"/>
    <w:basedOn w:val="Normal"/>
    <w:link w:val="HeaderChar"/>
    <w:unhideWhenUsed/>
    <w:rsid w:val="006B087E"/>
    <w:pPr>
      <w:tabs>
        <w:tab w:val="center" w:pos="4535"/>
        <w:tab w:val="right" w:pos="9071"/>
      </w:tabs>
      <w:spacing w:after="120"/>
    </w:pPr>
  </w:style>
  <w:style w:type="character" w:customStyle="1" w:styleId="HeaderChar">
    <w:name w:val="Header Char"/>
    <w:basedOn w:val="DefaultParagraphFont"/>
    <w:link w:val="Header"/>
    <w:rsid w:val="006B087E"/>
    <w:rPr>
      <w:rFonts w:ascii="Times New Roman" w:hAnsi="Times New Roman" w:cs="Times New Roman"/>
      <w:sz w:val="24"/>
    </w:rPr>
  </w:style>
  <w:style w:type="paragraph" w:styleId="Footer">
    <w:name w:val="footer"/>
    <w:basedOn w:val="Normal"/>
    <w:link w:val="FooterChar"/>
    <w:unhideWhenUsed/>
    <w:rsid w:val="006B087E"/>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rsid w:val="006B087E"/>
    <w:rPr>
      <w:rFonts w:ascii="Times New Roman" w:hAnsi="Times New Roman" w:cs="Times New Roman"/>
      <w:sz w:val="24"/>
    </w:rPr>
  </w:style>
  <w:style w:type="paragraph" w:customStyle="1" w:styleId="FooterCoverPage">
    <w:name w:val="Footer Cover Page"/>
    <w:basedOn w:val="Normal"/>
    <w:link w:val="FooterCoverPageChar"/>
    <w:rsid w:val="006B087E"/>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6B087E"/>
    <w:rPr>
      <w:rFonts w:ascii="Times New Roman" w:hAnsi="Times New Roman" w:cs="Times New Roman"/>
      <w:sz w:val="24"/>
      <w:szCs w:val="24"/>
    </w:rPr>
  </w:style>
  <w:style w:type="paragraph" w:customStyle="1" w:styleId="HeaderCoverPage">
    <w:name w:val="Header Cover Page"/>
    <w:basedOn w:val="Normal"/>
    <w:link w:val="HeaderCoverPageChar"/>
    <w:rsid w:val="006B087E"/>
    <w:pPr>
      <w:tabs>
        <w:tab w:val="center" w:pos="4535"/>
        <w:tab w:val="right" w:pos="9071"/>
      </w:tabs>
      <w:spacing w:after="120"/>
    </w:pPr>
  </w:style>
  <w:style w:type="character" w:customStyle="1" w:styleId="HeaderCoverPageChar">
    <w:name w:val="Header Cover Page Char"/>
    <w:basedOn w:val="DefaultParagraphFont"/>
    <w:link w:val="HeaderCoverPage"/>
    <w:rsid w:val="006B087E"/>
    <w:rPr>
      <w:rFonts w:ascii="Times New Roman" w:hAnsi="Times New Roman" w:cs="Times New Roman"/>
      <w:sz w:val="24"/>
      <w:szCs w:val="24"/>
    </w:rPr>
  </w:style>
  <w:style w:type="paragraph" w:customStyle="1" w:styleId="Text1">
    <w:name w:val="Text 1"/>
    <w:basedOn w:val="Normal"/>
    <w:rsid w:val="006B087E"/>
    <w:pPr>
      <w:ind w:left="482"/>
    </w:pPr>
    <w:rPr>
      <w:rFonts w:eastAsia="Times New Roman"/>
      <w:szCs w:val="20"/>
    </w:rPr>
  </w:style>
  <w:style w:type="paragraph" w:customStyle="1" w:styleId="Text2">
    <w:name w:val="Text 2"/>
    <w:basedOn w:val="Normal"/>
    <w:rsid w:val="006B087E"/>
    <w:pPr>
      <w:tabs>
        <w:tab w:val="left" w:pos="2302"/>
      </w:tabs>
      <w:ind w:left="1202"/>
    </w:pPr>
    <w:rPr>
      <w:rFonts w:eastAsia="Times New Roman"/>
      <w:szCs w:val="20"/>
    </w:rPr>
  </w:style>
  <w:style w:type="paragraph" w:styleId="ListBullet">
    <w:name w:val="List Bullet"/>
    <w:basedOn w:val="Normal"/>
    <w:uiPriority w:val="35"/>
    <w:rsid w:val="006B087E"/>
    <w:pPr>
      <w:numPr>
        <w:numId w:val="2"/>
      </w:numPr>
    </w:pPr>
    <w:rPr>
      <w:rFonts w:eastAsia="Times New Roman"/>
      <w:szCs w:val="20"/>
    </w:rPr>
  </w:style>
  <w:style w:type="paragraph" w:customStyle="1" w:styleId="ListDash1">
    <w:name w:val="List Dash 1"/>
    <w:basedOn w:val="Text1"/>
    <w:rsid w:val="006B087E"/>
    <w:pPr>
      <w:numPr>
        <w:numId w:val="1"/>
      </w:numPr>
    </w:pPr>
  </w:style>
  <w:style w:type="table" w:styleId="TableGrid">
    <w:name w:val="Table Grid"/>
    <w:aliases w:val="Document Table,CV1"/>
    <w:basedOn w:val="TableNormal"/>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0">
    <w:name w:val="Annex Title"/>
    <w:basedOn w:val="Heading1"/>
    <w:next w:val="Normal"/>
    <w:link w:val="AnnexTitleChar"/>
    <w:autoRedefine/>
    <w:qFormat/>
    <w:rsid w:val="00C22AB4"/>
    <w:pPr>
      <w:numPr>
        <w:numId w:val="0"/>
      </w:numPr>
      <w:spacing w:after="480"/>
      <w:jc w:val="center"/>
    </w:pPr>
    <w:rPr>
      <w:sz w:val="32"/>
    </w:rPr>
  </w:style>
  <w:style w:type="character" w:customStyle="1" w:styleId="AnnexTitleChar">
    <w:name w:val="Annex Title Char"/>
    <w:basedOn w:val="DefaultParagraphFont"/>
    <w:link w:val="AnnexTitle0"/>
    <w:rsid w:val="00C22AB4"/>
    <w:rPr>
      <w:rFonts w:ascii="Times New Roman" w:eastAsia="Times New Roman" w:hAnsi="Times New Roman" w:cs="Times New Roman"/>
      <w:b/>
      <w:smallCaps/>
      <w:sz w:val="32"/>
      <w:szCs w:val="20"/>
    </w:rPr>
  </w:style>
  <w:style w:type="table" w:customStyle="1" w:styleId="CV11">
    <w:name w:val="CV11"/>
    <w:basedOn w:val="TableNormal"/>
    <w:next w:val="TableGrid"/>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next w:val="TableGrid"/>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
    <w:name w:val="CV13"/>
    <w:basedOn w:val="TableNormal"/>
    <w:next w:val="TableGrid"/>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A20D8E"/>
    <w:pPr>
      <w:tabs>
        <w:tab w:val="right" w:leader="dot" w:pos="8640"/>
      </w:tabs>
      <w:spacing w:before="120" w:after="120"/>
      <w:ind w:left="482" w:right="720" w:hanging="482"/>
    </w:pPr>
    <w:rPr>
      <w:rFonts w:eastAsia="Times New Roman"/>
      <w:caps/>
      <w:szCs w:val="20"/>
    </w:rPr>
  </w:style>
  <w:style w:type="paragraph" w:styleId="TOC2">
    <w:name w:val="toc 2"/>
    <w:basedOn w:val="Normal"/>
    <w:next w:val="Normal"/>
    <w:uiPriority w:val="39"/>
    <w:rsid w:val="00A20D8E"/>
    <w:pPr>
      <w:tabs>
        <w:tab w:val="right" w:leader="dot" w:pos="8640"/>
      </w:tabs>
      <w:spacing w:before="60" w:after="60"/>
      <w:ind w:left="1077" w:right="720" w:hanging="595"/>
    </w:pPr>
    <w:rPr>
      <w:rFonts w:eastAsia="Times New Roman"/>
      <w:szCs w:val="20"/>
    </w:rPr>
  </w:style>
  <w:style w:type="paragraph" w:styleId="TOCHeading">
    <w:name w:val="TOC Heading"/>
    <w:basedOn w:val="Normal"/>
    <w:next w:val="Normal"/>
    <w:uiPriority w:val="39"/>
    <w:qFormat/>
    <w:rsid w:val="006B087E"/>
    <w:pPr>
      <w:keepNext/>
      <w:spacing w:before="240"/>
      <w:jc w:val="center"/>
    </w:pPr>
    <w:rPr>
      <w:rFonts w:eastAsia="Times New Roman"/>
      <w:b/>
      <w:szCs w:val="20"/>
    </w:rPr>
  </w:style>
  <w:style w:type="character" w:styleId="Hyperlink">
    <w:name w:val="Hyperlink"/>
    <w:basedOn w:val="DefaultParagraphFont"/>
    <w:uiPriority w:val="99"/>
    <w:unhideWhenUsed/>
    <w:rsid w:val="006B087E"/>
    <w:rPr>
      <w:color w:val="0000FF" w:themeColor="hyperlink"/>
      <w:u w:val="single"/>
    </w:rPr>
  </w:style>
  <w:style w:type="paragraph" w:styleId="BalloonText">
    <w:name w:val="Balloon Text"/>
    <w:basedOn w:val="Normal"/>
    <w:link w:val="BalloonTextChar"/>
    <w:unhideWhenUsed/>
    <w:rsid w:val="006B087E"/>
    <w:pPr>
      <w:spacing w:after="0"/>
    </w:pPr>
    <w:rPr>
      <w:rFonts w:ascii="Tahoma" w:hAnsi="Tahoma" w:cs="Tahoma"/>
      <w:sz w:val="16"/>
      <w:szCs w:val="16"/>
    </w:rPr>
  </w:style>
  <w:style w:type="character" w:customStyle="1" w:styleId="BalloonTextChar">
    <w:name w:val="Balloon Text Char"/>
    <w:basedOn w:val="DefaultParagraphFont"/>
    <w:link w:val="BalloonText"/>
    <w:rsid w:val="006B087E"/>
    <w:rPr>
      <w:rFonts w:ascii="Tahoma" w:hAnsi="Tahoma" w:cs="Tahoma"/>
      <w:sz w:val="16"/>
      <w:szCs w:val="16"/>
    </w:rPr>
  </w:style>
  <w:style w:type="paragraph" w:customStyle="1" w:styleId="Declassification">
    <w:name w:val="Declassification"/>
    <w:basedOn w:val="Normal"/>
    <w:next w:val="Normal"/>
    <w:rsid w:val="006B087E"/>
    <w:pPr>
      <w:spacing w:after="0"/>
    </w:pPr>
  </w:style>
  <w:style w:type="paragraph" w:customStyle="1" w:styleId="HeaderLandscape">
    <w:name w:val="HeaderLandscape"/>
    <w:basedOn w:val="Normal"/>
    <w:rsid w:val="006B087E"/>
    <w:pPr>
      <w:tabs>
        <w:tab w:val="center" w:pos="7285"/>
        <w:tab w:val="right" w:pos="14003"/>
      </w:tabs>
      <w:spacing w:after="120"/>
    </w:pPr>
  </w:style>
  <w:style w:type="paragraph" w:customStyle="1" w:styleId="HeaderSensitivity">
    <w:name w:val="Header Sensitivity"/>
    <w:basedOn w:val="Normal"/>
    <w:rsid w:val="006B087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rsid w:val="006B087E"/>
    <w:pPr>
      <w:tabs>
        <w:tab w:val="center" w:pos="7285"/>
        <w:tab w:val="center" w:pos="10913"/>
        <w:tab w:val="right" w:pos="15137"/>
      </w:tabs>
      <w:spacing w:before="360" w:after="0"/>
      <w:ind w:left="-567" w:right="-567"/>
    </w:pPr>
  </w:style>
  <w:style w:type="paragraph" w:customStyle="1" w:styleId="FooterSensitivity">
    <w:name w:val="Footer Sensitivity"/>
    <w:basedOn w:val="Normal"/>
    <w:rsid w:val="006B087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rsid w:val="006B087E"/>
    <w:pPr>
      <w:spacing w:after="120"/>
      <w:jc w:val="right"/>
    </w:pPr>
    <w:rPr>
      <w:sz w:val="28"/>
    </w:rPr>
  </w:style>
  <w:style w:type="character" w:customStyle="1" w:styleId="HeaderSensitivityRightChar">
    <w:name w:val="Header Sensitivity Right Char"/>
    <w:basedOn w:val="DefaultParagraphFont"/>
    <w:link w:val="HeaderSensitivityRight"/>
    <w:rsid w:val="006B087E"/>
    <w:rPr>
      <w:rFonts w:ascii="Times New Roman" w:hAnsi="Times New Roman" w:cs="Times New Roman"/>
      <w:sz w:val="28"/>
      <w:szCs w:val="24"/>
    </w:rPr>
  </w:style>
  <w:style w:type="character" w:customStyle="1" w:styleId="Heading5Char">
    <w:name w:val="Heading 5 Char"/>
    <w:basedOn w:val="DefaultParagraphFont"/>
    <w:link w:val="Heading5"/>
    <w:rsid w:val="0053316B"/>
    <w:rPr>
      <w:rFonts w:asciiTheme="majorHAnsi" w:eastAsiaTheme="majorEastAsia" w:hAnsiTheme="majorHAnsi" w:cstheme="majorBidi"/>
      <w:color w:val="365F91" w:themeColor="accent1" w:themeShade="BF"/>
    </w:rPr>
  </w:style>
  <w:style w:type="paragraph" w:styleId="Title">
    <w:name w:val="Title"/>
    <w:basedOn w:val="Normal"/>
    <w:next w:val="Normal"/>
    <w:link w:val="TitleChar"/>
    <w:uiPriority w:val="40"/>
    <w:qFormat/>
    <w:rsid w:val="0053316B"/>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3316B"/>
    <w:rPr>
      <w:rFonts w:asciiTheme="majorHAnsi" w:eastAsiaTheme="majorEastAsia" w:hAnsiTheme="majorHAnsi" w:cstheme="majorBidi"/>
      <w:spacing w:val="-10"/>
      <w:kern w:val="28"/>
      <w:sz w:val="56"/>
      <w:szCs w:val="56"/>
    </w:rPr>
  </w:style>
  <w:style w:type="paragraph" w:styleId="NoSpacing">
    <w:name w:val="No Spacing"/>
    <w:qFormat/>
    <w:rsid w:val="00FB0D73"/>
    <w:pPr>
      <w:spacing w:after="0" w:line="240" w:lineRule="auto"/>
    </w:pPr>
    <w:rPr>
      <w:rFonts w:eastAsiaTheme="minorEastAsia"/>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nhideWhenUsed/>
    <w:qFormat/>
    <w:rsid w:val="00FB0D73"/>
    <w:pPr>
      <w:spacing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FB0D73"/>
    <w:rPr>
      <w:rFonts w:ascii="Times New Roman" w:eastAsiaTheme="minorEastAsia" w:hAnsi="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nhideWhenUsed/>
    <w:qFormat/>
    <w:rsid w:val="00FB0D73"/>
    <w:rPr>
      <w:vertAlign w:val="superscript"/>
    </w:rPr>
  </w:style>
  <w:style w:type="paragraph" w:customStyle="1" w:styleId="CharCharChar1">
    <w:name w:val="Char Char Char1"/>
    <w:basedOn w:val="Normal"/>
    <w:link w:val="FootnoteReference"/>
    <w:rsid w:val="00FB0D73"/>
    <w:pPr>
      <w:spacing w:after="160" w:line="240" w:lineRule="exact"/>
    </w:pPr>
    <w:rPr>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34"/>
    <w:qFormat/>
    <w:rsid w:val="00281573"/>
    <w:pPr>
      <w:ind w:left="720"/>
      <w:contextualSpacing/>
    </w:pPr>
  </w:style>
  <w:style w:type="character" w:styleId="CommentReference">
    <w:name w:val="annotation reference"/>
    <w:basedOn w:val="DefaultParagraphFont"/>
    <w:uiPriority w:val="99"/>
    <w:unhideWhenUsed/>
    <w:rsid w:val="002252CF"/>
    <w:rPr>
      <w:sz w:val="16"/>
      <w:szCs w:val="16"/>
    </w:rPr>
  </w:style>
  <w:style w:type="paragraph" w:styleId="CommentText">
    <w:name w:val="annotation text"/>
    <w:basedOn w:val="Normal"/>
    <w:link w:val="CommentTextChar"/>
    <w:uiPriority w:val="99"/>
    <w:unhideWhenUsed/>
    <w:rsid w:val="002252CF"/>
    <w:rPr>
      <w:sz w:val="20"/>
      <w:szCs w:val="20"/>
    </w:rPr>
  </w:style>
  <w:style w:type="character" w:customStyle="1" w:styleId="CommentTextChar">
    <w:name w:val="Comment Text Char"/>
    <w:basedOn w:val="DefaultParagraphFont"/>
    <w:link w:val="CommentText"/>
    <w:uiPriority w:val="99"/>
    <w:rsid w:val="002252CF"/>
    <w:rPr>
      <w:rFonts w:ascii="Times New Roman" w:hAnsi="Times New Roman" w:cs="Times New Roman"/>
      <w:sz w:val="20"/>
      <w:szCs w:val="20"/>
    </w:rPr>
  </w:style>
  <w:style w:type="paragraph" w:styleId="CommentSubject">
    <w:name w:val="annotation subject"/>
    <w:basedOn w:val="CommentText"/>
    <w:next w:val="CommentText"/>
    <w:link w:val="CommentSubjectChar"/>
    <w:unhideWhenUsed/>
    <w:rsid w:val="002252CF"/>
    <w:rPr>
      <w:b/>
      <w:bCs/>
    </w:rPr>
  </w:style>
  <w:style w:type="character" w:customStyle="1" w:styleId="CommentSubjectChar">
    <w:name w:val="Comment Subject Char"/>
    <w:basedOn w:val="CommentTextChar"/>
    <w:link w:val="CommentSubject"/>
    <w:rsid w:val="002252CF"/>
    <w:rPr>
      <w:rFonts w:ascii="Times New Roman" w:hAnsi="Times New Roman" w:cs="Times New Roman"/>
      <w:b/>
      <w:bCs/>
      <w:sz w:val="20"/>
      <w:szCs w:val="20"/>
    </w:rPr>
  </w:style>
  <w:style w:type="paragraph" w:styleId="Revision">
    <w:name w:val="Revision"/>
    <w:hidden/>
    <w:rsid w:val="002252CF"/>
    <w:pPr>
      <w:spacing w:after="0" w:line="240" w:lineRule="auto"/>
    </w:pPr>
    <w:rPr>
      <w:rFonts w:ascii="Times New Roman" w:hAnsi="Times New Roman" w:cs="Times New Roman"/>
      <w:sz w:val="24"/>
      <w:szCs w:val="24"/>
    </w:rPr>
  </w:style>
  <w:style w:type="character" w:customStyle="1" w:styleId="UnresolvedMention">
    <w:name w:val="Unresolved Mention"/>
    <w:basedOn w:val="DefaultParagraphFont"/>
    <w:uiPriority w:val="99"/>
    <w:unhideWhenUsed/>
    <w:rsid w:val="00303B8A"/>
    <w:rPr>
      <w:color w:val="605E5C"/>
      <w:shd w:val="clear" w:color="auto" w:fill="E1DFDD"/>
    </w:rPr>
  </w:style>
  <w:style w:type="character" w:styleId="FollowedHyperlink">
    <w:name w:val="FollowedHyperlink"/>
    <w:basedOn w:val="DefaultParagraphFont"/>
    <w:unhideWhenUsed/>
    <w:rsid w:val="002564DE"/>
    <w:rPr>
      <w:color w:val="800080" w:themeColor="followedHyperlink"/>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sid w:val="00995F32"/>
    <w:rPr>
      <w:rFonts w:ascii="Times New Roman" w:hAnsi="Times New Roman" w:cs="Times New Roman"/>
      <w:sz w:val="24"/>
      <w:szCs w:val="24"/>
    </w:rPr>
  </w:style>
  <w:style w:type="table" w:styleId="TableGridLight">
    <w:name w:val="Grid Table Light"/>
    <w:basedOn w:val="TableNormal"/>
    <w:rsid w:val="001A529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anguesfaisantfoi">
    <w:name w:val="Langues faisant foi"/>
    <w:basedOn w:val="Normal"/>
    <w:next w:val="Normal"/>
    <w:rsid w:val="00BF05AF"/>
    <w:pPr>
      <w:spacing w:before="360"/>
      <w:jc w:val="center"/>
    </w:pPr>
    <w:rPr>
      <w:szCs w:val="22"/>
    </w:rPr>
  </w:style>
  <w:style w:type="paragraph" w:customStyle="1" w:styleId="LanguesfaisantfoiPagedecouverture">
    <w:name w:val="Langues faisant foi (Page de couverture)"/>
    <w:basedOn w:val="Normal"/>
    <w:next w:val="Normal"/>
    <w:rsid w:val="00BF05AF"/>
    <w:pPr>
      <w:spacing w:before="360"/>
      <w:jc w:val="center"/>
    </w:pPr>
    <w:rPr>
      <w:szCs w:val="22"/>
    </w:rPr>
  </w:style>
  <w:style w:type="paragraph" w:customStyle="1" w:styleId="IntrtEEE">
    <w:name w:val="Intérêt EEE"/>
    <w:basedOn w:val="Languesfaisantfoi"/>
    <w:next w:val="Normal"/>
    <w:rsid w:val="00BF05AF"/>
    <w:pPr>
      <w:spacing w:after="0"/>
    </w:pPr>
  </w:style>
  <w:style w:type="paragraph" w:customStyle="1" w:styleId="IntrtEEEPagedecouverture">
    <w:name w:val="Intérêt EEE (Page de couverture)"/>
    <w:basedOn w:val="IntrtEEE"/>
    <w:next w:val="Normal"/>
    <w:rsid w:val="00BF05AF"/>
  </w:style>
  <w:style w:type="paragraph" w:customStyle="1" w:styleId="HeadingNumbered2">
    <w:name w:val="Heading Numbered 2"/>
    <w:basedOn w:val="Normal"/>
    <w:next w:val="Normal"/>
    <w:rsid w:val="00F8618D"/>
    <w:pPr>
      <w:keepNext/>
      <w:spacing w:before="360" w:after="360"/>
      <w:outlineLvl w:val="1"/>
    </w:pPr>
    <w:rPr>
      <w:rFonts w:ascii="Calibri" w:eastAsia="MS Mincho" w:hAnsi="Calibri" w:cs="Arial"/>
      <w:noProof/>
      <w:color w:val="325BAA"/>
      <w:sz w:val="28"/>
      <w:szCs w:val="28"/>
      <w:lang w:eastAsia="en-GB"/>
    </w:rPr>
  </w:style>
  <w:style w:type="paragraph" w:styleId="ListNumber">
    <w:name w:val="List Number"/>
    <w:basedOn w:val="Normal"/>
    <w:uiPriority w:val="30"/>
    <w:rsid w:val="00F8618D"/>
    <w:pPr>
      <w:numPr>
        <w:numId w:val="8"/>
      </w:numPr>
      <w:spacing w:after="120" w:line="264" w:lineRule="auto"/>
      <w:contextualSpacing/>
    </w:pPr>
    <w:rPr>
      <w:rFonts w:eastAsia="Times New Roman"/>
      <w:sz w:val="22"/>
      <w:szCs w:val="20"/>
      <w:lang w:eastAsia="en-IE"/>
    </w:rPr>
  </w:style>
  <w:style w:type="paragraph" w:customStyle="1" w:styleId="ListNumberLevel2">
    <w:name w:val="List Number (Level 2)"/>
    <w:basedOn w:val="Normal"/>
    <w:uiPriority w:val="30"/>
    <w:rsid w:val="00F8618D"/>
    <w:pPr>
      <w:numPr>
        <w:ilvl w:val="1"/>
        <w:numId w:val="8"/>
      </w:numPr>
      <w:tabs>
        <w:tab w:val="clear" w:pos="907"/>
      </w:tabs>
      <w:spacing w:after="120" w:line="264" w:lineRule="auto"/>
      <w:contextualSpacing/>
    </w:pPr>
    <w:rPr>
      <w:rFonts w:eastAsia="Times New Roman"/>
      <w:sz w:val="22"/>
      <w:szCs w:val="20"/>
      <w:lang w:eastAsia="en-IE"/>
    </w:rPr>
  </w:style>
  <w:style w:type="paragraph" w:customStyle="1" w:styleId="ListNumberLevel3">
    <w:name w:val="List Number (Level 3)"/>
    <w:basedOn w:val="Normal"/>
    <w:uiPriority w:val="30"/>
    <w:rsid w:val="00F8618D"/>
    <w:pPr>
      <w:numPr>
        <w:ilvl w:val="2"/>
        <w:numId w:val="8"/>
      </w:numPr>
      <w:tabs>
        <w:tab w:val="clear" w:pos="1361"/>
      </w:tabs>
      <w:spacing w:after="120" w:line="264" w:lineRule="auto"/>
      <w:contextualSpacing/>
    </w:pPr>
    <w:rPr>
      <w:rFonts w:eastAsia="Times New Roman"/>
      <w:sz w:val="22"/>
      <w:szCs w:val="20"/>
      <w:lang w:eastAsia="en-IE"/>
    </w:rPr>
  </w:style>
  <w:style w:type="paragraph" w:customStyle="1" w:styleId="ListNumberLevel4">
    <w:name w:val="List Number (Level 4)"/>
    <w:basedOn w:val="Normal"/>
    <w:uiPriority w:val="30"/>
    <w:rsid w:val="00F8618D"/>
    <w:pPr>
      <w:numPr>
        <w:ilvl w:val="3"/>
        <w:numId w:val="8"/>
      </w:numPr>
      <w:tabs>
        <w:tab w:val="clear" w:pos="1814"/>
      </w:tabs>
      <w:spacing w:after="120" w:line="264" w:lineRule="auto"/>
      <w:contextualSpacing/>
    </w:pPr>
    <w:rPr>
      <w:rFonts w:eastAsia="Times New Roman"/>
      <w:sz w:val="22"/>
      <w:szCs w:val="20"/>
      <w:lang w:eastAsia="en-IE"/>
    </w:rPr>
  </w:style>
  <w:style w:type="paragraph" w:styleId="NormalWeb">
    <w:name w:val="Normal (Web)"/>
    <w:basedOn w:val="Normal"/>
    <w:uiPriority w:val="99"/>
    <w:rsid w:val="00BA5F12"/>
    <w:pPr>
      <w:spacing w:before="100" w:beforeAutospacing="1" w:after="100" w:afterAutospacing="1"/>
      <w:jc w:val="left"/>
    </w:pPr>
    <w:rPr>
      <w:rFonts w:eastAsia="Times New Roman"/>
      <w:lang w:eastAsia="en-GB"/>
    </w:rPr>
  </w:style>
  <w:style w:type="character" w:customStyle="1" w:styleId="Heading6Char">
    <w:name w:val="Heading 6 Char"/>
    <w:basedOn w:val="DefaultParagraphFont"/>
    <w:link w:val="Heading6"/>
    <w:rsid w:val="00EC49AF"/>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rsid w:val="00EC49AF"/>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EC49AF"/>
    <w:rPr>
      <w:rFonts w:ascii="Times New Roman" w:eastAsia="Times New Roman" w:hAnsi="Times New Roman" w:cs="Times New Roman"/>
      <w:szCs w:val="20"/>
      <w:lang w:eastAsia="en-IE"/>
    </w:rPr>
  </w:style>
  <w:style w:type="character" w:customStyle="1" w:styleId="Heading9Char">
    <w:name w:val="Heading 9 Char"/>
    <w:basedOn w:val="DefaultParagraphFont"/>
    <w:link w:val="Heading9"/>
    <w:semiHidden/>
    <w:rsid w:val="00EC49AF"/>
    <w:rPr>
      <w:rFonts w:ascii="Times New Roman" w:eastAsia="Times New Roman" w:hAnsi="Times New Roman" w:cs="Times New Roman"/>
      <w:szCs w:val="20"/>
      <w:lang w:eastAsia="en-IE"/>
    </w:rPr>
  </w:style>
  <w:style w:type="character" w:customStyle="1" w:styleId="MacroTextChar">
    <w:name w:val="Macro Text Char"/>
    <w:basedOn w:val="DefaultParagraphFont"/>
    <w:uiPriority w:val="5"/>
    <w:qFormat/>
    <w:rsid w:val="00EC49AF"/>
    <w:rPr>
      <w:rFonts w:ascii="Courier New" w:hAnsi="Courier New"/>
      <w:sz w:val="20"/>
    </w:rPr>
  </w:style>
  <w:style w:type="character" w:styleId="Strong">
    <w:name w:val="Strong"/>
    <w:uiPriority w:val="22"/>
    <w:qFormat/>
    <w:rsid w:val="00EC49AF"/>
    <w:rPr>
      <w:b/>
      <w:bCs/>
    </w:rPr>
  </w:style>
  <w:style w:type="character" w:styleId="Emphasis">
    <w:name w:val="Emphasis"/>
    <w:qFormat/>
    <w:rsid w:val="00EC49AF"/>
    <w:rPr>
      <w:i/>
      <w:iCs/>
    </w:rPr>
  </w:style>
  <w:style w:type="character" w:customStyle="1" w:styleId="mord">
    <w:name w:val="mord"/>
    <w:basedOn w:val="DefaultParagraphFont"/>
    <w:rsid w:val="00EC49AF"/>
  </w:style>
  <w:style w:type="character" w:customStyle="1" w:styleId="mspace">
    <w:name w:val="mspace"/>
    <w:basedOn w:val="DefaultParagraphFont"/>
    <w:rsid w:val="00EC49AF"/>
  </w:style>
  <w:style w:type="character" w:customStyle="1" w:styleId="mbin">
    <w:name w:val="mbin"/>
    <w:basedOn w:val="DefaultParagraphFont"/>
    <w:rsid w:val="00EC49AF"/>
  </w:style>
  <w:style w:type="character" w:customStyle="1" w:styleId="mrel">
    <w:name w:val="mrel"/>
    <w:basedOn w:val="DefaultParagraphFont"/>
    <w:rsid w:val="00EC49AF"/>
  </w:style>
  <w:style w:type="character" w:customStyle="1" w:styleId="vlist-s">
    <w:name w:val="vlist-s"/>
    <w:basedOn w:val="DefaultParagraphFont"/>
    <w:rsid w:val="00EC49AF"/>
  </w:style>
  <w:style w:type="table" w:styleId="GridTable1Light">
    <w:name w:val="Grid Table 1 Light"/>
    <w:basedOn w:val="TableNormal"/>
    <w:uiPriority w:val="46"/>
    <w:rsid w:val="00EC49AF"/>
    <w:pPr>
      <w:spacing w:after="0" w:line="240" w:lineRule="auto"/>
    </w:pPr>
    <w:rPr>
      <w:rFonts w:ascii="Calibri" w:eastAsia="Calibri" w:hAnsi="Calibri" w:cs="Arial"/>
      <w:sz w:val="20"/>
      <w:szCs w:val="20"/>
      <w:lang w:eastAsia="en-GB"/>
    </w:rPr>
    <w:tblPr/>
    <w:tblStylePr w:type="firstRow">
      <w:rPr>
        <w:b/>
        <w:bCs/>
      </w:rPr>
    </w:tblStylePr>
    <w:tblStylePr w:type="lastRow">
      <w:rPr>
        <w:b/>
        <w:bCs/>
      </w:rPr>
    </w:tblStylePr>
    <w:tblStylePr w:type="firstCol">
      <w:rPr>
        <w:b/>
        <w:bCs/>
      </w:rPr>
    </w:tblStylePr>
    <w:tblStylePr w:type="lastCol">
      <w:rPr>
        <w:b/>
        <w:bCs/>
      </w:rPr>
    </w:tblStylePr>
  </w:style>
  <w:style w:type="table" w:styleId="GridTable1Light-Accent1">
    <w:name w:val="Grid Table 1 Light Accent 1"/>
    <w:basedOn w:val="TableNormal"/>
    <w:uiPriority w:val="46"/>
    <w:rsid w:val="00EC49AF"/>
    <w:pPr>
      <w:spacing w:after="0" w:line="240" w:lineRule="auto"/>
    </w:pPr>
    <w:rPr>
      <w:rFonts w:ascii="Calibri" w:eastAsia="Calibri" w:hAnsi="Calibri" w:cs="Arial"/>
      <w:sz w:val="20"/>
      <w:szCs w:val="20"/>
      <w:lang w:eastAsia="en-GB"/>
    </w:rPr>
    <w:tblPr/>
    <w:tblStylePr w:type="firstRow">
      <w:rPr>
        <w:b/>
        <w:bCs/>
      </w:rPr>
    </w:tblStylePr>
    <w:tblStylePr w:type="lastRow">
      <w:rPr>
        <w:b/>
        <w:bCs/>
      </w:rPr>
    </w:tblStylePr>
    <w:tblStylePr w:type="firstCol">
      <w:rPr>
        <w:b/>
        <w:bCs/>
      </w:rPr>
    </w:tblStylePr>
    <w:tblStylePr w:type="lastCol">
      <w:rPr>
        <w:b/>
        <w:bCs/>
      </w:rPr>
    </w:tblStylePr>
  </w:style>
  <w:style w:type="table" w:styleId="PlainTable1">
    <w:name w:val="Plain Table 1"/>
    <w:basedOn w:val="TableNormal"/>
    <w:rsid w:val="00EC49AF"/>
    <w:pPr>
      <w:spacing w:after="0" w:line="240" w:lineRule="auto"/>
    </w:pPr>
    <w:rPr>
      <w:rFonts w:ascii="Calibri" w:eastAsia="Calibri" w:hAnsi="Calibri" w:cs="Arial"/>
      <w:sz w:val="20"/>
      <w:szCs w:val="20"/>
      <w:lang w:eastAsia="en-GB"/>
    </w:rPr>
    <w:tblPr/>
    <w:tblStylePr w:type="firstRow">
      <w:rPr>
        <w:b/>
        <w:bCs/>
      </w:rPr>
    </w:tblStylePr>
    <w:tblStylePr w:type="lastRow">
      <w:rPr>
        <w:b/>
        <w:bCs/>
      </w:rPr>
    </w:tblStylePr>
    <w:tblStylePr w:type="firstCol">
      <w:rPr>
        <w:b/>
        <w:bCs/>
      </w:rPr>
    </w:tblStylePr>
    <w:tblStylePr w:type="lastCol">
      <w:rPr>
        <w:b/>
        <w:bCs/>
      </w:rPr>
    </w:tblStylePr>
  </w:style>
  <w:style w:type="table" w:styleId="PlainTable2">
    <w:name w:val="Plain Table 2"/>
    <w:basedOn w:val="TableNormal"/>
    <w:rsid w:val="00EC49AF"/>
    <w:pPr>
      <w:spacing w:after="0" w:line="240" w:lineRule="auto"/>
    </w:pPr>
    <w:rPr>
      <w:rFonts w:ascii="Calibri" w:eastAsia="Calibri" w:hAnsi="Calibri" w:cs="Arial"/>
      <w:sz w:val="20"/>
      <w:szCs w:val="20"/>
      <w:lang w:eastAsia="en-GB"/>
    </w:rPr>
    <w:tblPr/>
    <w:tblStylePr w:type="firstRow">
      <w:rPr>
        <w:b/>
        <w:bCs/>
      </w:rPr>
    </w:tblStylePr>
    <w:tblStylePr w:type="lastRow">
      <w:rPr>
        <w:b/>
        <w:bCs/>
      </w:rPr>
    </w:tblStylePr>
    <w:tblStylePr w:type="firstCol">
      <w:rPr>
        <w:b/>
        <w:bCs/>
      </w:rPr>
    </w:tblStylePr>
    <w:tblStylePr w:type="lastCol">
      <w:rPr>
        <w:b/>
        <w:bCs/>
      </w:rPr>
    </w:tblStylePr>
  </w:style>
  <w:style w:type="character" w:customStyle="1" w:styleId="mpunct">
    <w:name w:val="mpunct"/>
    <w:basedOn w:val="DefaultParagraphFont"/>
    <w:rsid w:val="00EC49AF"/>
  </w:style>
  <w:style w:type="character" w:customStyle="1" w:styleId="Mention">
    <w:name w:val="Mention"/>
    <w:rsid w:val="00EC49AF"/>
    <w:rPr>
      <w:color w:val="2B579A"/>
      <w:shd w:val="clear" w:color="auto" w:fill="E1DFDD"/>
    </w:rPr>
  </w:style>
  <w:style w:type="paragraph" w:customStyle="1" w:styleId="Default">
    <w:name w:val="Default"/>
    <w:rsid w:val="00EC49AF"/>
    <w:pPr>
      <w:autoSpaceDE w:val="0"/>
      <w:autoSpaceDN w:val="0"/>
      <w:adjustRightInd w:val="0"/>
      <w:spacing w:after="0" w:line="240" w:lineRule="auto"/>
    </w:pPr>
    <w:rPr>
      <w:rFonts w:ascii="Times New Roman" w:eastAsia="Calibri" w:hAnsi="Times New Roman" w:cs="Times New Roman"/>
      <w:color w:val="000000"/>
      <w:sz w:val="24"/>
      <w:szCs w:val="24"/>
      <w:lang w:eastAsia="en-GB"/>
    </w:rPr>
  </w:style>
  <w:style w:type="paragraph" w:customStyle="1" w:styleId="paragraph">
    <w:name w:val="paragraph"/>
    <w:basedOn w:val="Normal"/>
    <w:rsid w:val="00EC49AF"/>
    <w:pPr>
      <w:spacing w:before="100" w:beforeAutospacing="1" w:after="100" w:afterAutospacing="1"/>
      <w:jc w:val="left"/>
    </w:pPr>
    <w:rPr>
      <w:rFonts w:eastAsia="Times New Roman"/>
      <w:lang w:eastAsia="en-GB"/>
    </w:rPr>
  </w:style>
  <w:style w:type="character" w:customStyle="1" w:styleId="normaltextrun">
    <w:name w:val="normaltextrun"/>
    <w:basedOn w:val="DefaultParagraphFont"/>
    <w:rsid w:val="00EC49AF"/>
  </w:style>
  <w:style w:type="character" w:customStyle="1" w:styleId="eop">
    <w:name w:val="eop"/>
    <w:basedOn w:val="DefaultParagraphFont"/>
    <w:rsid w:val="00EC49AF"/>
  </w:style>
  <w:style w:type="paragraph" w:customStyle="1" w:styleId="Heading71">
    <w:name w:val="Heading 71"/>
    <w:basedOn w:val="Normal"/>
    <w:next w:val="Normal"/>
    <w:rsid w:val="00EC49AF"/>
    <w:pPr>
      <w:keepNext/>
      <w:keepLines/>
      <w:spacing w:before="40" w:after="0" w:line="259" w:lineRule="auto"/>
      <w:outlineLvl w:val="6"/>
    </w:pPr>
    <w:rPr>
      <w:rFonts w:eastAsia="Yu Gothic Light"/>
      <w:color w:val="595959"/>
      <w:kern w:val="2"/>
      <w:sz w:val="22"/>
      <w:szCs w:val="22"/>
      <w:lang w:eastAsia="en-GB"/>
    </w:rPr>
  </w:style>
  <w:style w:type="paragraph" w:customStyle="1" w:styleId="Heading81">
    <w:name w:val="Heading 81"/>
    <w:basedOn w:val="Normal"/>
    <w:next w:val="Normal"/>
    <w:rsid w:val="00EC49AF"/>
    <w:pPr>
      <w:keepNext/>
      <w:keepLines/>
      <w:spacing w:after="0" w:line="259" w:lineRule="auto"/>
      <w:outlineLvl w:val="7"/>
    </w:pPr>
    <w:rPr>
      <w:rFonts w:eastAsia="Yu Gothic Light"/>
      <w:i/>
      <w:iCs/>
      <w:color w:val="272727"/>
      <w:kern w:val="2"/>
      <w:sz w:val="22"/>
      <w:szCs w:val="22"/>
      <w:lang w:eastAsia="en-GB"/>
    </w:rPr>
  </w:style>
  <w:style w:type="paragraph" w:customStyle="1" w:styleId="Heading91">
    <w:name w:val="Heading 91"/>
    <w:basedOn w:val="Normal"/>
    <w:next w:val="Normal"/>
    <w:rsid w:val="00EC49AF"/>
    <w:pPr>
      <w:keepNext/>
      <w:keepLines/>
      <w:spacing w:after="0" w:line="259" w:lineRule="auto"/>
      <w:outlineLvl w:val="8"/>
    </w:pPr>
    <w:rPr>
      <w:rFonts w:eastAsia="Yu Gothic Light"/>
      <w:color w:val="272727"/>
      <w:kern w:val="2"/>
      <w:sz w:val="22"/>
      <w:szCs w:val="22"/>
      <w:lang w:eastAsia="en-GB"/>
    </w:rPr>
  </w:style>
  <w:style w:type="numbering" w:customStyle="1" w:styleId="NoList1">
    <w:name w:val="No List1"/>
    <w:next w:val="NoList"/>
    <w:rsid w:val="00EC49AF"/>
  </w:style>
  <w:style w:type="paragraph" w:customStyle="1" w:styleId="Subtitle1">
    <w:name w:val="Subtitle1"/>
    <w:basedOn w:val="Normal"/>
    <w:next w:val="Normal"/>
    <w:rsid w:val="00EC49AF"/>
    <w:pPr>
      <w:numPr>
        <w:ilvl w:val="1"/>
      </w:numPr>
      <w:spacing w:after="120" w:line="259" w:lineRule="auto"/>
    </w:pPr>
    <w:rPr>
      <w:rFonts w:eastAsia="Yu Gothic Light"/>
      <w:color w:val="595959"/>
      <w:spacing w:val="15"/>
      <w:kern w:val="2"/>
      <w:sz w:val="28"/>
      <w:szCs w:val="28"/>
      <w:lang w:eastAsia="en-GB"/>
    </w:rPr>
  </w:style>
  <w:style w:type="character" w:customStyle="1" w:styleId="SubtitleChar">
    <w:name w:val="Subtitle Char"/>
    <w:link w:val="Subtitle"/>
    <w:rsid w:val="00EC49AF"/>
    <w:rPr>
      <w:rFonts w:eastAsia="Yu Gothic Light"/>
      <w:color w:val="595959"/>
      <w:spacing w:val="15"/>
      <w:sz w:val="28"/>
      <w:szCs w:val="28"/>
    </w:rPr>
  </w:style>
  <w:style w:type="paragraph" w:customStyle="1" w:styleId="Quote1">
    <w:name w:val="Quote1"/>
    <w:basedOn w:val="Normal"/>
    <w:next w:val="Normal"/>
    <w:rsid w:val="00EC49AF"/>
    <w:pPr>
      <w:spacing w:before="160" w:after="120" w:line="259" w:lineRule="auto"/>
      <w:jc w:val="center"/>
    </w:pPr>
    <w:rPr>
      <w:rFonts w:eastAsia="Calibri" w:cs="Arial"/>
      <w:i/>
      <w:iCs/>
      <w:color w:val="404040"/>
      <w:kern w:val="2"/>
      <w:sz w:val="22"/>
      <w:szCs w:val="22"/>
      <w:lang w:eastAsia="en-GB"/>
    </w:rPr>
  </w:style>
  <w:style w:type="character" w:customStyle="1" w:styleId="QuoteChar">
    <w:name w:val="Quote Char"/>
    <w:link w:val="Quote"/>
    <w:rsid w:val="00EC49AF"/>
    <w:rPr>
      <w:i/>
      <w:iCs/>
      <w:color w:val="404040"/>
    </w:rPr>
  </w:style>
  <w:style w:type="character" w:customStyle="1" w:styleId="IntenseEmphasis1">
    <w:name w:val="Intense Emphasis1"/>
    <w:rsid w:val="00EC49AF"/>
    <w:rPr>
      <w:i/>
      <w:iCs/>
      <w:color w:val="0F4761"/>
    </w:rPr>
  </w:style>
  <w:style w:type="paragraph" w:customStyle="1" w:styleId="IntenseQuote1">
    <w:name w:val="Intense Quote1"/>
    <w:basedOn w:val="Normal"/>
    <w:next w:val="Normal"/>
    <w:rsid w:val="00EC49AF"/>
    <w:pPr>
      <w:pBdr>
        <w:top w:val="single" w:sz="4" w:space="10" w:color="0F4761"/>
        <w:bottom w:val="single" w:sz="4" w:space="10" w:color="0F4761"/>
      </w:pBdr>
      <w:spacing w:before="360" w:after="360" w:line="259" w:lineRule="auto"/>
      <w:ind w:left="864" w:right="864"/>
      <w:jc w:val="center"/>
    </w:pPr>
    <w:rPr>
      <w:rFonts w:eastAsia="Calibri" w:cs="Arial"/>
      <w:i/>
      <w:iCs/>
      <w:color w:val="0F4761"/>
      <w:kern w:val="2"/>
      <w:sz w:val="22"/>
      <w:szCs w:val="22"/>
      <w:lang w:eastAsia="en-GB"/>
    </w:rPr>
  </w:style>
  <w:style w:type="character" w:customStyle="1" w:styleId="IntenseQuoteChar">
    <w:name w:val="Intense Quote Char"/>
    <w:link w:val="IntenseQuote"/>
    <w:rsid w:val="00EC49AF"/>
    <w:rPr>
      <w:i/>
      <w:iCs/>
      <w:color w:val="0F4761"/>
    </w:rPr>
  </w:style>
  <w:style w:type="character" w:customStyle="1" w:styleId="IntenseReference1">
    <w:name w:val="Intense Reference1"/>
    <w:rsid w:val="00EC49AF"/>
    <w:rPr>
      <w:b/>
      <w:bCs/>
      <w:smallCaps/>
      <w:color w:val="0F4761"/>
      <w:spacing w:val="5"/>
    </w:rPr>
  </w:style>
  <w:style w:type="numbering" w:customStyle="1" w:styleId="NoList11">
    <w:name w:val="No List11"/>
    <w:next w:val="NoList"/>
    <w:rsid w:val="00EC49AF"/>
  </w:style>
  <w:style w:type="character" w:customStyle="1" w:styleId="Hyperlink1">
    <w:name w:val="Hyperlink1"/>
    <w:rsid w:val="00EC49AF"/>
    <w:rPr>
      <w:color w:val="0000FF"/>
      <w:u w:val="single"/>
    </w:rPr>
  </w:style>
  <w:style w:type="paragraph" w:customStyle="1" w:styleId="FootnoteTextEP-LC1">
    <w:name w:val="Footnote Text_EP-LC1"/>
    <w:basedOn w:val="NoSpacing"/>
    <w:next w:val="FootnoteText"/>
    <w:rsid w:val="00EC49AF"/>
    <w:rPr>
      <w:rFonts w:ascii="Calibri" w:eastAsia="MS Mincho" w:hAnsi="Calibri" w:cs="Arial"/>
      <w:kern w:val="2"/>
      <w:sz w:val="18"/>
      <w:lang w:eastAsia="en-GB"/>
    </w:rPr>
  </w:style>
  <w:style w:type="character" w:customStyle="1" w:styleId="FollowedHyperlink1">
    <w:name w:val="FollowedHyperlink1"/>
    <w:rsid w:val="00EC49AF"/>
    <w:rPr>
      <w:color w:val="800080"/>
      <w:u w:val="single"/>
    </w:rPr>
  </w:style>
  <w:style w:type="paragraph" w:customStyle="1" w:styleId="Caption1">
    <w:name w:val="Caption1"/>
    <w:basedOn w:val="Normal"/>
    <w:next w:val="Normal"/>
    <w:rsid w:val="00EC49AF"/>
    <w:pPr>
      <w:spacing w:after="200"/>
    </w:pPr>
    <w:rPr>
      <w:rFonts w:eastAsia="Calibri" w:cs="Arial"/>
      <w:i/>
      <w:iCs/>
      <w:color w:val="1F497D"/>
      <w:kern w:val="2"/>
      <w:sz w:val="18"/>
      <w:szCs w:val="18"/>
      <w:lang w:eastAsia="en-GB"/>
    </w:rPr>
  </w:style>
  <w:style w:type="character" w:customStyle="1" w:styleId="Heading7Char1">
    <w:name w:val="Heading 7 Char1"/>
    <w:rsid w:val="00EC49AF"/>
    <w:rPr>
      <w:rFonts w:ascii="Cambria" w:eastAsia="MS Gothic" w:hAnsi="Cambria" w:cs="Times New Roman"/>
      <w:i/>
      <w:iCs/>
      <w:color w:val="243F60"/>
      <w:sz w:val="24"/>
      <w:szCs w:val="24"/>
    </w:rPr>
  </w:style>
  <w:style w:type="character" w:customStyle="1" w:styleId="Heading8Char1">
    <w:name w:val="Heading 8 Char1"/>
    <w:rsid w:val="00EC49AF"/>
    <w:rPr>
      <w:rFonts w:ascii="Cambria" w:eastAsia="MS Gothic" w:hAnsi="Cambria" w:cs="Times New Roman"/>
      <w:color w:val="272727"/>
      <w:sz w:val="21"/>
      <w:szCs w:val="21"/>
    </w:rPr>
  </w:style>
  <w:style w:type="character" w:customStyle="1" w:styleId="Heading9Char1">
    <w:name w:val="Heading 9 Char1"/>
    <w:rsid w:val="00EC49AF"/>
    <w:rPr>
      <w:rFonts w:ascii="Cambria" w:eastAsia="MS Gothic" w:hAnsi="Cambria" w:cs="Times New Roman"/>
      <w:i/>
      <w:iCs/>
      <w:color w:val="272727"/>
      <w:sz w:val="21"/>
      <w:szCs w:val="21"/>
    </w:rPr>
  </w:style>
  <w:style w:type="paragraph" w:styleId="Subtitle">
    <w:name w:val="Subtitle"/>
    <w:basedOn w:val="Normal"/>
    <w:next w:val="Normal"/>
    <w:link w:val="SubtitleChar"/>
    <w:qFormat/>
    <w:rsid w:val="00EC49AF"/>
    <w:pPr>
      <w:numPr>
        <w:ilvl w:val="1"/>
      </w:numPr>
      <w:spacing w:after="160"/>
    </w:pPr>
    <w:rPr>
      <w:rFonts w:asciiTheme="minorHAnsi" w:eastAsia="Yu Gothic Light" w:hAnsiTheme="minorHAnsi" w:cstheme="minorBidi"/>
      <w:color w:val="595959"/>
      <w:spacing w:val="15"/>
      <w:sz w:val="28"/>
      <w:szCs w:val="28"/>
    </w:rPr>
  </w:style>
  <w:style w:type="character" w:customStyle="1" w:styleId="SubtitleChar1">
    <w:name w:val="Subtitle Char1"/>
    <w:basedOn w:val="DefaultParagraphFont"/>
    <w:rsid w:val="00EC49AF"/>
    <w:rPr>
      <w:rFonts w:eastAsiaTheme="minorEastAsia"/>
      <w:color w:val="5A5A5A" w:themeColor="text1" w:themeTint="A5"/>
      <w:spacing w:val="15"/>
    </w:rPr>
  </w:style>
  <w:style w:type="paragraph" w:styleId="Quote">
    <w:name w:val="Quote"/>
    <w:basedOn w:val="Normal"/>
    <w:next w:val="Normal"/>
    <w:link w:val="QuoteChar"/>
    <w:qFormat/>
    <w:rsid w:val="00EC49AF"/>
    <w:pPr>
      <w:spacing w:before="200" w:after="160"/>
      <w:ind w:left="864" w:right="864"/>
      <w:jc w:val="center"/>
    </w:pPr>
    <w:rPr>
      <w:rFonts w:asciiTheme="minorHAnsi" w:hAnsiTheme="minorHAnsi" w:cstheme="minorBidi"/>
      <w:i/>
      <w:iCs/>
      <w:color w:val="404040"/>
      <w:sz w:val="22"/>
      <w:szCs w:val="22"/>
    </w:rPr>
  </w:style>
  <w:style w:type="character" w:customStyle="1" w:styleId="QuoteChar1">
    <w:name w:val="Quote Char1"/>
    <w:basedOn w:val="DefaultParagraphFont"/>
    <w:rsid w:val="00EC49AF"/>
    <w:rPr>
      <w:rFonts w:ascii="Times New Roman" w:hAnsi="Times New Roman" w:cs="Times New Roman"/>
      <w:i/>
      <w:iCs/>
      <w:color w:val="404040" w:themeColor="text1" w:themeTint="BF"/>
      <w:sz w:val="24"/>
      <w:szCs w:val="24"/>
    </w:rPr>
  </w:style>
  <w:style w:type="character" w:styleId="IntenseEmphasis">
    <w:name w:val="Intense Emphasis"/>
    <w:qFormat/>
    <w:rsid w:val="00EC49AF"/>
    <w:rPr>
      <w:i/>
      <w:iCs/>
      <w:color w:val="4F81BD"/>
    </w:rPr>
  </w:style>
  <w:style w:type="paragraph" w:styleId="IntenseQuote">
    <w:name w:val="Intense Quote"/>
    <w:basedOn w:val="Normal"/>
    <w:next w:val="Normal"/>
    <w:link w:val="IntenseQuoteChar"/>
    <w:qFormat/>
    <w:rsid w:val="00EC49AF"/>
    <w:pPr>
      <w:pBdr>
        <w:top w:val="single" w:sz="4" w:space="10" w:color="4F81BD"/>
        <w:bottom w:val="single" w:sz="4" w:space="10" w:color="4F81BD"/>
      </w:pBdr>
      <w:spacing w:before="360" w:after="360"/>
      <w:ind w:left="864" w:right="864"/>
      <w:jc w:val="center"/>
    </w:pPr>
    <w:rPr>
      <w:rFonts w:asciiTheme="minorHAnsi" w:hAnsiTheme="minorHAnsi" w:cstheme="minorBidi"/>
      <w:i/>
      <w:iCs/>
      <w:color w:val="0F4761"/>
      <w:sz w:val="22"/>
      <w:szCs w:val="22"/>
    </w:rPr>
  </w:style>
  <w:style w:type="character" w:customStyle="1" w:styleId="IntenseQuoteChar1">
    <w:name w:val="Intense Quote Char1"/>
    <w:basedOn w:val="DefaultParagraphFont"/>
    <w:rsid w:val="00EC49AF"/>
    <w:rPr>
      <w:rFonts w:ascii="Times New Roman" w:hAnsi="Times New Roman" w:cs="Times New Roman"/>
      <w:i/>
      <w:iCs/>
      <w:color w:val="4F81BD" w:themeColor="accent1"/>
      <w:sz w:val="24"/>
      <w:szCs w:val="24"/>
    </w:rPr>
  </w:style>
  <w:style w:type="character" w:styleId="IntenseReference">
    <w:name w:val="Intense Reference"/>
    <w:qFormat/>
    <w:rsid w:val="00EC49AF"/>
    <w:rPr>
      <w:b/>
      <w:bCs/>
      <w:smallCaps/>
      <w:color w:val="4F81BD"/>
      <w:spacing w:val="5"/>
    </w:rPr>
  </w:style>
  <w:style w:type="character" w:customStyle="1" w:styleId="UntertitelZchn1">
    <w:name w:val="Untertitel Zchn1"/>
    <w:rsid w:val="00EC49AF"/>
    <w:rPr>
      <w:rFonts w:eastAsia="MS Mincho"/>
      <w:color w:val="5A5A5A"/>
      <w:spacing w:val="15"/>
    </w:rPr>
  </w:style>
  <w:style w:type="character" w:customStyle="1" w:styleId="ZitatZchn1">
    <w:name w:val="Zitat Zchn1"/>
    <w:rsid w:val="00EC49AF"/>
    <w:rPr>
      <w:rFonts w:ascii="Times New Roman" w:hAnsi="Times New Roman" w:cs="Times New Roman"/>
      <w:i/>
      <w:iCs/>
      <w:color w:val="404040"/>
      <w:sz w:val="24"/>
      <w:szCs w:val="24"/>
    </w:rPr>
  </w:style>
  <w:style w:type="character" w:customStyle="1" w:styleId="IntensivesZitatZchn1">
    <w:name w:val="Intensives Zitat Zchn1"/>
    <w:rsid w:val="00EC49AF"/>
    <w:rPr>
      <w:rFonts w:ascii="Times New Roman" w:hAnsi="Times New Roman" w:cs="Times New Roman"/>
      <w:i/>
      <w:iCs/>
      <w:color w:val="4F81BD"/>
      <w:sz w:val="24"/>
      <w:szCs w:val="24"/>
    </w:rPr>
  </w:style>
  <w:style w:type="table" w:styleId="PlainTable3">
    <w:name w:val="Plain Table 3"/>
    <w:basedOn w:val="TableNormal"/>
    <w:rsid w:val="00EC49AF"/>
    <w:pPr>
      <w:spacing w:after="0" w:line="240" w:lineRule="auto"/>
    </w:pPr>
    <w:rPr>
      <w:rFonts w:ascii="Calibri" w:eastAsia="Calibri" w:hAnsi="Calibri" w:cs="Arial"/>
      <w:sz w:val="20"/>
      <w:szCs w:val="20"/>
      <w:lang w:eastAsia="en-GB"/>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pf0">
    <w:name w:val="pf0"/>
    <w:basedOn w:val="Normal"/>
    <w:rsid w:val="00EC49AF"/>
    <w:pPr>
      <w:spacing w:before="100" w:beforeAutospacing="1" w:after="100" w:afterAutospacing="1"/>
      <w:jc w:val="left"/>
    </w:pPr>
    <w:rPr>
      <w:rFonts w:eastAsia="Times New Roman"/>
      <w:lang w:eastAsia="en-GB"/>
    </w:rPr>
  </w:style>
  <w:style w:type="character" w:customStyle="1" w:styleId="cf01">
    <w:name w:val="cf01"/>
    <w:rsid w:val="00EC49AF"/>
    <w:rPr>
      <w:rFonts w:ascii="Segoe UI" w:hAnsi="Segoe UI" w:cs="Segoe UI" w:hint="default"/>
      <w:sz w:val="18"/>
      <w:szCs w:val="18"/>
    </w:rPr>
  </w:style>
  <w:style w:type="paragraph" w:customStyle="1" w:styleId="Body">
    <w:name w:val="Body"/>
    <w:basedOn w:val="Normal"/>
    <w:link w:val="BodyChar"/>
    <w:qFormat/>
    <w:rsid w:val="00EC49AF"/>
    <w:pPr>
      <w:spacing w:before="120" w:after="120"/>
    </w:pPr>
    <w:rPr>
      <w:rFonts w:ascii="Arial" w:eastAsia="Times New Roman" w:hAnsi="Arial" w:cs="Arial"/>
      <w:color w:val="353332"/>
      <w:sz w:val="20"/>
      <w:lang w:eastAsia="en-GB"/>
    </w:rPr>
  </w:style>
  <w:style w:type="character" w:customStyle="1" w:styleId="BodyChar">
    <w:name w:val="Body Char"/>
    <w:link w:val="Body"/>
    <w:rsid w:val="00EC49AF"/>
    <w:rPr>
      <w:rFonts w:ascii="Arial" w:eastAsia="Times New Roman" w:hAnsi="Arial" w:cs="Arial"/>
      <w:color w:val="353332"/>
      <w:sz w:val="20"/>
      <w:szCs w:val="24"/>
      <w:lang w:eastAsia="en-GB"/>
    </w:rPr>
  </w:style>
  <w:style w:type="table" w:customStyle="1" w:styleId="TableGrid1">
    <w:name w:val="Table Grid1"/>
    <w:basedOn w:val="TableNormal"/>
    <w:next w:val="TableGrid"/>
    <w:rsid w:val="00EC49AF"/>
    <w:pPr>
      <w:spacing w:after="0" w:line="240" w:lineRule="auto"/>
    </w:pPr>
    <w:rPr>
      <w:rFonts w:ascii="Calibri" w:eastAsia="Calibri" w:hAnsi="Calibri" w:cs="Arial"/>
      <w:kern w:val="2"/>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Numbered4">
    <w:name w:val="Heading Numbered 4"/>
    <w:next w:val="Normal"/>
    <w:rsid w:val="00EC49AF"/>
    <w:pPr>
      <w:keepNext/>
      <w:spacing w:before="240" w:after="240" w:line="240" w:lineRule="auto"/>
      <w:ind w:left="1417" w:hanging="1417"/>
      <w:outlineLvl w:val="3"/>
    </w:pPr>
    <w:rPr>
      <w:rFonts w:ascii="Arial" w:eastAsia="Times New Roman" w:hAnsi="Arial" w:cs="Times New Roman"/>
      <w:color w:val="1F497D"/>
      <w:lang w:eastAsia="en-GB"/>
    </w:rPr>
  </w:style>
  <w:style w:type="paragraph" w:customStyle="1" w:styleId="HeadingNumbered3">
    <w:name w:val="Heading Numbered 3"/>
    <w:next w:val="Normal"/>
    <w:rsid w:val="00EC49AF"/>
    <w:pPr>
      <w:keepNext/>
      <w:spacing w:before="240" w:after="240" w:line="240" w:lineRule="auto"/>
      <w:ind w:left="1560" w:hanging="1418"/>
      <w:outlineLvl w:val="2"/>
    </w:pPr>
    <w:rPr>
      <w:rFonts w:ascii="Arial" w:eastAsia="Times New Roman" w:hAnsi="Arial" w:cs="Times New Roman"/>
      <w:color w:val="325BAA"/>
      <w:sz w:val="24"/>
      <w:szCs w:val="24"/>
      <w:lang w:eastAsia="en-GB"/>
    </w:rPr>
  </w:style>
  <w:style w:type="paragraph" w:customStyle="1" w:styleId="HeadingNumbered1">
    <w:name w:val="Heading Numbered 1"/>
    <w:next w:val="Normal"/>
    <w:rsid w:val="00EC49AF"/>
    <w:pPr>
      <w:keepNext/>
      <w:spacing w:before="120" w:after="240" w:line="240" w:lineRule="auto"/>
      <w:ind w:left="1417" w:hanging="1417"/>
      <w:outlineLvl w:val="0"/>
    </w:pPr>
    <w:rPr>
      <w:rFonts w:ascii="Arial" w:eastAsia="Times New Roman" w:hAnsi="Arial" w:cs="Times New Roman"/>
      <w:color w:val="325BAA"/>
      <w:kern w:val="24"/>
      <w:sz w:val="32"/>
      <w:szCs w:val="24"/>
      <w:lang w:eastAsia="en-GB"/>
    </w:rPr>
  </w:style>
  <w:style w:type="character" w:customStyle="1" w:styleId="BodyPlaceholderText">
    <w:name w:val="BodyPlaceholderText"/>
    <w:basedOn w:val="PlaceholderText"/>
    <w:semiHidden/>
    <w:rsid w:val="00EC49AF"/>
    <w:rPr>
      <w:color w:val="3366CC"/>
    </w:rPr>
  </w:style>
  <w:style w:type="character" w:customStyle="1" w:styleId="CrossReference">
    <w:name w:val="Cross Reference"/>
    <w:basedOn w:val="DefaultParagraphFont"/>
    <w:semiHidden/>
    <w:rsid w:val="00EC49AF"/>
    <w:rPr>
      <w:i/>
    </w:rPr>
  </w:style>
  <w:style w:type="character" w:customStyle="1" w:styleId="InstructionBlue">
    <w:name w:val="InstructionBlue"/>
    <w:semiHidden/>
    <w:rsid w:val="00EC49AF"/>
    <w:rPr>
      <w:i/>
      <w:color w:val="3366CC"/>
    </w:rPr>
  </w:style>
  <w:style w:type="character" w:customStyle="1" w:styleId="InstructionPlaceholder">
    <w:name w:val="InstructionPlaceholder"/>
    <w:semiHidden/>
    <w:rsid w:val="00EC49AF"/>
    <w:rPr>
      <w:color w:val="CB3535"/>
    </w:rPr>
  </w:style>
  <w:style w:type="character" w:customStyle="1" w:styleId="InstructionRed">
    <w:name w:val="InstructionRed"/>
    <w:semiHidden/>
    <w:rsid w:val="00EC49AF"/>
    <w:rPr>
      <w:i/>
      <w:color w:val="CB3535"/>
    </w:rPr>
  </w:style>
  <w:style w:type="character" w:customStyle="1" w:styleId="MarkingLabel">
    <w:name w:val="MarkingLabel"/>
    <w:semiHidden/>
    <w:rsid w:val="00EC49AF"/>
    <w:rPr>
      <w:b/>
      <w:caps/>
      <w:sz w:val="28"/>
    </w:rPr>
  </w:style>
  <w:style w:type="character" w:customStyle="1" w:styleId="MarkingText">
    <w:name w:val="MarkingText"/>
    <w:semiHidden/>
    <w:rsid w:val="00EC49AF"/>
    <w:rPr>
      <w:i/>
      <w:sz w:val="28"/>
    </w:rPr>
  </w:style>
  <w:style w:type="character" w:styleId="PlaceholderText">
    <w:name w:val="Placeholder Text"/>
    <w:basedOn w:val="DefaultParagraphFont"/>
    <w:semiHidden/>
    <w:rsid w:val="00EC49AF"/>
    <w:rPr>
      <w:color w:val="288061"/>
    </w:rPr>
  </w:style>
  <w:style w:type="paragraph" w:customStyle="1" w:styleId="AfterTable">
    <w:name w:val="After Table"/>
    <w:semiHidden/>
    <w:rsid w:val="00EC49AF"/>
    <w:pPr>
      <w:spacing w:after="0" w:line="240" w:lineRule="auto"/>
    </w:pPr>
    <w:rPr>
      <w:rFonts w:ascii="Times New Roman" w:eastAsia="Times New Roman" w:hAnsi="Times New Roman" w:cs="Times New Roman"/>
      <w:sz w:val="4"/>
      <w:szCs w:val="20"/>
      <w:lang w:eastAsia="en-IE"/>
    </w:rPr>
  </w:style>
  <w:style w:type="paragraph" w:customStyle="1" w:styleId="AnnexTitle">
    <w:name w:val="AnnexTitle"/>
    <w:basedOn w:val="Normal"/>
    <w:next w:val="Normal"/>
    <w:uiPriority w:val="45"/>
    <w:qFormat/>
    <w:rsid w:val="00EC49AF"/>
    <w:pPr>
      <w:pageBreakBefore/>
      <w:numPr>
        <w:numId w:val="53"/>
      </w:numPr>
      <w:spacing w:after="360" w:line="264" w:lineRule="auto"/>
      <w:ind w:left="0" w:firstLine="0"/>
      <w:outlineLvl w:val="0"/>
    </w:pPr>
    <w:rPr>
      <w:rFonts w:eastAsia="Times New Roman"/>
      <w:b/>
      <w:sz w:val="36"/>
      <w:szCs w:val="20"/>
      <w:lang w:eastAsia="en-IE"/>
    </w:rPr>
  </w:style>
  <w:style w:type="paragraph" w:styleId="Caption">
    <w:name w:val="caption"/>
    <w:basedOn w:val="Normal"/>
    <w:next w:val="Normal"/>
    <w:uiPriority w:val="35"/>
    <w:qFormat/>
    <w:rsid w:val="00EC49AF"/>
    <w:pPr>
      <w:spacing w:before="120" w:after="120" w:line="264" w:lineRule="auto"/>
    </w:pPr>
    <w:rPr>
      <w:rFonts w:eastAsia="Times New Roman"/>
      <w:b/>
      <w:i/>
      <w:sz w:val="22"/>
      <w:szCs w:val="20"/>
      <w:lang w:eastAsia="en-IE"/>
    </w:rPr>
  </w:style>
  <w:style w:type="paragraph" w:customStyle="1" w:styleId="ChapterTitle">
    <w:name w:val="ChapterTitle"/>
    <w:basedOn w:val="Normal"/>
    <w:next w:val="SectionTitle"/>
    <w:uiPriority w:val="43"/>
    <w:qFormat/>
    <w:rsid w:val="00EC49AF"/>
    <w:pPr>
      <w:keepNext/>
      <w:spacing w:before="720" w:after="360" w:line="264" w:lineRule="auto"/>
      <w:jc w:val="center"/>
      <w:outlineLvl w:val="0"/>
    </w:pPr>
    <w:rPr>
      <w:rFonts w:eastAsia="Times New Roman"/>
      <w:b/>
      <w:sz w:val="36"/>
      <w:szCs w:val="20"/>
      <w:lang w:eastAsia="en-IE"/>
    </w:rPr>
  </w:style>
  <w:style w:type="paragraph" w:customStyle="1" w:styleId="Contact">
    <w:name w:val="Contact"/>
    <w:basedOn w:val="Normal"/>
    <w:semiHidden/>
    <w:rsid w:val="00EC49AF"/>
    <w:pPr>
      <w:spacing w:before="480" w:line="264" w:lineRule="auto"/>
      <w:ind w:left="567" w:hanging="567"/>
      <w:jc w:val="left"/>
    </w:pPr>
    <w:rPr>
      <w:rFonts w:eastAsia="Times New Roman"/>
      <w:sz w:val="22"/>
      <w:szCs w:val="20"/>
      <w:lang w:eastAsia="en-IE"/>
    </w:rPr>
  </w:style>
  <w:style w:type="paragraph" w:customStyle="1" w:styleId="ContNum">
    <w:name w:val="ContNum"/>
    <w:basedOn w:val="Normal"/>
    <w:uiPriority w:val="20"/>
    <w:qFormat/>
    <w:rsid w:val="00EC49AF"/>
    <w:pPr>
      <w:numPr>
        <w:numId w:val="54"/>
      </w:numPr>
      <w:spacing w:after="120" w:line="264" w:lineRule="auto"/>
      <w:ind w:left="0" w:firstLine="0"/>
    </w:pPr>
    <w:rPr>
      <w:rFonts w:eastAsia="Times New Roman"/>
      <w:sz w:val="22"/>
      <w:szCs w:val="20"/>
      <w:lang w:eastAsia="en-IE"/>
    </w:rPr>
  </w:style>
  <w:style w:type="paragraph" w:customStyle="1" w:styleId="ContNumLevel2">
    <w:name w:val="ContNum (Level 2)"/>
    <w:basedOn w:val="Normal"/>
    <w:uiPriority w:val="20"/>
    <w:rsid w:val="00EC49AF"/>
    <w:pPr>
      <w:numPr>
        <w:ilvl w:val="1"/>
        <w:numId w:val="54"/>
      </w:numPr>
      <w:tabs>
        <w:tab w:val="clear" w:pos="952"/>
      </w:tabs>
      <w:spacing w:after="120" w:line="264" w:lineRule="auto"/>
      <w:ind w:left="0" w:firstLine="0"/>
    </w:pPr>
    <w:rPr>
      <w:rFonts w:eastAsia="Times New Roman"/>
      <w:sz w:val="22"/>
      <w:szCs w:val="20"/>
      <w:lang w:eastAsia="en-IE"/>
    </w:rPr>
  </w:style>
  <w:style w:type="paragraph" w:customStyle="1" w:styleId="ContNumLevel3">
    <w:name w:val="ContNum (Level 3)"/>
    <w:basedOn w:val="Normal"/>
    <w:uiPriority w:val="20"/>
    <w:rsid w:val="00EC49AF"/>
    <w:pPr>
      <w:numPr>
        <w:ilvl w:val="2"/>
        <w:numId w:val="54"/>
      </w:numPr>
      <w:tabs>
        <w:tab w:val="clear" w:pos="1429"/>
      </w:tabs>
      <w:spacing w:after="120" w:line="264" w:lineRule="auto"/>
      <w:ind w:left="0" w:firstLine="0"/>
    </w:pPr>
    <w:rPr>
      <w:rFonts w:eastAsia="Times New Roman"/>
      <w:sz w:val="22"/>
      <w:szCs w:val="20"/>
      <w:lang w:eastAsia="en-IE"/>
    </w:rPr>
  </w:style>
  <w:style w:type="paragraph" w:styleId="Date">
    <w:name w:val="Date"/>
    <w:basedOn w:val="Normal"/>
    <w:next w:val="References"/>
    <w:link w:val="DateChar"/>
    <w:semiHidden/>
    <w:rsid w:val="00EC49AF"/>
    <w:pPr>
      <w:spacing w:after="0" w:line="264" w:lineRule="auto"/>
      <w:ind w:left="5102" w:right="-567"/>
    </w:pPr>
    <w:rPr>
      <w:rFonts w:eastAsia="Times New Roman"/>
      <w:sz w:val="22"/>
      <w:szCs w:val="20"/>
      <w:lang w:eastAsia="en-IE"/>
    </w:rPr>
  </w:style>
  <w:style w:type="character" w:customStyle="1" w:styleId="DateChar">
    <w:name w:val="Date Char"/>
    <w:basedOn w:val="DefaultParagraphFont"/>
    <w:link w:val="Date"/>
    <w:semiHidden/>
    <w:rsid w:val="00EC49AF"/>
    <w:rPr>
      <w:rFonts w:ascii="Times New Roman" w:eastAsia="Times New Roman" w:hAnsi="Times New Roman" w:cs="Times New Roman"/>
      <w:szCs w:val="20"/>
      <w:lang w:eastAsia="en-IE"/>
    </w:rPr>
  </w:style>
  <w:style w:type="paragraph" w:styleId="EndnoteText">
    <w:name w:val="endnote text"/>
    <w:basedOn w:val="Normal"/>
    <w:link w:val="EndnoteTextChar"/>
    <w:semiHidden/>
    <w:rsid w:val="00EC49AF"/>
    <w:pPr>
      <w:spacing w:after="120" w:line="264" w:lineRule="auto"/>
      <w:ind w:left="357" w:hanging="357"/>
    </w:pPr>
    <w:rPr>
      <w:rFonts w:eastAsia="Times New Roman"/>
      <w:sz w:val="20"/>
      <w:szCs w:val="20"/>
      <w:lang w:eastAsia="en-IE"/>
    </w:rPr>
  </w:style>
  <w:style w:type="character" w:customStyle="1" w:styleId="EndnoteTextChar">
    <w:name w:val="Endnote Text Char"/>
    <w:basedOn w:val="DefaultParagraphFont"/>
    <w:link w:val="EndnoteText"/>
    <w:semiHidden/>
    <w:rsid w:val="00EC49AF"/>
    <w:rPr>
      <w:rFonts w:ascii="Times New Roman" w:eastAsia="Times New Roman" w:hAnsi="Times New Roman" w:cs="Times New Roman"/>
      <w:sz w:val="20"/>
      <w:szCs w:val="20"/>
      <w:lang w:eastAsia="en-IE"/>
    </w:rPr>
  </w:style>
  <w:style w:type="paragraph" w:customStyle="1" w:styleId="FigureBody">
    <w:name w:val="Figure Body"/>
    <w:basedOn w:val="Normal"/>
    <w:next w:val="FigureSource"/>
    <w:uiPriority w:val="99"/>
    <w:semiHidden/>
    <w:unhideWhenUsed/>
    <w:rsid w:val="00EC49AF"/>
    <w:pPr>
      <w:keepNext/>
      <w:spacing w:after="40"/>
    </w:pPr>
    <w:rPr>
      <w:rFonts w:eastAsia="Times New Roman"/>
      <w:sz w:val="22"/>
      <w:szCs w:val="20"/>
      <w:lang w:eastAsia="en-IE"/>
    </w:rPr>
  </w:style>
  <w:style w:type="paragraph" w:customStyle="1" w:styleId="FigureSource">
    <w:name w:val="Figure Source"/>
    <w:basedOn w:val="Normal"/>
    <w:next w:val="Normal"/>
    <w:uiPriority w:val="99"/>
    <w:semiHidden/>
    <w:unhideWhenUsed/>
    <w:rsid w:val="00EC49AF"/>
    <w:rPr>
      <w:rFonts w:eastAsia="Times New Roman"/>
      <w:sz w:val="18"/>
      <w:szCs w:val="20"/>
      <w:lang w:eastAsia="en-IE"/>
    </w:rPr>
  </w:style>
  <w:style w:type="paragraph" w:customStyle="1" w:styleId="FigureTitle">
    <w:name w:val="Figure Title"/>
    <w:basedOn w:val="Normal"/>
    <w:next w:val="FigureBody"/>
    <w:uiPriority w:val="99"/>
    <w:semiHidden/>
    <w:unhideWhenUsed/>
    <w:rsid w:val="00EC49AF"/>
    <w:pPr>
      <w:keepNext/>
      <w:spacing w:before="120" w:after="120" w:line="264" w:lineRule="auto"/>
    </w:pPr>
    <w:rPr>
      <w:rFonts w:eastAsia="Times New Roman"/>
      <w:b/>
      <w:i/>
      <w:sz w:val="22"/>
      <w:szCs w:val="20"/>
      <w:lang w:eastAsia="en-IE"/>
    </w:rPr>
  </w:style>
  <w:style w:type="paragraph" w:customStyle="1" w:styleId="FITTable">
    <w:name w:val="FIT Table"/>
    <w:basedOn w:val="Normal"/>
    <w:semiHidden/>
    <w:rsid w:val="00EC49AF"/>
    <w:pPr>
      <w:spacing w:before="60" w:after="60" w:line="264" w:lineRule="auto"/>
    </w:pPr>
    <w:rPr>
      <w:rFonts w:eastAsia="Times New Roman"/>
      <w:sz w:val="22"/>
      <w:szCs w:val="20"/>
      <w:lang w:eastAsia="en-IE"/>
    </w:rPr>
  </w:style>
  <w:style w:type="paragraph" w:customStyle="1" w:styleId="FooterLine">
    <w:name w:val="Footer Line"/>
    <w:basedOn w:val="Footer"/>
    <w:next w:val="Footer"/>
    <w:semiHidden/>
    <w:rsid w:val="00EC49AF"/>
    <w:pPr>
      <w:pBdr>
        <w:top w:val="single" w:sz="4" w:space="1" w:color="auto"/>
      </w:pBdr>
      <w:tabs>
        <w:tab w:val="clear" w:pos="4535"/>
        <w:tab w:val="clear" w:pos="9071"/>
        <w:tab w:val="clear" w:pos="9921"/>
        <w:tab w:val="right" w:pos="8646"/>
      </w:tabs>
      <w:spacing w:before="120"/>
      <w:ind w:left="0" w:right="0"/>
    </w:pPr>
    <w:rPr>
      <w:rFonts w:eastAsia="Times New Roman"/>
      <w:sz w:val="16"/>
      <w:szCs w:val="20"/>
      <w:lang w:eastAsia="en-IE"/>
    </w:rPr>
  </w:style>
  <w:style w:type="paragraph" w:customStyle="1" w:styleId="Glossary">
    <w:name w:val="Glossary"/>
    <w:basedOn w:val="Normal"/>
    <w:semiHidden/>
    <w:rsid w:val="00EC49AF"/>
    <w:pPr>
      <w:tabs>
        <w:tab w:val="left" w:pos="2835"/>
      </w:tabs>
      <w:spacing w:after="120" w:line="264" w:lineRule="auto"/>
      <w:ind w:left="2835" w:hanging="2835"/>
      <w:jc w:val="left"/>
    </w:pPr>
    <w:rPr>
      <w:rFonts w:eastAsia="Times New Roman"/>
      <w:sz w:val="22"/>
      <w:szCs w:val="20"/>
      <w:lang w:eastAsia="en-IE"/>
    </w:rPr>
  </w:style>
  <w:style w:type="paragraph" w:customStyle="1" w:styleId="GlossaryHeading">
    <w:name w:val="GlossaryHeading"/>
    <w:basedOn w:val="Normal"/>
    <w:semiHidden/>
    <w:rsid w:val="00EC49AF"/>
    <w:pPr>
      <w:spacing w:after="480" w:line="264" w:lineRule="auto"/>
      <w:jc w:val="center"/>
      <w:outlineLvl w:val="0"/>
    </w:pPr>
    <w:rPr>
      <w:rFonts w:ascii="Times New Roman Bold" w:eastAsia="Times New Roman" w:hAnsi="Times New Roman Bold"/>
      <w:b/>
      <w:sz w:val="32"/>
      <w:szCs w:val="20"/>
      <w:lang w:eastAsia="en-IE"/>
    </w:rPr>
  </w:style>
  <w:style w:type="paragraph" w:customStyle="1" w:styleId="HistoryTable">
    <w:name w:val="HistoryTable"/>
    <w:basedOn w:val="Normal"/>
    <w:semiHidden/>
    <w:rsid w:val="00EC49AF"/>
    <w:pPr>
      <w:spacing w:before="60" w:after="60" w:line="264" w:lineRule="auto"/>
    </w:pPr>
    <w:rPr>
      <w:rFonts w:eastAsia="Times New Roman"/>
      <w:sz w:val="20"/>
      <w:szCs w:val="20"/>
      <w:lang w:eastAsia="en-IE"/>
    </w:rPr>
  </w:style>
  <w:style w:type="paragraph" w:customStyle="1" w:styleId="HistTableHeading">
    <w:name w:val="HistTableHeading"/>
    <w:basedOn w:val="Normal"/>
    <w:next w:val="HistoryTable"/>
    <w:semiHidden/>
    <w:rsid w:val="00EC49AF"/>
    <w:pPr>
      <w:spacing w:after="120" w:line="264" w:lineRule="auto"/>
      <w:jc w:val="center"/>
    </w:pPr>
    <w:rPr>
      <w:rFonts w:ascii="Times New Roman Bold" w:eastAsia="Times New Roman" w:hAnsi="Times New Roman Bold"/>
      <w:b/>
      <w:sz w:val="32"/>
      <w:szCs w:val="20"/>
      <w:lang w:eastAsia="en-IE"/>
    </w:rPr>
  </w:style>
  <w:style w:type="paragraph" w:customStyle="1" w:styleId="LegalNumPar">
    <w:name w:val="LegalNumPar"/>
    <w:basedOn w:val="Normal"/>
    <w:uiPriority w:val="20"/>
    <w:qFormat/>
    <w:rsid w:val="00EC49AF"/>
    <w:pPr>
      <w:numPr>
        <w:numId w:val="55"/>
      </w:numPr>
      <w:spacing w:after="120" w:line="360" w:lineRule="auto"/>
      <w:ind w:left="0" w:firstLine="0"/>
    </w:pPr>
    <w:rPr>
      <w:rFonts w:eastAsia="Times New Roman"/>
      <w:szCs w:val="20"/>
      <w:lang w:eastAsia="en-IE"/>
    </w:rPr>
  </w:style>
  <w:style w:type="paragraph" w:customStyle="1" w:styleId="LegalNumPar2">
    <w:name w:val="LegalNumPar2"/>
    <w:basedOn w:val="Normal"/>
    <w:uiPriority w:val="20"/>
    <w:rsid w:val="00EC49AF"/>
    <w:pPr>
      <w:numPr>
        <w:ilvl w:val="1"/>
        <w:numId w:val="55"/>
      </w:numPr>
      <w:tabs>
        <w:tab w:val="clear" w:pos="952"/>
      </w:tabs>
      <w:spacing w:after="120" w:line="360" w:lineRule="auto"/>
      <w:ind w:left="0" w:firstLine="0"/>
    </w:pPr>
    <w:rPr>
      <w:rFonts w:eastAsia="Times New Roman"/>
      <w:szCs w:val="20"/>
      <w:lang w:eastAsia="en-IE"/>
    </w:rPr>
  </w:style>
  <w:style w:type="paragraph" w:customStyle="1" w:styleId="LegalNumPar3">
    <w:name w:val="LegalNumPar3"/>
    <w:basedOn w:val="Normal"/>
    <w:uiPriority w:val="20"/>
    <w:rsid w:val="00EC49AF"/>
    <w:pPr>
      <w:numPr>
        <w:ilvl w:val="2"/>
        <w:numId w:val="55"/>
      </w:numPr>
      <w:tabs>
        <w:tab w:val="clear" w:pos="1429"/>
      </w:tabs>
      <w:spacing w:after="120" w:line="360" w:lineRule="auto"/>
      <w:ind w:left="0" w:firstLine="0"/>
    </w:pPr>
    <w:rPr>
      <w:rFonts w:eastAsia="Times New Roman"/>
      <w:szCs w:val="20"/>
      <w:lang w:eastAsia="en-IE"/>
    </w:rPr>
  </w:style>
  <w:style w:type="paragraph" w:customStyle="1" w:styleId="ListBulletLevel2">
    <w:name w:val="List Bullet (Level 2)"/>
    <w:basedOn w:val="Normal"/>
    <w:uiPriority w:val="35"/>
    <w:unhideWhenUsed/>
    <w:rsid w:val="00EC49AF"/>
    <w:pPr>
      <w:numPr>
        <w:ilvl w:val="1"/>
        <w:numId w:val="60"/>
      </w:numPr>
      <w:tabs>
        <w:tab w:val="clear" w:pos="907"/>
      </w:tabs>
      <w:spacing w:after="120" w:line="264" w:lineRule="auto"/>
      <w:ind w:left="0" w:firstLine="0"/>
      <w:contextualSpacing/>
    </w:pPr>
    <w:rPr>
      <w:rFonts w:eastAsia="Times New Roman"/>
      <w:sz w:val="22"/>
      <w:szCs w:val="20"/>
      <w:lang w:eastAsia="en-IE"/>
    </w:rPr>
  </w:style>
  <w:style w:type="paragraph" w:customStyle="1" w:styleId="ListBulletLevel3">
    <w:name w:val="List Bullet (Level 3)"/>
    <w:basedOn w:val="Normal"/>
    <w:uiPriority w:val="35"/>
    <w:semiHidden/>
    <w:unhideWhenUsed/>
    <w:rsid w:val="00EC49AF"/>
    <w:pPr>
      <w:numPr>
        <w:ilvl w:val="2"/>
        <w:numId w:val="60"/>
      </w:numPr>
      <w:tabs>
        <w:tab w:val="clear" w:pos="1361"/>
      </w:tabs>
      <w:spacing w:after="120" w:line="264" w:lineRule="auto"/>
      <w:ind w:left="0" w:firstLine="0"/>
      <w:contextualSpacing/>
    </w:pPr>
    <w:rPr>
      <w:rFonts w:eastAsia="Times New Roman"/>
      <w:sz w:val="22"/>
      <w:szCs w:val="20"/>
      <w:lang w:eastAsia="en-IE"/>
    </w:rPr>
  </w:style>
  <w:style w:type="paragraph" w:customStyle="1" w:styleId="ListBulletLevel4">
    <w:name w:val="List Bullet (Level 4)"/>
    <w:basedOn w:val="Normal"/>
    <w:uiPriority w:val="35"/>
    <w:semiHidden/>
    <w:unhideWhenUsed/>
    <w:rsid w:val="00EC49AF"/>
    <w:pPr>
      <w:numPr>
        <w:ilvl w:val="3"/>
        <w:numId w:val="60"/>
      </w:numPr>
      <w:tabs>
        <w:tab w:val="clear" w:pos="1814"/>
      </w:tabs>
      <w:spacing w:after="120" w:line="264" w:lineRule="auto"/>
      <w:ind w:left="0" w:firstLine="0"/>
      <w:contextualSpacing/>
    </w:pPr>
    <w:rPr>
      <w:rFonts w:eastAsia="Times New Roman"/>
      <w:sz w:val="22"/>
      <w:szCs w:val="20"/>
      <w:lang w:eastAsia="en-IE"/>
    </w:rPr>
  </w:style>
  <w:style w:type="paragraph" w:customStyle="1" w:styleId="ListDash">
    <w:name w:val="List Dash"/>
    <w:basedOn w:val="Normal"/>
    <w:uiPriority w:val="35"/>
    <w:rsid w:val="00EC49AF"/>
    <w:pPr>
      <w:numPr>
        <w:numId w:val="59"/>
      </w:numPr>
      <w:spacing w:after="120" w:line="264" w:lineRule="auto"/>
      <w:ind w:left="0" w:firstLine="0"/>
      <w:contextualSpacing/>
    </w:pPr>
    <w:rPr>
      <w:rFonts w:eastAsia="Times New Roman"/>
      <w:sz w:val="22"/>
      <w:szCs w:val="20"/>
      <w:lang w:eastAsia="en-IE"/>
    </w:rPr>
  </w:style>
  <w:style w:type="paragraph" w:customStyle="1" w:styleId="ListDashLevel2">
    <w:name w:val="List Dash (Level 2)"/>
    <w:basedOn w:val="Normal"/>
    <w:uiPriority w:val="35"/>
    <w:semiHidden/>
    <w:unhideWhenUsed/>
    <w:rsid w:val="00EC49AF"/>
    <w:pPr>
      <w:numPr>
        <w:ilvl w:val="1"/>
        <w:numId w:val="59"/>
      </w:numPr>
      <w:tabs>
        <w:tab w:val="clear" w:pos="907"/>
      </w:tabs>
      <w:spacing w:after="120" w:line="264" w:lineRule="auto"/>
      <w:ind w:left="0" w:firstLine="0"/>
      <w:contextualSpacing/>
    </w:pPr>
    <w:rPr>
      <w:rFonts w:eastAsia="Times New Roman"/>
      <w:sz w:val="22"/>
      <w:szCs w:val="20"/>
      <w:lang w:eastAsia="en-IE"/>
    </w:rPr>
  </w:style>
  <w:style w:type="paragraph" w:customStyle="1" w:styleId="ListDashLevel3">
    <w:name w:val="List Dash (Level 3)"/>
    <w:basedOn w:val="Normal"/>
    <w:uiPriority w:val="35"/>
    <w:semiHidden/>
    <w:unhideWhenUsed/>
    <w:rsid w:val="00EC49AF"/>
    <w:pPr>
      <w:numPr>
        <w:ilvl w:val="2"/>
        <w:numId w:val="59"/>
      </w:numPr>
      <w:tabs>
        <w:tab w:val="clear" w:pos="1361"/>
      </w:tabs>
      <w:spacing w:after="120" w:line="264" w:lineRule="auto"/>
      <w:ind w:left="0" w:firstLine="0"/>
      <w:contextualSpacing/>
    </w:pPr>
    <w:rPr>
      <w:rFonts w:eastAsia="Times New Roman"/>
      <w:sz w:val="22"/>
      <w:szCs w:val="20"/>
      <w:lang w:eastAsia="en-IE"/>
    </w:rPr>
  </w:style>
  <w:style w:type="paragraph" w:customStyle="1" w:styleId="ListDashLevel4">
    <w:name w:val="List Dash (Level 4)"/>
    <w:basedOn w:val="Normal"/>
    <w:uiPriority w:val="35"/>
    <w:semiHidden/>
    <w:unhideWhenUsed/>
    <w:rsid w:val="00EC49AF"/>
    <w:pPr>
      <w:numPr>
        <w:ilvl w:val="3"/>
        <w:numId w:val="59"/>
      </w:numPr>
      <w:tabs>
        <w:tab w:val="clear" w:pos="1814"/>
      </w:tabs>
      <w:spacing w:after="120" w:line="264" w:lineRule="auto"/>
      <w:ind w:left="0" w:firstLine="0"/>
      <w:contextualSpacing/>
    </w:pPr>
    <w:rPr>
      <w:rFonts w:eastAsia="Times New Roman"/>
      <w:sz w:val="22"/>
      <w:szCs w:val="20"/>
      <w:lang w:eastAsia="en-IE"/>
    </w:rPr>
  </w:style>
  <w:style w:type="paragraph" w:customStyle="1" w:styleId="Marking">
    <w:name w:val="Marking"/>
    <w:basedOn w:val="Normal"/>
    <w:semiHidden/>
    <w:rsid w:val="00EC49AF"/>
    <w:pPr>
      <w:spacing w:after="120"/>
      <w:ind w:left="5102" w:right="-680"/>
      <w:contextualSpacing/>
      <w:jc w:val="left"/>
    </w:pPr>
    <w:rPr>
      <w:rFonts w:eastAsia="Times New Roman"/>
      <w:sz w:val="28"/>
      <w:szCs w:val="20"/>
      <w:lang w:eastAsia="en-IE"/>
    </w:rPr>
  </w:style>
  <w:style w:type="paragraph" w:customStyle="1" w:styleId="NumPar1">
    <w:name w:val="NumPar 1"/>
    <w:basedOn w:val="Heading1"/>
    <w:uiPriority w:val="20"/>
    <w:qFormat/>
    <w:rsid w:val="00EC49AF"/>
    <w:pPr>
      <w:keepNext w:val="0"/>
      <w:numPr>
        <w:numId w:val="0"/>
      </w:numPr>
      <w:spacing w:before="0" w:after="120" w:line="264" w:lineRule="auto"/>
      <w:outlineLvl w:val="9"/>
    </w:pPr>
    <w:rPr>
      <w:b w:val="0"/>
      <w:smallCaps w:val="0"/>
      <w:sz w:val="22"/>
      <w:lang w:eastAsia="en-IE"/>
    </w:rPr>
  </w:style>
  <w:style w:type="paragraph" w:customStyle="1" w:styleId="NumPar2">
    <w:name w:val="NumPar 2"/>
    <w:basedOn w:val="Heading2"/>
    <w:uiPriority w:val="20"/>
    <w:qFormat/>
    <w:rsid w:val="00EC49AF"/>
    <w:pPr>
      <w:keepNext w:val="0"/>
      <w:numPr>
        <w:ilvl w:val="0"/>
        <w:numId w:val="0"/>
      </w:numPr>
      <w:spacing w:after="120" w:line="264" w:lineRule="auto"/>
      <w:outlineLvl w:val="9"/>
    </w:pPr>
    <w:rPr>
      <w:b w:val="0"/>
      <w:sz w:val="22"/>
      <w:lang w:eastAsia="en-IE"/>
    </w:rPr>
  </w:style>
  <w:style w:type="paragraph" w:customStyle="1" w:styleId="NumPar3">
    <w:name w:val="NumPar 3"/>
    <w:basedOn w:val="Heading3"/>
    <w:uiPriority w:val="20"/>
    <w:qFormat/>
    <w:rsid w:val="00EC49AF"/>
    <w:pPr>
      <w:keepNext w:val="0"/>
      <w:numPr>
        <w:ilvl w:val="0"/>
        <w:numId w:val="0"/>
      </w:numPr>
      <w:spacing w:after="120" w:line="264" w:lineRule="auto"/>
      <w:outlineLvl w:val="9"/>
    </w:pPr>
    <w:rPr>
      <w:i w:val="0"/>
      <w:sz w:val="22"/>
      <w:lang w:eastAsia="en-IE"/>
    </w:rPr>
  </w:style>
  <w:style w:type="paragraph" w:customStyle="1" w:styleId="NumPar4">
    <w:name w:val="NumPar 4"/>
    <w:basedOn w:val="Heading4"/>
    <w:uiPriority w:val="20"/>
    <w:qFormat/>
    <w:rsid w:val="00EC49AF"/>
    <w:pPr>
      <w:keepNext w:val="0"/>
      <w:numPr>
        <w:ilvl w:val="0"/>
        <w:numId w:val="0"/>
      </w:numPr>
      <w:spacing w:after="120" w:line="264" w:lineRule="auto"/>
      <w:outlineLvl w:val="9"/>
    </w:pPr>
    <w:rPr>
      <w:sz w:val="22"/>
      <w:lang w:eastAsia="en-IE"/>
    </w:rPr>
  </w:style>
  <w:style w:type="paragraph" w:customStyle="1" w:styleId="PartTitle">
    <w:name w:val="PartTitle"/>
    <w:basedOn w:val="Normal"/>
    <w:next w:val="ChapterTitle"/>
    <w:uiPriority w:val="42"/>
    <w:qFormat/>
    <w:rsid w:val="00EC49AF"/>
    <w:pPr>
      <w:keepNext/>
      <w:pageBreakBefore/>
      <w:spacing w:after="360" w:line="264" w:lineRule="auto"/>
      <w:jc w:val="center"/>
      <w:outlineLvl w:val="0"/>
    </w:pPr>
    <w:rPr>
      <w:rFonts w:eastAsia="Times New Roman"/>
      <w:b/>
      <w:sz w:val="52"/>
      <w:szCs w:val="20"/>
      <w:lang w:eastAsia="en-IE"/>
    </w:rPr>
  </w:style>
  <w:style w:type="paragraph" w:customStyle="1" w:styleId="References">
    <w:name w:val="References"/>
    <w:semiHidden/>
    <w:rsid w:val="00EC49AF"/>
    <w:pPr>
      <w:tabs>
        <w:tab w:val="num" w:pos="397"/>
        <w:tab w:val="num" w:pos="709"/>
      </w:tabs>
      <w:spacing w:after="0" w:line="240" w:lineRule="auto"/>
      <w:ind w:left="709" w:hanging="709"/>
    </w:pPr>
    <w:rPr>
      <w:rFonts w:ascii="Times New Roman" w:eastAsia="Times New Roman" w:hAnsi="Times New Roman" w:cs="Times New Roman"/>
      <w:sz w:val="24"/>
      <w:szCs w:val="20"/>
      <w:lang w:eastAsia="en-IE"/>
    </w:rPr>
  </w:style>
  <w:style w:type="paragraph" w:customStyle="1" w:styleId="SectionTitle">
    <w:name w:val="SectionTitle"/>
    <w:basedOn w:val="Normal"/>
    <w:next w:val="Heading1"/>
    <w:uiPriority w:val="44"/>
    <w:qFormat/>
    <w:rsid w:val="00EC49AF"/>
    <w:pPr>
      <w:keepNext/>
      <w:spacing w:before="720" w:after="360" w:line="264" w:lineRule="auto"/>
      <w:contextualSpacing/>
      <w:jc w:val="center"/>
      <w:outlineLvl w:val="0"/>
    </w:pPr>
    <w:rPr>
      <w:rFonts w:ascii="Times New Roman Bold" w:eastAsia="Times New Roman" w:hAnsi="Times New Roman Bold"/>
      <w:b/>
      <w:smallCaps/>
      <w:sz w:val="32"/>
      <w:szCs w:val="20"/>
      <w:lang w:eastAsia="en-IE"/>
    </w:rPr>
  </w:style>
  <w:style w:type="paragraph" w:customStyle="1" w:styleId="SubTitle10">
    <w:name w:val="SubTitle 1"/>
    <w:basedOn w:val="Normal"/>
    <w:next w:val="Normal"/>
    <w:uiPriority w:val="41"/>
    <w:qFormat/>
    <w:rsid w:val="00EC49AF"/>
    <w:pPr>
      <w:spacing w:before="360" w:after="2000" w:line="264" w:lineRule="auto"/>
      <w:jc w:val="center"/>
    </w:pPr>
    <w:rPr>
      <w:rFonts w:eastAsia="Times New Roman"/>
      <w:b/>
      <w:sz w:val="40"/>
      <w:szCs w:val="20"/>
      <w:lang w:eastAsia="en-IE"/>
    </w:rPr>
  </w:style>
  <w:style w:type="paragraph" w:customStyle="1" w:styleId="SubTitle2">
    <w:name w:val="SubTitle 2"/>
    <w:basedOn w:val="Normal"/>
    <w:uiPriority w:val="41"/>
    <w:qFormat/>
    <w:rsid w:val="00EC49AF"/>
    <w:pPr>
      <w:spacing w:after="280" w:line="264" w:lineRule="auto"/>
      <w:jc w:val="center"/>
    </w:pPr>
    <w:rPr>
      <w:rFonts w:eastAsia="Times New Roman"/>
      <w:b/>
      <w:sz w:val="32"/>
      <w:szCs w:val="20"/>
      <w:lang w:eastAsia="en-IE"/>
    </w:rPr>
  </w:style>
  <w:style w:type="paragraph" w:customStyle="1" w:styleId="TableListBullet">
    <w:name w:val="Table List Bullet"/>
    <w:basedOn w:val="TableText"/>
    <w:uiPriority w:val="55"/>
    <w:rsid w:val="00EC49AF"/>
    <w:pPr>
      <w:numPr>
        <w:numId w:val="58"/>
      </w:numPr>
      <w:ind w:left="0" w:firstLine="0"/>
    </w:pPr>
  </w:style>
  <w:style w:type="paragraph" w:customStyle="1" w:styleId="TableListBulletLevel2">
    <w:name w:val="Table List Bullet (Level 2)"/>
    <w:basedOn w:val="TableText"/>
    <w:uiPriority w:val="55"/>
    <w:semiHidden/>
    <w:unhideWhenUsed/>
    <w:rsid w:val="00EC49AF"/>
    <w:pPr>
      <w:numPr>
        <w:ilvl w:val="1"/>
        <w:numId w:val="58"/>
      </w:numPr>
      <w:tabs>
        <w:tab w:val="clear" w:pos="567"/>
      </w:tabs>
      <w:ind w:left="0" w:firstLine="0"/>
    </w:pPr>
  </w:style>
  <w:style w:type="paragraph" w:customStyle="1" w:styleId="TableListBulletLevel3">
    <w:name w:val="Table List Bullet (Level 3)"/>
    <w:basedOn w:val="TableText"/>
    <w:uiPriority w:val="55"/>
    <w:semiHidden/>
    <w:unhideWhenUsed/>
    <w:rsid w:val="00EC49AF"/>
    <w:pPr>
      <w:numPr>
        <w:ilvl w:val="2"/>
        <w:numId w:val="58"/>
      </w:numPr>
      <w:tabs>
        <w:tab w:val="clear" w:pos="850"/>
      </w:tabs>
      <w:ind w:left="0" w:firstLine="0"/>
    </w:pPr>
  </w:style>
  <w:style w:type="paragraph" w:customStyle="1" w:styleId="TableListBulletLevel4">
    <w:name w:val="Table List Bullet (Level 4)"/>
    <w:basedOn w:val="TableText"/>
    <w:uiPriority w:val="55"/>
    <w:semiHidden/>
    <w:unhideWhenUsed/>
    <w:rsid w:val="00EC49AF"/>
    <w:pPr>
      <w:numPr>
        <w:ilvl w:val="3"/>
        <w:numId w:val="58"/>
      </w:numPr>
      <w:tabs>
        <w:tab w:val="clear" w:pos="1134"/>
      </w:tabs>
      <w:ind w:left="0" w:firstLine="0"/>
    </w:pPr>
  </w:style>
  <w:style w:type="paragraph" w:customStyle="1" w:styleId="TableListDash">
    <w:name w:val="Table List Dash"/>
    <w:basedOn w:val="TableText"/>
    <w:uiPriority w:val="55"/>
    <w:rsid w:val="00EC49AF"/>
    <w:pPr>
      <w:numPr>
        <w:numId w:val="57"/>
      </w:numPr>
      <w:ind w:left="0" w:firstLine="0"/>
    </w:pPr>
  </w:style>
  <w:style w:type="paragraph" w:customStyle="1" w:styleId="TableListDashLevel2">
    <w:name w:val="Table List Dash (Level 2)"/>
    <w:basedOn w:val="TableText"/>
    <w:uiPriority w:val="55"/>
    <w:semiHidden/>
    <w:unhideWhenUsed/>
    <w:rsid w:val="00EC49AF"/>
    <w:pPr>
      <w:numPr>
        <w:ilvl w:val="1"/>
        <w:numId w:val="57"/>
      </w:numPr>
      <w:tabs>
        <w:tab w:val="clear" w:pos="567"/>
      </w:tabs>
      <w:ind w:left="0" w:firstLine="0"/>
    </w:pPr>
  </w:style>
  <w:style w:type="paragraph" w:customStyle="1" w:styleId="TableListDashLevel3">
    <w:name w:val="Table List Dash (Level 3)"/>
    <w:basedOn w:val="TableText"/>
    <w:uiPriority w:val="55"/>
    <w:semiHidden/>
    <w:unhideWhenUsed/>
    <w:rsid w:val="00EC49AF"/>
    <w:pPr>
      <w:numPr>
        <w:ilvl w:val="2"/>
        <w:numId w:val="57"/>
      </w:numPr>
      <w:tabs>
        <w:tab w:val="clear" w:pos="850"/>
      </w:tabs>
      <w:ind w:left="0" w:firstLine="0"/>
    </w:pPr>
  </w:style>
  <w:style w:type="paragraph" w:customStyle="1" w:styleId="TableListDashLevel4">
    <w:name w:val="Table List Dash (Level 4)"/>
    <w:basedOn w:val="TableText"/>
    <w:uiPriority w:val="55"/>
    <w:semiHidden/>
    <w:unhideWhenUsed/>
    <w:rsid w:val="00EC49AF"/>
    <w:pPr>
      <w:numPr>
        <w:ilvl w:val="3"/>
        <w:numId w:val="57"/>
      </w:numPr>
      <w:tabs>
        <w:tab w:val="clear" w:pos="1134"/>
      </w:tabs>
      <w:ind w:left="0" w:firstLine="0"/>
    </w:pPr>
  </w:style>
  <w:style w:type="paragraph" w:customStyle="1" w:styleId="TableListNumber">
    <w:name w:val="Table List Number"/>
    <w:basedOn w:val="TableText"/>
    <w:uiPriority w:val="55"/>
    <w:rsid w:val="00EC49AF"/>
    <w:pPr>
      <w:numPr>
        <w:numId w:val="56"/>
      </w:numPr>
      <w:ind w:left="0" w:firstLine="0"/>
    </w:pPr>
  </w:style>
  <w:style w:type="paragraph" w:customStyle="1" w:styleId="TableListNumberLevel2">
    <w:name w:val="Table List Number (Level 2)"/>
    <w:basedOn w:val="TableText"/>
    <w:uiPriority w:val="55"/>
    <w:semiHidden/>
    <w:unhideWhenUsed/>
    <w:rsid w:val="00EC49AF"/>
    <w:pPr>
      <w:numPr>
        <w:ilvl w:val="1"/>
        <w:numId w:val="56"/>
      </w:numPr>
      <w:tabs>
        <w:tab w:val="clear" w:pos="907"/>
      </w:tabs>
      <w:ind w:left="0" w:firstLine="0"/>
    </w:pPr>
  </w:style>
  <w:style w:type="paragraph" w:customStyle="1" w:styleId="TableListNumberLevel3">
    <w:name w:val="Table List Number (Level 3)"/>
    <w:basedOn w:val="TableText"/>
    <w:uiPriority w:val="55"/>
    <w:semiHidden/>
    <w:unhideWhenUsed/>
    <w:rsid w:val="00EC49AF"/>
    <w:pPr>
      <w:numPr>
        <w:ilvl w:val="2"/>
        <w:numId w:val="56"/>
      </w:numPr>
      <w:tabs>
        <w:tab w:val="clear" w:pos="1361"/>
      </w:tabs>
      <w:ind w:left="0" w:firstLine="0"/>
    </w:pPr>
  </w:style>
  <w:style w:type="paragraph" w:customStyle="1" w:styleId="TableListNumberLevel4">
    <w:name w:val="Table List Number (Level 4)"/>
    <w:basedOn w:val="TableText"/>
    <w:uiPriority w:val="55"/>
    <w:semiHidden/>
    <w:unhideWhenUsed/>
    <w:rsid w:val="00EC49AF"/>
    <w:pPr>
      <w:numPr>
        <w:ilvl w:val="3"/>
        <w:numId w:val="56"/>
      </w:numPr>
      <w:tabs>
        <w:tab w:val="clear" w:pos="1814"/>
      </w:tabs>
      <w:ind w:left="0" w:firstLine="0"/>
    </w:pPr>
  </w:style>
  <w:style w:type="paragraph" w:customStyle="1" w:styleId="TableSource">
    <w:name w:val="Table Source"/>
    <w:basedOn w:val="Normal"/>
    <w:next w:val="Normal"/>
    <w:uiPriority w:val="99"/>
    <w:semiHidden/>
    <w:unhideWhenUsed/>
    <w:rsid w:val="00EC49AF"/>
    <w:pPr>
      <w:spacing w:line="264" w:lineRule="auto"/>
    </w:pPr>
    <w:rPr>
      <w:rFonts w:eastAsia="Times New Roman"/>
      <w:sz w:val="18"/>
      <w:szCs w:val="20"/>
      <w:lang w:eastAsia="en-IE"/>
    </w:rPr>
  </w:style>
  <w:style w:type="paragraph" w:customStyle="1" w:styleId="TableText">
    <w:name w:val="Table Text"/>
    <w:basedOn w:val="Normal"/>
    <w:uiPriority w:val="50"/>
    <w:qFormat/>
    <w:rsid w:val="00EC49AF"/>
    <w:pPr>
      <w:spacing w:before="60" w:after="60" w:line="264" w:lineRule="auto"/>
      <w:jc w:val="left"/>
    </w:pPr>
    <w:rPr>
      <w:rFonts w:eastAsia="Times New Roman"/>
      <w:sz w:val="22"/>
      <w:szCs w:val="20"/>
      <w:lang w:eastAsia="en-IE"/>
    </w:rPr>
  </w:style>
  <w:style w:type="paragraph" w:customStyle="1" w:styleId="TableTitle">
    <w:name w:val="Table Title"/>
    <w:basedOn w:val="Normal"/>
    <w:uiPriority w:val="99"/>
    <w:semiHidden/>
    <w:unhideWhenUsed/>
    <w:rsid w:val="00EC49AF"/>
    <w:pPr>
      <w:keepNext/>
      <w:spacing w:before="120" w:after="120" w:line="264" w:lineRule="auto"/>
    </w:pPr>
    <w:rPr>
      <w:rFonts w:eastAsia="Times New Roman"/>
      <w:b/>
      <w:i/>
      <w:sz w:val="22"/>
      <w:szCs w:val="20"/>
      <w:lang w:eastAsia="en-IE"/>
    </w:rPr>
  </w:style>
  <w:style w:type="paragraph" w:styleId="TOC3">
    <w:name w:val="toc 3"/>
    <w:basedOn w:val="Normal"/>
    <w:next w:val="Normal"/>
    <w:uiPriority w:val="39"/>
    <w:rsid w:val="00A20D8E"/>
    <w:pPr>
      <w:tabs>
        <w:tab w:val="left" w:pos="1446"/>
        <w:tab w:val="right" w:leader="dot" w:pos="8640"/>
      </w:tabs>
      <w:spacing w:after="60"/>
      <w:ind w:left="1445" w:right="720" w:hanging="850"/>
    </w:pPr>
    <w:rPr>
      <w:rFonts w:eastAsia="Times New Roman"/>
      <w:szCs w:val="20"/>
      <w:lang w:eastAsia="en-IE"/>
    </w:rPr>
  </w:style>
  <w:style w:type="paragraph" w:styleId="TOC4">
    <w:name w:val="toc 4"/>
    <w:basedOn w:val="Normal"/>
    <w:next w:val="Normal"/>
    <w:uiPriority w:val="39"/>
    <w:rsid w:val="00A20D8E"/>
    <w:pPr>
      <w:tabs>
        <w:tab w:val="left" w:pos="1446"/>
        <w:tab w:val="right" w:leader="dot" w:pos="8640"/>
      </w:tabs>
      <w:spacing w:after="60"/>
      <w:ind w:left="1445" w:right="720" w:hanging="850"/>
    </w:pPr>
    <w:rPr>
      <w:rFonts w:eastAsia="Times New Roman"/>
      <w:noProof/>
      <w:szCs w:val="20"/>
      <w:lang w:eastAsia="en-IE"/>
    </w:rPr>
  </w:style>
  <w:style w:type="paragraph" w:styleId="TOC5">
    <w:name w:val="toc 5"/>
    <w:basedOn w:val="Normal"/>
    <w:next w:val="Normal"/>
    <w:uiPriority w:val="39"/>
    <w:rsid w:val="00A20D8E"/>
    <w:pPr>
      <w:tabs>
        <w:tab w:val="left" w:pos="595"/>
        <w:tab w:val="right" w:leader="dot" w:pos="8640"/>
      </w:tabs>
      <w:spacing w:before="240" w:after="60"/>
      <w:ind w:right="720"/>
    </w:pPr>
    <w:rPr>
      <w:rFonts w:eastAsia="Times New Roman"/>
      <w:b/>
      <w:szCs w:val="20"/>
      <w:lang w:eastAsia="en-IE"/>
    </w:rPr>
  </w:style>
  <w:style w:type="paragraph" w:styleId="TOC6">
    <w:name w:val="toc 6"/>
    <w:basedOn w:val="Normal"/>
    <w:next w:val="Normal"/>
    <w:uiPriority w:val="39"/>
    <w:rsid w:val="00EC49AF"/>
    <w:pPr>
      <w:tabs>
        <w:tab w:val="left" w:pos="595"/>
        <w:tab w:val="right" w:leader="dot" w:pos="8640"/>
      </w:tabs>
      <w:spacing w:before="240" w:after="60"/>
      <w:ind w:left="1446" w:right="720" w:hanging="1446"/>
    </w:pPr>
    <w:rPr>
      <w:rFonts w:eastAsia="Times New Roman"/>
      <w:b/>
      <w:sz w:val="20"/>
      <w:szCs w:val="20"/>
      <w:lang w:eastAsia="en-IE"/>
    </w:rPr>
  </w:style>
  <w:style w:type="paragraph" w:styleId="TOC7">
    <w:name w:val="toc 7"/>
    <w:basedOn w:val="Normal"/>
    <w:next w:val="Normal"/>
    <w:uiPriority w:val="39"/>
    <w:rsid w:val="00EC49AF"/>
    <w:pPr>
      <w:tabs>
        <w:tab w:val="right" w:leader="dot" w:pos="8640"/>
      </w:tabs>
      <w:spacing w:after="120" w:line="264" w:lineRule="auto"/>
    </w:pPr>
    <w:rPr>
      <w:rFonts w:eastAsia="Times New Roman"/>
      <w:sz w:val="22"/>
      <w:szCs w:val="20"/>
      <w:lang w:eastAsia="en-IE"/>
    </w:rPr>
  </w:style>
  <w:style w:type="paragraph" w:styleId="TOC8">
    <w:name w:val="toc 8"/>
    <w:basedOn w:val="Normal"/>
    <w:next w:val="Normal"/>
    <w:uiPriority w:val="39"/>
    <w:rsid w:val="00EC49AF"/>
    <w:pPr>
      <w:tabs>
        <w:tab w:val="right" w:leader="dot" w:pos="8640"/>
      </w:tabs>
      <w:spacing w:after="120" w:line="264" w:lineRule="auto"/>
    </w:pPr>
    <w:rPr>
      <w:rFonts w:eastAsia="Times New Roman"/>
      <w:sz w:val="22"/>
      <w:szCs w:val="20"/>
      <w:lang w:eastAsia="en-IE"/>
    </w:rPr>
  </w:style>
  <w:style w:type="paragraph" w:styleId="TOC9">
    <w:name w:val="toc 9"/>
    <w:basedOn w:val="Normal"/>
    <w:next w:val="Normal"/>
    <w:uiPriority w:val="39"/>
    <w:rsid w:val="00EC49AF"/>
    <w:pPr>
      <w:tabs>
        <w:tab w:val="right" w:leader="dot" w:pos="8640"/>
      </w:tabs>
      <w:spacing w:after="120" w:line="264" w:lineRule="auto"/>
    </w:pPr>
    <w:rPr>
      <w:rFonts w:eastAsia="Times New Roman"/>
      <w:sz w:val="22"/>
      <w:szCs w:val="20"/>
      <w:lang w:eastAsia="en-IE"/>
    </w:rPr>
  </w:style>
  <w:style w:type="paragraph" w:customStyle="1" w:styleId="ZCom">
    <w:name w:val="Z_Com"/>
    <w:basedOn w:val="Normal"/>
    <w:next w:val="ZDGName"/>
    <w:semiHidden/>
    <w:rsid w:val="00EC49AF"/>
    <w:pPr>
      <w:widowControl w:val="0"/>
      <w:spacing w:before="90" w:after="0"/>
      <w:ind w:right="85"/>
      <w:jc w:val="left"/>
    </w:pPr>
    <w:rPr>
      <w:rFonts w:eastAsia="Times New Roman"/>
      <w:szCs w:val="20"/>
      <w:lang w:eastAsia="en-IE"/>
    </w:rPr>
  </w:style>
  <w:style w:type="paragraph" w:customStyle="1" w:styleId="ZDGName">
    <w:name w:val="Z_DGName"/>
    <w:basedOn w:val="Normal"/>
    <w:semiHidden/>
    <w:rsid w:val="00EC49AF"/>
    <w:pPr>
      <w:widowControl w:val="0"/>
      <w:spacing w:after="0"/>
      <w:ind w:right="85"/>
      <w:jc w:val="left"/>
    </w:pPr>
    <w:rPr>
      <w:rFonts w:eastAsia="Times New Roman"/>
      <w:sz w:val="16"/>
      <w:szCs w:val="20"/>
      <w:lang w:eastAsia="en-IE"/>
    </w:rPr>
  </w:style>
  <w:style w:type="paragraph" w:customStyle="1" w:styleId="ZFlag">
    <w:name w:val="Z_Flag"/>
    <w:basedOn w:val="Normal"/>
    <w:next w:val="Normal"/>
    <w:semiHidden/>
    <w:rsid w:val="00EC49AF"/>
    <w:pPr>
      <w:widowControl w:val="0"/>
      <w:spacing w:after="0" w:line="264" w:lineRule="auto"/>
      <w:ind w:right="85"/>
    </w:pPr>
    <w:rPr>
      <w:rFonts w:eastAsia="Times New Roman"/>
      <w:sz w:val="22"/>
      <w:szCs w:val="20"/>
      <w:lang w:eastAsia="en-IE"/>
    </w:rPr>
  </w:style>
  <w:style w:type="paragraph" w:customStyle="1" w:styleId="Citation">
    <w:name w:val="Citation"/>
    <w:basedOn w:val="Normal"/>
    <w:link w:val="CitationChar"/>
    <w:uiPriority w:val="5"/>
    <w:qFormat/>
    <w:rsid w:val="00EC49AF"/>
    <w:pPr>
      <w:spacing w:after="120" w:line="264" w:lineRule="auto"/>
      <w:ind w:left="454" w:right="454"/>
    </w:pPr>
    <w:rPr>
      <w:rFonts w:eastAsia="Times New Roman"/>
      <w:i/>
      <w:sz w:val="22"/>
      <w:szCs w:val="20"/>
      <w:lang w:eastAsia="en-IE"/>
    </w:rPr>
  </w:style>
  <w:style w:type="character" w:customStyle="1" w:styleId="CitationChar">
    <w:name w:val="Citation Char"/>
    <w:link w:val="Citation"/>
    <w:uiPriority w:val="5"/>
    <w:qFormat/>
    <w:rsid w:val="00EC49AF"/>
    <w:rPr>
      <w:rFonts w:ascii="Times New Roman" w:eastAsia="Times New Roman" w:hAnsi="Times New Roman" w:cs="Times New Roman"/>
      <w:i/>
      <w:szCs w:val="20"/>
      <w:lang w:eastAsia="en-IE"/>
    </w:rPr>
  </w:style>
  <w:style w:type="paragraph" w:styleId="MacroText">
    <w:name w:val="macro"/>
    <w:basedOn w:val="Normal"/>
    <w:link w:val="MacroTextChar1"/>
    <w:uiPriority w:val="5"/>
    <w:qFormat/>
    <w:rsid w:val="00EC49AF"/>
    <w:pPr>
      <w:tabs>
        <w:tab w:val="left" w:pos="482"/>
        <w:tab w:val="left" w:pos="958"/>
        <w:tab w:val="left" w:pos="1440"/>
        <w:tab w:val="left" w:pos="1922"/>
        <w:tab w:val="left" w:pos="2398"/>
        <w:tab w:val="left" w:pos="2880"/>
        <w:tab w:val="left" w:pos="3362"/>
        <w:tab w:val="left" w:pos="3838"/>
        <w:tab w:val="left" w:pos="4320"/>
      </w:tabs>
      <w:spacing w:after="120" w:line="264" w:lineRule="auto"/>
    </w:pPr>
    <w:rPr>
      <w:rFonts w:ascii="Courier New" w:eastAsia="Times New Roman" w:hAnsi="Courier New"/>
      <w:sz w:val="20"/>
      <w:szCs w:val="20"/>
      <w:lang w:eastAsia="en-IE"/>
    </w:rPr>
  </w:style>
  <w:style w:type="character" w:customStyle="1" w:styleId="MacroTextChar1">
    <w:name w:val="Macro Text Char1"/>
    <w:basedOn w:val="DefaultParagraphFont"/>
    <w:link w:val="MacroText"/>
    <w:uiPriority w:val="5"/>
    <w:qFormat/>
    <w:rsid w:val="00EC49AF"/>
    <w:rPr>
      <w:rFonts w:ascii="Courier New" w:eastAsia="Times New Roman" w:hAnsi="Courier New" w:cs="Times New Roman"/>
      <w:sz w:val="20"/>
      <w:szCs w:val="20"/>
      <w:lang w:eastAsia="en-IE"/>
    </w:rPr>
  </w:style>
  <w:style w:type="table" w:customStyle="1" w:styleId="EurolookClassicBlue">
    <w:name w:val="Eurolook Classic Blue"/>
    <w:basedOn w:val="TableNormal"/>
    <w:uiPriority w:val="80"/>
    <w:rsid w:val="00EC49AF"/>
    <w:pPr>
      <w:spacing w:after="240" w:line="240" w:lineRule="auto"/>
    </w:pPr>
    <w:rPr>
      <w:rFonts w:ascii="Times New Roman" w:eastAsia="Times New Roman" w:hAnsi="Times New Roman" w:cs="Times New Roman"/>
      <w:sz w:val="24"/>
      <w:szCs w:val="20"/>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rsid w:val="00EC49AF"/>
    <w:pPr>
      <w:spacing w:after="240" w:line="240" w:lineRule="auto"/>
    </w:pPr>
    <w:rPr>
      <w:rFonts w:ascii="Times New Roman" w:eastAsia="Times New Roman" w:hAnsi="Times New Roman" w:cs="Times New Roman"/>
      <w:sz w:val="24"/>
      <w:szCs w:val="20"/>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rsid w:val="00EC49AF"/>
    <w:pPr>
      <w:spacing w:after="240" w:line="240" w:lineRule="auto"/>
    </w:pPr>
    <w:rPr>
      <w:rFonts w:ascii="Times New Roman" w:eastAsia="Times New Roman" w:hAnsi="Times New Roman" w:cs="Times New Roman"/>
      <w:sz w:val="24"/>
      <w:szCs w:val="20"/>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rsid w:val="00EC49AF"/>
    <w:pPr>
      <w:spacing w:after="240" w:line="240" w:lineRule="auto"/>
    </w:pPr>
    <w:rPr>
      <w:rFonts w:ascii="Times New Roman" w:eastAsia="Times New Roman" w:hAnsi="Times New Roman" w:cs="Times New Roman"/>
      <w:sz w:val="24"/>
      <w:szCs w:val="20"/>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rsid w:val="00EC49AF"/>
    <w:pPr>
      <w:spacing w:after="240" w:line="240" w:lineRule="auto"/>
    </w:pPr>
    <w:rPr>
      <w:rFonts w:ascii="Times New Roman" w:eastAsia="Times New Roman" w:hAnsi="Times New Roman" w:cs="Times New Roman"/>
      <w:sz w:val="24"/>
      <w:szCs w:val="20"/>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rsid w:val="00EC49AF"/>
    <w:pPr>
      <w:spacing w:after="240" w:line="240" w:lineRule="auto"/>
    </w:pPr>
    <w:rPr>
      <w:rFonts w:ascii="Times New Roman" w:eastAsia="Times New Roman" w:hAnsi="Times New Roman" w:cs="Times New Roman"/>
      <w:sz w:val="24"/>
      <w:szCs w:val="20"/>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rsid w:val="00EC49AF"/>
    <w:pPr>
      <w:spacing w:after="240" w:line="240" w:lineRule="auto"/>
    </w:pPr>
    <w:rPr>
      <w:rFonts w:ascii="Times New Roman" w:eastAsia="Times New Roman" w:hAnsi="Times New Roman" w:cs="Times New Roman"/>
      <w:sz w:val="24"/>
      <w:szCs w:val="20"/>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rsid w:val="00EC49AF"/>
    <w:pPr>
      <w:spacing w:after="240" w:line="240" w:lineRule="auto"/>
    </w:pPr>
    <w:rPr>
      <w:rFonts w:ascii="Times New Roman" w:eastAsia="Times New Roman" w:hAnsi="Times New Roman" w:cs="Times New Roman"/>
      <w:sz w:val="24"/>
      <w:szCs w:val="20"/>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rsid w:val="00EC49AF"/>
    <w:pPr>
      <w:spacing w:after="240" w:line="240" w:lineRule="auto"/>
    </w:pPr>
    <w:rPr>
      <w:rFonts w:ascii="Times New Roman" w:eastAsia="Times New Roman" w:hAnsi="Times New Roman" w:cs="Times New Roman"/>
      <w:sz w:val="24"/>
      <w:szCs w:val="20"/>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rsid w:val="00EC49AF"/>
    <w:pPr>
      <w:spacing w:after="240" w:line="240" w:lineRule="auto"/>
    </w:pPr>
    <w:rPr>
      <w:rFonts w:ascii="Times New Roman" w:eastAsia="Times New Roman" w:hAnsi="Times New Roman" w:cs="Times New Roman"/>
      <w:sz w:val="24"/>
      <w:szCs w:val="20"/>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rsid w:val="00EC49AF"/>
    <w:pPr>
      <w:spacing w:after="240" w:line="240" w:lineRule="auto"/>
    </w:pPr>
    <w:rPr>
      <w:rFonts w:ascii="Times New Roman" w:eastAsia="Times New Roman" w:hAnsi="Times New Roman" w:cs="Times New Roman"/>
      <w:sz w:val="24"/>
      <w:szCs w:val="20"/>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rsid w:val="00EC49AF"/>
    <w:pPr>
      <w:spacing w:after="240" w:line="240" w:lineRule="auto"/>
    </w:pPr>
    <w:rPr>
      <w:rFonts w:ascii="Times New Roman" w:eastAsia="Times New Roman" w:hAnsi="Times New Roman" w:cs="Times New Roman"/>
      <w:sz w:val="24"/>
      <w:szCs w:val="20"/>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rsid w:val="00EC49AF"/>
    <w:pPr>
      <w:spacing w:after="0" w:line="240" w:lineRule="auto"/>
    </w:pPr>
    <w:rPr>
      <w:rFonts w:ascii="Times New Roman" w:eastAsia="Times New Roman" w:hAnsi="Times New Roman" w:cs="Times New Roman"/>
      <w:sz w:val="24"/>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PropertiesTable">
    <w:name w:val="Properties Table"/>
    <w:basedOn w:val="TableNormal"/>
    <w:semiHidden/>
    <w:rsid w:val="00EC49AF"/>
    <w:pPr>
      <w:spacing w:after="120" w:line="264" w:lineRule="auto"/>
    </w:pPr>
    <w:rPr>
      <w:rFonts w:ascii="Times New Roman" w:eastAsia="Times New Roman" w:hAnsi="Times New Roman" w:cs="Times New Roman"/>
      <w:sz w:val="24"/>
      <w:szCs w:val="20"/>
      <w:lang w:eastAsia="en-IE"/>
    </w:rPr>
    <w:tblPr>
      <w:tblInd w:w="1984" w:type="dxa"/>
    </w:tblPr>
  </w:style>
  <w:style w:type="table" w:customStyle="1" w:styleId="TableHistory">
    <w:name w:val="Table History"/>
    <w:basedOn w:val="TableNormal"/>
    <w:semiHidden/>
    <w:rsid w:val="00EC49AF"/>
    <w:pPr>
      <w:spacing w:before="60" w:after="60" w:line="240" w:lineRule="auto"/>
    </w:pPr>
    <w:rPr>
      <w:rFonts w:ascii="Times New Roman" w:eastAsia="Times New Roman" w:hAnsi="Times New Roman" w:cs="Times New Roman"/>
      <w:sz w:val="24"/>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rsid w:val="00EC49AF"/>
    <w:pPr>
      <w:spacing w:after="0" w:line="240" w:lineRule="auto"/>
    </w:pPr>
    <w:rPr>
      <w:rFonts w:ascii="Times New Roman" w:eastAsia="Times New Roman" w:hAnsi="Times New Roman" w:cs="Times New Roman"/>
      <w:sz w:val="24"/>
      <w:szCs w:val="20"/>
      <w:lang w:eastAsia="en-IE"/>
    </w:rPr>
    <w:tblPr>
      <w:tblCellMar>
        <w:left w:w="0" w:type="dxa"/>
        <w:bottom w:w="340" w:type="dxa"/>
        <w:right w:w="0" w:type="dxa"/>
      </w:tblCellMar>
    </w:tblPr>
  </w:style>
  <w:style w:type="paragraph" w:styleId="ListNumber2">
    <w:name w:val="List Number 2"/>
    <w:basedOn w:val="Normal"/>
    <w:uiPriority w:val="99"/>
    <w:semiHidden/>
    <w:rsid w:val="00EC49AF"/>
    <w:pPr>
      <w:numPr>
        <w:numId w:val="61"/>
      </w:numPr>
      <w:spacing w:after="120" w:line="264" w:lineRule="auto"/>
      <w:ind w:left="0" w:firstLine="0"/>
      <w:contextualSpacing/>
    </w:pPr>
    <w:rPr>
      <w:rFonts w:eastAsia="Times New Roman"/>
      <w:sz w:val="22"/>
      <w:szCs w:val="20"/>
      <w:lang w:eastAsia="en-IE"/>
    </w:rPr>
  </w:style>
  <w:style w:type="paragraph" w:styleId="ListBullet2">
    <w:name w:val="List Bullet 2"/>
    <w:basedOn w:val="Normal"/>
    <w:uiPriority w:val="99"/>
    <w:semiHidden/>
    <w:rsid w:val="00EC49AF"/>
    <w:pPr>
      <w:numPr>
        <w:numId w:val="62"/>
      </w:numPr>
      <w:spacing w:after="120" w:line="264" w:lineRule="auto"/>
      <w:ind w:left="0" w:firstLine="0"/>
      <w:contextualSpacing/>
    </w:pPr>
    <w:rPr>
      <w:rFonts w:eastAsia="Times New Roman"/>
      <w:sz w:val="22"/>
      <w:szCs w:val="20"/>
      <w:lang w:eastAsia="en-IE"/>
    </w:rPr>
  </w:style>
  <w:style w:type="paragraph" w:styleId="ListBullet3">
    <w:name w:val="List Bullet 3"/>
    <w:basedOn w:val="Normal"/>
    <w:uiPriority w:val="99"/>
    <w:semiHidden/>
    <w:rsid w:val="00EC49AF"/>
    <w:pPr>
      <w:numPr>
        <w:numId w:val="63"/>
      </w:numPr>
      <w:spacing w:after="120" w:line="264" w:lineRule="auto"/>
      <w:ind w:left="0" w:firstLine="0"/>
      <w:contextualSpacing/>
    </w:pPr>
    <w:rPr>
      <w:rFonts w:eastAsia="Times New Roman"/>
      <w:sz w:val="22"/>
      <w:szCs w:val="20"/>
      <w:lang w:eastAsia="en-IE"/>
    </w:rPr>
  </w:style>
  <w:style w:type="table" w:styleId="TableGrid10">
    <w:name w:val="Table Grid 1"/>
    <w:basedOn w:val="TableNormal"/>
    <w:uiPriority w:val="99"/>
    <w:semiHidden/>
    <w:unhideWhenUsed/>
    <w:rsid w:val="00EC49AF"/>
    <w:pPr>
      <w:spacing w:after="120" w:line="264" w:lineRule="auto"/>
      <w:jc w:val="both"/>
    </w:pPr>
    <w:rPr>
      <w:rFonts w:ascii="Times New Roman" w:eastAsia="Times New Roman" w:hAnsi="Times New Roman" w:cs="Times New Roman"/>
      <w:sz w:val="24"/>
      <w:szCs w:val="20"/>
      <w:lang w:eastAsia="en-I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9672">
      <w:bodyDiv w:val="1"/>
      <w:marLeft w:val="0"/>
      <w:marRight w:val="0"/>
      <w:marTop w:val="0"/>
      <w:marBottom w:val="0"/>
      <w:divBdr>
        <w:top w:val="none" w:sz="0" w:space="0" w:color="auto"/>
        <w:left w:val="none" w:sz="0" w:space="0" w:color="auto"/>
        <w:bottom w:val="none" w:sz="0" w:space="0" w:color="auto"/>
        <w:right w:val="none" w:sz="0" w:space="0" w:color="auto"/>
      </w:divBdr>
      <w:divsChild>
        <w:div w:id="278881971">
          <w:marLeft w:val="0"/>
          <w:marRight w:val="0"/>
          <w:marTop w:val="0"/>
          <w:marBottom w:val="0"/>
          <w:divBdr>
            <w:top w:val="none" w:sz="0" w:space="0" w:color="auto"/>
            <w:left w:val="none" w:sz="0" w:space="0" w:color="auto"/>
            <w:bottom w:val="none" w:sz="0" w:space="0" w:color="auto"/>
            <w:right w:val="none" w:sz="0" w:space="0" w:color="auto"/>
          </w:divBdr>
          <w:divsChild>
            <w:div w:id="866214936">
              <w:marLeft w:val="-75"/>
              <w:marRight w:val="0"/>
              <w:marTop w:val="30"/>
              <w:marBottom w:val="30"/>
              <w:divBdr>
                <w:top w:val="none" w:sz="0" w:space="0" w:color="auto"/>
                <w:left w:val="none" w:sz="0" w:space="0" w:color="auto"/>
                <w:bottom w:val="none" w:sz="0" w:space="0" w:color="auto"/>
                <w:right w:val="none" w:sz="0" w:space="0" w:color="auto"/>
              </w:divBdr>
              <w:divsChild>
                <w:div w:id="59330156">
                  <w:marLeft w:val="0"/>
                  <w:marRight w:val="0"/>
                  <w:marTop w:val="0"/>
                  <w:marBottom w:val="0"/>
                  <w:divBdr>
                    <w:top w:val="none" w:sz="0" w:space="0" w:color="auto"/>
                    <w:left w:val="none" w:sz="0" w:space="0" w:color="auto"/>
                    <w:bottom w:val="none" w:sz="0" w:space="0" w:color="auto"/>
                    <w:right w:val="none" w:sz="0" w:space="0" w:color="auto"/>
                  </w:divBdr>
                  <w:divsChild>
                    <w:div w:id="23990733">
                      <w:marLeft w:val="0"/>
                      <w:marRight w:val="0"/>
                      <w:marTop w:val="0"/>
                      <w:marBottom w:val="0"/>
                      <w:divBdr>
                        <w:top w:val="none" w:sz="0" w:space="0" w:color="auto"/>
                        <w:left w:val="none" w:sz="0" w:space="0" w:color="auto"/>
                        <w:bottom w:val="none" w:sz="0" w:space="0" w:color="auto"/>
                        <w:right w:val="none" w:sz="0" w:space="0" w:color="auto"/>
                      </w:divBdr>
                    </w:div>
                  </w:divsChild>
                </w:div>
                <w:div w:id="194660598">
                  <w:marLeft w:val="0"/>
                  <w:marRight w:val="0"/>
                  <w:marTop w:val="0"/>
                  <w:marBottom w:val="0"/>
                  <w:divBdr>
                    <w:top w:val="none" w:sz="0" w:space="0" w:color="auto"/>
                    <w:left w:val="none" w:sz="0" w:space="0" w:color="auto"/>
                    <w:bottom w:val="none" w:sz="0" w:space="0" w:color="auto"/>
                    <w:right w:val="none" w:sz="0" w:space="0" w:color="auto"/>
                  </w:divBdr>
                  <w:divsChild>
                    <w:div w:id="258299367">
                      <w:marLeft w:val="0"/>
                      <w:marRight w:val="0"/>
                      <w:marTop w:val="0"/>
                      <w:marBottom w:val="0"/>
                      <w:divBdr>
                        <w:top w:val="none" w:sz="0" w:space="0" w:color="auto"/>
                        <w:left w:val="none" w:sz="0" w:space="0" w:color="auto"/>
                        <w:bottom w:val="none" w:sz="0" w:space="0" w:color="auto"/>
                        <w:right w:val="none" w:sz="0" w:space="0" w:color="auto"/>
                      </w:divBdr>
                    </w:div>
                    <w:div w:id="296763500">
                      <w:marLeft w:val="0"/>
                      <w:marRight w:val="0"/>
                      <w:marTop w:val="0"/>
                      <w:marBottom w:val="0"/>
                      <w:divBdr>
                        <w:top w:val="none" w:sz="0" w:space="0" w:color="auto"/>
                        <w:left w:val="none" w:sz="0" w:space="0" w:color="auto"/>
                        <w:bottom w:val="none" w:sz="0" w:space="0" w:color="auto"/>
                        <w:right w:val="none" w:sz="0" w:space="0" w:color="auto"/>
                      </w:divBdr>
                    </w:div>
                    <w:div w:id="311368013">
                      <w:marLeft w:val="0"/>
                      <w:marRight w:val="0"/>
                      <w:marTop w:val="0"/>
                      <w:marBottom w:val="0"/>
                      <w:divBdr>
                        <w:top w:val="none" w:sz="0" w:space="0" w:color="auto"/>
                        <w:left w:val="none" w:sz="0" w:space="0" w:color="auto"/>
                        <w:bottom w:val="none" w:sz="0" w:space="0" w:color="auto"/>
                        <w:right w:val="none" w:sz="0" w:space="0" w:color="auto"/>
                      </w:divBdr>
                    </w:div>
                    <w:div w:id="928808370">
                      <w:marLeft w:val="0"/>
                      <w:marRight w:val="0"/>
                      <w:marTop w:val="0"/>
                      <w:marBottom w:val="0"/>
                      <w:divBdr>
                        <w:top w:val="none" w:sz="0" w:space="0" w:color="auto"/>
                        <w:left w:val="none" w:sz="0" w:space="0" w:color="auto"/>
                        <w:bottom w:val="none" w:sz="0" w:space="0" w:color="auto"/>
                        <w:right w:val="none" w:sz="0" w:space="0" w:color="auto"/>
                      </w:divBdr>
                    </w:div>
                  </w:divsChild>
                </w:div>
                <w:div w:id="300042938">
                  <w:marLeft w:val="0"/>
                  <w:marRight w:val="0"/>
                  <w:marTop w:val="0"/>
                  <w:marBottom w:val="0"/>
                  <w:divBdr>
                    <w:top w:val="none" w:sz="0" w:space="0" w:color="auto"/>
                    <w:left w:val="none" w:sz="0" w:space="0" w:color="auto"/>
                    <w:bottom w:val="none" w:sz="0" w:space="0" w:color="auto"/>
                    <w:right w:val="none" w:sz="0" w:space="0" w:color="auto"/>
                  </w:divBdr>
                  <w:divsChild>
                    <w:div w:id="1850437477">
                      <w:marLeft w:val="0"/>
                      <w:marRight w:val="0"/>
                      <w:marTop w:val="0"/>
                      <w:marBottom w:val="0"/>
                      <w:divBdr>
                        <w:top w:val="none" w:sz="0" w:space="0" w:color="auto"/>
                        <w:left w:val="none" w:sz="0" w:space="0" w:color="auto"/>
                        <w:bottom w:val="none" w:sz="0" w:space="0" w:color="auto"/>
                        <w:right w:val="none" w:sz="0" w:space="0" w:color="auto"/>
                      </w:divBdr>
                    </w:div>
                    <w:div w:id="2010667476">
                      <w:marLeft w:val="0"/>
                      <w:marRight w:val="0"/>
                      <w:marTop w:val="0"/>
                      <w:marBottom w:val="0"/>
                      <w:divBdr>
                        <w:top w:val="none" w:sz="0" w:space="0" w:color="auto"/>
                        <w:left w:val="none" w:sz="0" w:space="0" w:color="auto"/>
                        <w:bottom w:val="none" w:sz="0" w:space="0" w:color="auto"/>
                        <w:right w:val="none" w:sz="0" w:space="0" w:color="auto"/>
                      </w:divBdr>
                    </w:div>
                    <w:div w:id="2032949203">
                      <w:marLeft w:val="0"/>
                      <w:marRight w:val="0"/>
                      <w:marTop w:val="0"/>
                      <w:marBottom w:val="0"/>
                      <w:divBdr>
                        <w:top w:val="none" w:sz="0" w:space="0" w:color="auto"/>
                        <w:left w:val="none" w:sz="0" w:space="0" w:color="auto"/>
                        <w:bottom w:val="none" w:sz="0" w:space="0" w:color="auto"/>
                        <w:right w:val="none" w:sz="0" w:space="0" w:color="auto"/>
                      </w:divBdr>
                    </w:div>
                  </w:divsChild>
                </w:div>
                <w:div w:id="300421650">
                  <w:marLeft w:val="0"/>
                  <w:marRight w:val="0"/>
                  <w:marTop w:val="0"/>
                  <w:marBottom w:val="0"/>
                  <w:divBdr>
                    <w:top w:val="none" w:sz="0" w:space="0" w:color="auto"/>
                    <w:left w:val="none" w:sz="0" w:space="0" w:color="auto"/>
                    <w:bottom w:val="none" w:sz="0" w:space="0" w:color="auto"/>
                    <w:right w:val="none" w:sz="0" w:space="0" w:color="auto"/>
                  </w:divBdr>
                  <w:divsChild>
                    <w:div w:id="17246980">
                      <w:marLeft w:val="0"/>
                      <w:marRight w:val="0"/>
                      <w:marTop w:val="0"/>
                      <w:marBottom w:val="0"/>
                      <w:divBdr>
                        <w:top w:val="none" w:sz="0" w:space="0" w:color="auto"/>
                        <w:left w:val="none" w:sz="0" w:space="0" w:color="auto"/>
                        <w:bottom w:val="none" w:sz="0" w:space="0" w:color="auto"/>
                        <w:right w:val="none" w:sz="0" w:space="0" w:color="auto"/>
                      </w:divBdr>
                    </w:div>
                    <w:div w:id="126632026">
                      <w:marLeft w:val="0"/>
                      <w:marRight w:val="0"/>
                      <w:marTop w:val="0"/>
                      <w:marBottom w:val="0"/>
                      <w:divBdr>
                        <w:top w:val="none" w:sz="0" w:space="0" w:color="auto"/>
                        <w:left w:val="none" w:sz="0" w:space="0" w:color="auto"/>
                        <w:bottom w:val="none" w:sz="0" w:space="0" w:color="auto"/>
                        <w:right w:val="none" w:sz="0" w:space="0" w:color="auto"/>
                      </w:divBdr>
                    </w:div>
                    <w:div w:id="176848807">
                      <w:marLeft w:val="0"/>
                      <w:marRight w:val="0"/>
                      <w:marTop w:val="0"/>
                      <w:marBottom w:val="0"/>
                      <w:divBdr>
                        <w:top w:val="none" w:sz="0" w:space="0" w:color="auto"/>
                        <w:left w:val="none" w:sz="0" w:space="0" w:color="auto"/>
                        <w:bottom w:val="none" w:sz="0" w:space="0" w:color="auto"/>
                        <w:right w:val="none" w:sz="0" w:space="0" w:color="auto"/>
                      </w:divBdr>
                    </w:div>
                    <w:div w:id="304049412">
                      <w:marLeft w:val="0"/>
                      <w:marRight w:val="0"/>
                      <w:marTop w:val="0"/>
                      <w:marBottom w:val="0"/>
                      <w:divBdr>
                        <w:top w:val="none" w:sz="0" w:space="0" w:color="auto"/>
                        <w:left w:val="none" w:sz="0" w:space="0" w:color="auto"/>
                        <w:bottom w:val="none" w:sz="0" w:space="0" w:color="auto"/>
                        <w:right w:val="none" w:sz="0" w:space="0" w:color="auto"/>
                      </w:divBdr>
                    </w:div>
                    <w:div w:id="1064454573">
                      <w:marLeft w:val="0"/>
                      <w:marRight w:val="0"/>
                      <w:marTop w:val="0"/>
                      <w:marBottom w:val="0"/>
                      <w:divBdr>
                        <w:top w:val="none" w:sz="0" w:space="0" w:color="auto"/>
                        <w:left w:val="none" w:sz="0" w:space="0" w:color="auto"/>
                        <w:bottom w:val="none" w:sz="0" w:space="0" w:color="auto"/>
                        <w:right w:val="none" w:sz="0" w:space="0" w:color="auto"/>
                      </w:divBdr>
                    </w:div>
                    <w:div w:id="1730496595">
                      <w:marLeft w:val="0"/>
                      <w:marRight w:val="0"/>
                      <w:marTop w:val="0"/>
                      <w:marBottom w:val="0"/>
                      <w:divBdr>
                        <w:top w:val="none" w:sz="0" w:space="0" w:color="auto"/>
                        <w:left w:val="none" w:sz="0" w:space="0" w:color="auto"/>
                        <w:bottom w:val="none" w:sz="0" w:space="0" w:color="auto"/>
                        <w:right w:val="none" w:sz="0" w:space="0" w:color="auto"/>
                      </w:divBdr>
                    </w:div>
                  </w:divsChild>
                </w:div>
                <w:div w:id="421145543">
                  <w:marLeft w:val="0"/>
                  <w:marRight w:val="0"/>
                  <w:marTop w:val="0"/>
                  <w:marBottom w:val="0"/>
                  <w:divBdr>
                    <w:top w:val="none" w:sz="0" w:space="0" w:color="auto"/>
                    <w:left w:val="none" w:sz="0" w:space="0" w:color="auto"/>
                    <w:bottom w:val="none" w:sz="0" w:space="0" w:color="auto"/>
                    <w:right w:val="none" w:sz="0" w:space="0" w:color="auto"/>
                  </w:divBdr>
                  <w:divsChild>
                    <w:div w:id="1549804977">
                      <w:marLeft w:val="0"/>
                      <w:marRight w:val="0"/>
                      <w:marTop w:val="0"/>
                      <w:marBottom w:val="0"/>
                      <w:divBdr>
                        <w:top w:val="none" w:sz="0" w:space="0" w:color="auto"/>
                        <w:left w:val="none" w:sz="0" w:space="0" w:color="auto"/>
                        <w:bottom w:val="none" w:sz="0" w:space="0" w:color="auto"/>
                        <w:right w:val="none" w:sz="0" w:space="0" w:color="auto"/>
                      </w:divBdr>
                    </w:div>
                  </w:divsChild>
                </w:div>
                <w:div w:id="457843531">
                  <w:marLeft w:val="0"/>
                  <w:marRight w:val="0"/>
                  <w:marTop w:val="0"/>
                  <w:marBottom w:val="0"/>
                  <w:divBdr>
                    <w:top w:val="none" w:sz="0" w:space="0" w:color="auto"/>
                    <w:left w:val="none" w:sz="0" w:space="0" w:color="auto"/>
                    <w:bottom w:val="none" w:sz="0" w:space="0" w:color="auto"/>
                    <w:right w:val="none" w:sz="0" w:space="0" w:color="auto"/>
                  </w:divBdr>
                  <w:divsChild>
                    <w:div w:id="1291475648">
                      <w:marLeft w:val="0"/>
                      <w:marRight w:val="0"/>
                      <w:marTop w:val="0"/>
                      <w:marBottom w:val="0"/>
                      <w:divBdr>
                        <w:top w:val="none" w:sz="0" w:space="0" w:color="auto"/>
                        <w:left w:val="none" w:sz="0" w:space="0" w:color="auto"/>
                        <w:bottom w:val="none" w:sz="0" w:space="0" w:color="auto"/>
                        <w:right w:val="none" w:sz="0" w:space="0" w:color="auto"/>
                      </w:divBdr>
                    </w:div>
                  </w:divsChild>
                </w:div>
                <w:div w:id="466582208">
                  <w:marLeft w:val="0"/>
                  <w:marRight w:val="0"/>
                  <w:marTop w:val="0"/>
                  <w:marBottom w:val="0"/>
                  <w:divBdr>
                    <w:top w:val="none" w:sz="0" w:space="0" w:color="auto"/>
                    <w:left w:val="none" w:sz="0" w:space="0" w:color="auto"/>
                    <w:bottom w:val="none" w:sz="0" w:space="0" w:color="auto"/>
                    <w:right w:val="none" w:sz="0" w:space="0" w:color="auto"/>
                  </w:divBdr>
                  <w:divsChild>
                    <w:div w:id="295647213">
                      <w:marLeft w:val="0"/>
                      <w:marRight w:val="0"/>
                      <w:marTop w:val="0"/>
                      <w:marBottom w:val="0"/>
                      <w:divBdr>
                        <w:top w:val="none" w:sz="0" w:space="0" w:color="auto"/>
                        <w:left w:val="none" w:sz="0" w:space="0" w:color="auto"/>
                        <w:bottom w:val="none" w:sz="0" w:space="0" w:color="auto"/>
                        <w:right w:val="none" w:sz="0" w:space="0" w:color="auto"/>
                      </w:divBdr>
                    </w:div>
                  </w:divsChild>
                </w:div>
                <w:div w:id="468398115">
                  <w:marLeft w:val="0"/>
                  <w:marRight w:val="0"/>
                  <w:marTop w:val="0"/>
                  <w:marBottom w:val="0"/>
                  <w:divBdr>
                    <w:top w:val="none" w:sz="0" w:space="0" w:color="auto"/>
                    <w:left w:val="none" w:sz="0" w:space="0" w:color="auto"/>
                    <w:bottom w:val="none" w:sz="0" w:space="0" w:color="auto"/>
                    <w:right w:val="none" w:sz="0" w:space="0" w:color="auto"/>
                  </w:divBdr>
                  <w:divsChild>
                    <w:div w:id="381174672">
                      <w:marLeft w:val="0"/>
                      <w:marRight w:val="0"/>
                      <w:marTop w:val="0"/>
                      <w:marBottom w:val="0"/>
                      <w:divBdr>
                        <w:top w:val="none" w:sz="0" w:space="0" w:color="auto"/>
                        <w:left w:val="none" w:sz="0" w:space="0" w:color="auto"/>
                        <w:bottom w:val="none" w:sz="0" w:space="0" w:color="auto"/>
                        <w:right w:val="none" w:sz="0" w:space="0" w:color="auto"/>
                      </w:divBdr>
                    </w:div>
                    <w:div w:id="576016135">
                      <w:marLeft w:val="0"/>
                      <w:marRight w:val="0"/>
                      <w:marTop w:val="0"/>
                      <w:marBottom w:val="0"/>
                      <w:divBdr>
                        <w:top w:val="none" w:sz="0" w:space="0" w:color="auto"/>
                        <w:left w:val="none" w:sz="0" w:space="0" w:color="auto"/>
                        <w:bottom w:val="none" w:sz="0" w:space="0" w:color="auto"/>
                        <w:right w:val="none" w:sz="0" w:space="0" w:color="auto"/>
                      </w:divBdr>
                    </w:div>
                    <w:div w:id="1676299016">
                      <w:marLeft w:val="0"/>
                      <w:marRight w:val="0"/>
                      <w:marTop w:val="0"/>
                      <w:marBottom w:val="0"/>
                      <w:divBdr>
                        <w:top w:val="none" w:sz="0" w:space="0" w:color="auto"/>
                        <w:left w:val="none" w:sz="0" w:space="0" w:color="auto"/>
                        <w:bottom w:val="none" w:sz="0" w:space="0" w:color="auto"/>
                        <w:right w:val="none" w:sz="0" w:space="0" w:color="auto"/>
                      </w:divBdr>
                    </w:div>
                    <w:div w:id="1827890470">
                      <w:marLeft w:val="0"/>
                      <w:marRight w:val="0"/>
                      <w:marTop w:val="0"/>
                      <w:marBottom w:val="0"/>
                      <w:divBdr>
                        <w:top w:val="none" w:sz="0" w:space="0" w:color="auto"/>
                        <w:left w:val="none" w:sz="0" w:space="0" w:color="auto"/>
                        <w:bottom w:val="none" w:sz="0" w:space="0" w:color="auto"/>
                        <w:right w:val="none" w:sz="0" w:space="0" w:color="auto"/>
                      </w:divBdr>
                    </w:div>
                  </w:divsChild>
                </w:div>
                <w:div w:id="1435437892">
                  <w:marLeft w:val="0"/>
                  <w:marRight w:val="0"/>
                  <w:marTop w:val="0"/>
                  <w:marBottom w:val="0"/>
                  <w:divBdr>
                    <w:top w:val="none" w:sz="0" w:space="0" w:color="auto"/>
                    <w:left w:val="none" w:sz="0" w:space="0" w:color="auto"/>
                    <w:bottom w:val="none" w:sz="0" w:space="0" w:color="auto"/>
                    <w:right w:val="none" w:sz="0" w:space="0" w:color="auto"/>
                  </w:divBdr>
                  <w:divsChild>
                    <w:div w:id="1925529143">
                      <w:marLeft w:val="0"/>
                      <w:marRight w:val="0"/>
                      <w:marTop w:val="0"/>
                      <w:marBottom w:val="0"/>
                      <w:divBdr>
                        <w:top w:val="none" w:sz="0" w:space="0" w:color="auto"/>
                        <w:left w:val="none" w:sz="0" w:space="0" w:color="auto"/>
                        <w:bottom w:val="none" w:sz="0" w:space="0" w:color="auto"/>
                        <w:right w:val="none" w:sz="0" w:space="0" w:color="auto"/>
                      </w:divBdr>
                    </w:div>
                  </w:divsChild>
                </w:div>
                <w:div w:id="1470438415">
                  <w:marLeft w:val="0"/>
                  <w:marRight w:val="0"/>
                  <w:marTop w:val="0"/>
                  <w:marBottom w:val="0"/>
                  <w:divBdr>
                    <w:top w:val="none" w:sz="0" w:space="0" w:color="auto"/>
                    <w:left w:val="none" w:sz="0" w:space="0" w:color="auto"/>
                    <w:bottom w:val="none" w:sz="0" w:space="0" w:color="auto"/>
                    <w:right w:val="none" w:sz="0" w:space="0" w:color="auto"/>
                  </w:divBdr>
                  <w:divsChild>
                    <w:div w:id="1270576972">
                      <w:marLeft w:val="0"/>
                      <w:marRight w:val="0"/>
                      <w:marTop w:val="0"/>
                      <w:marBottom w:val="0"/>
                      <w:divBdr>
                        <w:top w:val="none" w:sz="0" w:space="0" w:color="auto"/>
                        <w:left w:val="none" w:sz="0" w:space="0" w:color="auto"/>
                        <w:bottom w:val="none" w:sz="0" w:space="0" w:color="auto"/>
                        <w:right w:val="none" w:sz="0" w:space="0" w:color="auto"/>
                      </w:divBdr>
                    </w:div>
                  </w:divsChild>
                </w:div>
                <w:div w:id="1547138425">
                  <w:marLeft w:val="0"/>
                  <w:marRight w:val="0"/>
                  <w:marTop w:val="0"/>
                  <w:marBottom w:val="0"/>
                  <w:divBdr>
                    <w:top w:val="none" w:sz="0" w:space="0" w:color="auto"/>
                    <w:left w:val="none" w:sz="0" w:space="0" w:color="auto"/>
                    <w:bottom w:val="none" w:sz="0" w:space="0" w:color="auto"/>
                    <w:right w:val="none" w:sz="0" w:space="0" w:color="auto"/>
                  </w:divBdr>
                  <w:divsChild>
                    <w:div w:id="353729944">
                      <w:marLeft w:val="0"/>
                      <w:marRight w:val="0"/>
                      <w:marTop w:val="0"/>
                      <w:marBottom w:val="0"/>
                      <w:divBdr>
                        <w:top w:val="none" w:sz="0" w:space="0" w:color="auto"/>
                        <w:left w:val="none" w:sz="0" w:space="0" w:color="auto"/>
                        <w:bottom w:val="none" w:sz="0" w:space="0" w:color="auto"/>
                        <w:right w:val="none" w:sz="0" w:space="0" w:color="auto"/>
                      </w:divBdr>
                    </w:div>
                    <w:div w:id="1557740498">
                      <w:marLeft w:val="0"/>
                      <w:marRight w:val="0"/>
                      <w:marTop w:val="0"/>
                      <w:marBottom w:val="0"/>
                      <w:divBdr>
                        <w:top w:val="none" w:sz="0" w:space="0" w:color="auto"/>
                        <w:left w:val="none" w:sz="0" w:space="0" w:color="auto"/>
                        <w:bottom w:val="none" w:sz="0" w:space="0" w:color="auto"/>
                        <w:right w:val="none" w:sz="0" w:space="0" w:color="auto"/>
                      </w:divBdr>
                    </w:div>
                  </w:divsChild>
                </w:div>
                <w:div w:id="1947545026">
                  <w:marLeft w:val="0"/>
                  <w:marRight w:val="0"/>
                  <w:marTop w:val="0"/>
                  <w:marBottom w:val="0"/>
                  <w:divBdr>
                    <w:top w:val="none" w:sz="0" w:space="0" w:color="auto"/>
                    <w:left w:val="none" w:sz="0" w:space="0" w:color="auto"/>
                    <w:bottom w:val="none" w:sz="0" w:space="0" w:color="auto"/>
                    <w:right w:val="none" w:sz="0" w:space="0" w:color="auto"/>
                  </w:divBdr>
                  <w:divsChild>
                    <w:div w:id="13118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53330">
          <w:marLeft w:val="0"/>
          <w:marRight w:val="0"/>
          <w:marTop w:val="0"/>
          <w:marBottom w:val="0"/>
          <w:divBdr>
            <w:top w:val="none" w:sz="0" w:space="0" w:color="auto"/>
            <w:left w:val="none" w:sz="0" w:space="0" w:color="auto"/>
            <w:bottom w:val="none" w:sz="0" w:space="0" w:color="auto"/>
            <w:right w:val="none" w:sz="0" w:space="0" w:color="auto"/>
          </w:divBdr>
          <w:divsChild>
            <w:div w:id="2138797268">
              <w:marLeft w:val="-75"/>
              <w:marRight w:val="0"/>
              <w:marTop w:val="30"/>
              <w:marBottom w:val="30"/>
              <w:divBdr>
                <w:top w:val="none" w:sz="0" w:space="0" w:color="auto"/>
                <w:left w:val="none" w:sz="0" w:space="0" w:color="auto"/>
                <w:bottom w:val="none" w:sz="0" w:space="0" w:color="auto"/>
                <w:right w:val="none" w:sz="0" w:space="0" w:color="auto"/>
              </w:divBdr>
              <w:divsChild>
                <w:div w:id="1126582">
                  <w:marLeft w:val="0"/>
                  <w:marRight w:val="0"/>
                  <w:marTop w:val="0"/>
                  <w:marBottom w:val="0"/>
                  <w:divBdr>
                    <w:top w:val="none" w:sz="0" w:space="0" w:color="auto"/>
                    <w:left w:val="none" w:sz="0" w:space="0" w:color="auto"/>
                    <w:bottom w:val="none" w:sz="0" w:space="0" w:color="auto"/>
                    <w:right w:val="none" w:sz="0" w:space="0" w:color="auto"/>
                  </w:divBdr>
                  <w:divsChild>
                    <w:div w:id="659771514">
                      <w:marLeft w:val="0"/>
                      <w:marRight w:val="0"/>
                      <w:marTop w:val="0"/>
                      <w:marBottom w:val="0"/>
                      <w:divBdr>
                        <w:top w:val="none" w:sz="0" w:space="0" w:color="auto"/>
                        <w:left w:val="none" w:sz="0" w:space="0" w:color="auto"/>
                        <w:bottom w:val="none" w:sz="0" w:space="0" w:color="auto"/>
                        <w:right w:val="none" w:sz="0" w:space="0" w:color="auto"/>
                      </w:divBdr>
                    </w:div>
                  </w:divsChild>
                </w:div>
                <w:div w:id="1215966711">
                  <w:marLeft w:val="0"/>
                  <w:marRight w:val="0"/>
                  <w:marTop w:val="0"/>
                  <w:marBottom w:val="0"/>
                  <w:divBdr>
                    <w:top w:val="none" w:sz="0" w:space="0" w:color="auto"/>
                    <w:left w:val="none" w:sz="0" w:space="0" w:color="auto"/>
                    <w:bottom w:val="none" w:sz="0" w:space="0" w:color="auto"/>
                    <w:right w:val="none" w:sz="0" w:space="0" w:color="auto"/>
                  </w:divBdr>
                  <w:divsChild>
                    <w:div w:id="18876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6078">
          <w:marLeft w:val="0"/>
          <w:marRight w:val="0"/>
          <w:marTop w:val="0"/>
          <w:marBottom w:val="0"/>
          <w:divBdr>
            <w:top w:val="none" w:sz="0" w:space="0" w:color="auto"/>
            <w:left w:val="none" w:sz="0" w:space="0" w:color="auto"/>
            <w:bottom w:val="none" w:sz="0" w:space="0" w:color="auto"/>
            <w:right w:val="none" w:sz="0" w:space="0" w:color="auto"/>
          </w:divBdr>
          <w:divsChild>
            <w:div w:id="126092139">
              <w:marLeft w:val="0"/>
              <w:marRight w:val="0"/>
              <w:marTop w:val="0"/>
              <w:marBottom w:val="0"/>
              <w:divBdr>
                <w:top w:val="none" w:sz="0" w:space="0" w:color="auto"/>
                <w:left w:val="none" w:sz="0" w:space="0" w:color="auto"/>
                <w:bottom w:val="none" w:sz="0" w:space="0" w:color="auto"/>
                <w:right w:val="none" w:sz="0" w:space="0" w:color="auto"/>
              </w:divBdr>
            </w:div>
            <w:div w:id="1313489708">
              <w:marLeft w:val="0"/>
              <w:marRight w:val="0"/>
              <w:marTop w:val="0"/>
              <w:marBottom w:val="0"/>
              <w:divBdr>
                <w:top w:val="none" w:sz="0" w:space="0" w:color="auto"/>
                <w:left w:val="none" w:sz="0" w:space="0" w:color="auto"/>
                <w:bottom w:val="none" w:sz="0" w:space="0" w:color="auto"/>
                <w:right w:val="none" w:sz="0" w:space="0" w:color="auto"/>
              </w:divBdr>
            </w:div>
            <w:div w:id="1527716189">
              <w:marLeft w:val="0"/>
              <w:marRight w:val="0"/>
              <w:marTop w:val="0"/>
              <w:marBottom w:val="0"/>
              <w:divBdr>
                <w:top w:val="none" w:sz="0" w:space="0" w:color="auto"/>
                <w:left w:val="none" w:sz="0" w:space="0" w:color="auto"/>
                <w:bottom w:val="none" w:sz="0" w:space="0" w:color="auto"/>
                <w:right w:val="none" w:sz="0" w:space="0" w:color="auto"/>
              </w:divBdr>
            </w:div>
            <w:div w:id="1605187796">
              <w:marLeft w:val="0"/>
              <w:marRight w:val="0"/>
              <w:marTop w:val="0"/>
              <w:marBottom w:val="0"/>
              <w:divBdr>
                <w:top w:val="none" w:sz="0" w:space="0" w:color="auto"/>
                <w:left w:val="none" w:sz="0" w:space="0" w:color="auto"/>
                <w:bottom w:val="none" w:sz="0" w:space="0" w:color="auto"/>
                <w:right w:val="none" w:sz="0" w:space="0" w:color="auto"/>
              </w:divBdr>
            </w:div>
            <w:div w:id="1709069180">
              <w:marLeft w:val="0"/>
              <w:marRight w:val="0"/>
              <w:marTop w:val="0"/>
              <w:marBottom w:val="0"/>
              <w:divBdr>
                <w:top w:val="none" w:sz="0" w:space="0" w:color="auto"/>
                <w:left w:val="none" w:sz="0" w:space="0" w:color="auto"/>
                <w:bottom w:val="none" w:sz="0" w:space="0" w:color="auto"/>
                <w:right w:val="none" w:sz="0" w:space="0" w:color="auto"/>
              </w:divBdr>
            </w:div>
            <w:div w:id="1709716977">
              <w:marLeft w:val="0"/>
              <w:marRight w:val="0"/>
              <w:marTop w:val="0"/>
              <w:marBottom w:val="0"/>
              <w:divBdr>
                <w:top w:val="none" w:sz="0" w:space="0" w:color="auto"/>
                <w:left w:val="none" w:sz="0" w:space="0" w:color="auto"/>
                <w:bottom w:val="none" w:sz="0" w:space="0" w:color="auto"/>
                <w:right w:val="none" w:sz="0" w:space="0" w:color="auto"/>
              </w:divBdr>
            </w:div>
            <w:div w:id="1943105851">
              <w:marLeft w:val="0"/>
              <w:marRight w:val="0"/>
              <w:marTop w:val="0"/>
              <w:marBottom w:val="0"/>
              <w:divBdr>
                <w:top w:val="none" w:sz="0" w:space="0" w:color="auto"/>
                <w:left w:val="none" w:sz="0" w:space="0" w:color="auto"/>
                <w:bottom w:val="none" w:sz="0" w:space="0" w:color="auto"/>
                <w:right w:val="none" w:sz="0" w:space="0" w:color="auto"/>
              </w:divBdr>
            </w:div>
          </w:divsChild>
        </w:div>
        <w:div w:id="1564637453">
          <w:marLeft w:val="0"/>
          <w:marRight w:val="0"/>
          <w:marTop w:val="0"/>
          <w:marBottom w:val="0"/>
          <w:divBdr>
            <w:top w:val="none" w:sz="0" w:space="0" w:color="auto"/>
            <w:left w:val="none" w:sz="0" w:space="0" w:color="auto"/>
            <w:bottom w:val="none" w:sz="0" w:space="0" w:color="auto"/>
            <w:right w:val="none" w:sz="0" w:space="0" w:color="auto"/>
          </w:divBdr>
        </w:div>
        <w:div w:id="2057775603">
          <w:marLeft w:val="0"/>
          <w:marRight w:val="0"/>
          <w:marTop w:val="0"/>
          <w:marBottom w:val="0"/>
          <w:divBdr>
            <w:top w:val="none" w:sz="0" w:space="0" w:color="auto"/>
            <w:left w:val="none" w:sz="0" w:space="0" w:color="auto"/>
            <w:bottom w:val="none" w:sz="0" w:space="0" w:color="auto"/>
            <w:right w:val="none" w:sz="0" w:space="0" w:color="auto"/>
          </w:divBdr>
        </w:div>
      </w:divsChild>
    </w:div>
    <w:div w:id="32000022">
      <w:bodyDiv w:val="1"/>
      <w:marLeft w:val="0"/>
      <w:marRight w:val="0"/>
      <w:marTop w:val="0"/>
      <w:marBottom w:val="0"/>
      <w:divBdr>
        <w:top w:val="none" w:sz="0" w:space="0" w:color="auto"/>
        <w:left w:val="none" w:sz="0" w:space="0" w:color="auto"/>
        <w:bottom w:val="none" w:sz="0" w:space="0" w:color="auto"/>
        <w:right w:val="none" w:sz="0" w:space="0" w:color="auto"/>
      </w:divBdr>
      <w:divsChild>
        <w:div w:id="150222858">
          <w:marLeft w:val="0"/>
          <w:marRight w:val="0"/>
          <w:marTop w:val="0"/>
          <w:marBottom w:val="0"/>
          <w:divBdr>
            <w:top w:val="none" w:sz="0" w:space="0" w:color="auto"/>
            <w:left w:val="none" w:sz="0" w:space="0" w:color="auto"/>
            <w:bottom w:val="none" w:sz="0" w:space="0" w:color="auto"/>
            <w:right w:val="none" w:sz="0" w:space="0" w:color="auto"/>
          </w:divBdr>
          <w:divsChild>
            <w:div w:id="2058779443">
              <w:marLeft w:val="-75"/>
              <w:marRight w:val="0"/>
              <w:marTop w:val="30"/>
              <w:marBottom w:val="30"/>
              <w:divBdr>
                <w:top w:val="none" w:sz="0" w:space="0" w:color="auto"/>
                <w:left w:val="none" w:sz="0" w:space="0" w:color="auto"/>
                <w:bottom w:val="none" w:sz="0" w:space="0" w:color="auto"/>
                <w:right w:val="none" w:sz="0" w:space="0" w:color="auto"/>
              </w:divBdr>
              <w:divsChild>
                <w:div w:id="148180534">
                  <w:marLeft w:val="0"/>
                  <w:marRight w:val="0"/>
                  <w:marTop w:val="0"/>
                  <w:marBottom w:val="0"/>
                  <w:divBdr>
                    <w:top w:val="none" w:sz="0" w:space="0" w:color="auto"/>
                    <w:left w:val="none" w:sz="0" w:space="0" w:color="auto"/>
                    <w:bottom w:val="none" w:sz="0" w:space="0" w:color="auto"/>
                    <w:right w:val="none" w:sz="0" w:space="0" w:color="auto"/>
                  </w:divBdr>
                  <w:divsChild>
                    <w:div w:id="5596995">
                      <w:marLeft w:val="0"/>
                      <w:marRight w:val="0"/>
                      <w:marTop w:val="0"/>
                      <w:marBottom w:val="0"/>
                      <w:divBdr>
                        <w:top w:val="none" w:sz="0" w:space="0" w:color="auto"/>
                        <w:left w:val="none" w:sz="0" w:space="0" w:color="auto"/>
                        <w:bottom w:val="none" w:sz="0" w:space="0" w:color="auto"/>
                        <w:right w:val="none" w:sz="0" w:space="0" w:color="auto"/>
                      </w:divBdr>
                    </w:div>
                    <w:div w:id="757214019">
                      <w:marLeft w:val="0"/>
                      <w:marRight w:val="0"/>
                      <w:marTop w:val="0"/>
                      <w:marBottom w:val="0"/>
                      <w:divBdr>
                        <w:top w:val="none" w:sz="0" w:space="0" w:color="auto"/>
                        <w:left w:val="none" w:sz="0" w:space="0" w:color="auto"/>
                        <w:bottom w:val="none" w:sz="0" w:space="0" w:color="auto"/>
                        <w:right w:val="none" w:sz="0" w:space="0" w:color="auto"/>
                      </w:divBdr>
                    </w:div>
                    <w:div w:id="1786653899">
                      <w:marLeft w:val="0"/>
                      <w:marRight w:val="0"/>
                      <w:marTop w:val="0"/>
                      <w:marBottom w:val="0"/>
                      <w:divBdr>
                        <w:top w:val="none" w:sz="0" w:space="0" w:color="auto"/>
                        <w:left w:val="none" w:sz="0" w:space="0" w:color="auto"/>
                        <w:bottom w:val="none" w:sz="0" w:space="0" w:color="auto"/>
                        <w:right w:val="none" w:sz="0" w:space="0" w:color="auto"/>
                      </w:divBdr>
                    </w:div>
                    <w:div w:id="1928686575">
                      <w:marLeft w:val="0"/>
                      <w:marRight w:val="0"/>
                      <w:marTop w:val="0"/>
                      <w:marBottom w:val="0"/>
                      <w:divBdr>
                        <w:top w:val="none" w:sz="0" w:space="0" w:color="auto"/>
                        <w:left w:val="none" w:sz="0" w:space="0" w:color="auto"/>
                        <w:bottom w:val="none" w:sz="0" w:space="0" w:color="auto"/>
                        <w:right w:val="none" w:sz="0" w:space="0" w:color="auto"/>
                      </w:divBdr>
                    </w:div>
                  </w:divsChild>
                </w:div>
                <w:div w:id="171070223">
                  <w:marLeft w:val="0"/>
                  <w:marRight w:val="0"/>
                  <w:marTop w:val="0"/>
                  <w:marBottom w:val="0"/>
                  <w:divBdr>
                    <w:top w:val="none" w:sz="0" w:space="0" w:color="auto"/>
                    <w:left w:val="none" w:sz="0" w:space="0" w:color="auto"/>
                    <w:bottom w:val="none" w:sz="0" w:space="0" w:color="auto"/>
                    <w:right w:val="none" w:sz="0" w:space="0" w:color="auto"/>
                  </w:divBdr>
                  <w:divsChild>
                    <w:div w:id="69739419">
                      <w:marLeft w:val="0"/>
                      <w:marRight w:val="0"/>
                      <w:marTop w:val="0"/>
                      <w:marBottom w:val="0"/>
                      <w:divBdr>
                        <w:top w:val="none" w:sz="0" w:space="0" w:color="auto"/>
                        <w:left w:val="none" w:sz="0" w:space="0" w:color="auto"/>
                        <w:bottom w:val="none" w:sz="0" w:space="0" w:color="auto"/>
                        <w:right w:val="none" w:sz="0" w:space="0" w:color="auto"/>
                      </w:divBdr>
                    </w:div>
                    <w:div w:id="144205304">
                      <w:marLeft w:val="0"/>
                      <w:marRight w:val="0"/>
                      <w:marTop w:val="0"/>
                      <w:marBottom w:val="0"/>
                      <w:divBdr>
                        <w:top w:val="none" w:sz="0" w:space="0" w:color="auto"/>
                        <w:left w:val="none" w:sz="0" w:space="0" w:color="auto"/>
                        <w:bottom w:val="none" w:sz="0" w:space="0" w:color="auto"/>
                        <w:right w:val="none" w:sz="0" w:space="0" w:color="auto"/>
                      </w:divBdr>
                    </w:div>
                    <w:div w:id="803621443">
                      <w:marLeft w:val="0"/>
                      <w:marRight w:val="0"/>
                      <w:marTop w:val="0"/>
                      <w:marBottom w:val="0"/>
                      <w:divBdr>
                        <w:top w:val="none" w:sz="0" w:space="0" w:color="auto"/>
                        <w:left w:val="none" w:sz="0" w:space="0" w:color="auto"/>
                        <w:bottom w:val="none" w:sz="0" w:space="0" w:color="auto"/>
                        <w:right w:val="none" w:sz="0" w:space="0" w:color="auto"/>
                      </w:divBdr>
                    </w:div>
                    <w:div w:id="849369444">
                      <w:marLeft w:val="0"/>
                      <w:marRight w:val="0"/>
                      <w:marTop w:val="0"/>
                      <w:marBottom w:val="0"/>
                      <w:divBdr>
                        <w:top w:val="none" w:sz="0" w:space="0" w:color="auto"/>
                        <w:left w:val="none" w:sz="0" w:space="0" w:color="auto"/>
                        <w:bottom w:val="none" w:sz="0" w:space="0" w:color="auto"/>
                        <w:right w:val="none" w:sz="0" w:space="0" w:color="auto"/>
                      </w:divBdr>
                    </w:div>
                    <w:div w:id="1089426359">
                      <w:marLeft w:val="0"/>
                      <w:marRight w:val="0"/>
                      <w:marTop w:val="0"/>
                      <w:marBottom w:val="0"/>
                      <w:divBdr>
                        <w:top w:val="none" w:sz="0" w:space="0" w:color="auto"/>
                        <w:left w:val="none" w:sz="0" w:space="0" w:color="auto"/>
                        <w:bottom w:val="none" w:sz="0" w:space="0" w:color="auto"/>
                        <w:right w:val="none" w:sz="0" w:space="0" w:color="auto"/>
                      </w:divBdr>
                    </w:div>
                    <w:div w:id="1099184010">
                      <w:marLeft w:val="0"/>
                      <w:marRight w:val="0"/>
                      <w:marTop w:val="0"/>
                      <w:marBottom w:val="0"/>
                      <w:divBdr>
                        <w:top w:val="none" w:sz="0" w:space="0" w:color="auto"/>
                        <w:left w:val="none" w:sz="0" w:space="0" w:color="auto"/>
                        <w:bottom w:val="none" w:sz="0" w:space="0" w:color="auto"/>
                        <w:right w:val="none" w:sz="0" w:space="0" w:color="auto"/>
                      </w:divBdr>
                    </w:div>
                  </w:divsChild>
                </w:div>
                <w:div w:id="874586224">
                  <w:marLeft w:val="0"/>
                  <w:marRight w:val="0"/>
                  <w:marTop w:val="0"/>
                  <w:marBottom w:val="0"/>
                  <w:divBdr>
                    <w:top w:val="none" w:sz="0" w:space="0" w:color="auto"/>
                    <w:left w:val="none" w:sz="0" w:space="0" w:color="auto"/>
                    <w:bottom w:val="none" w:sz="0" w:space="0" w:color="auto"/>
                    <w:right w:val="none" w:sz="0" w:space="0" w:color="auto"/>
                  </w:divBdr>
                  <w:divsChild>
                    <w:div w:id="2077387097">
                      <w:marLeft w:val="0"/>
                      <w:marRight w:val="0"/>
                      <w:marTop w:val="0"/>
                      <w:marBottom w:val="0"/>
                      <w:divBdr>
                        <w:top w:val="none" w:sz="0" w:space="0" w:color="auto"/>
                        <w:left w:val="none" w:sz="0" w:space="0" w:color="auto"/>
                        <w:bottom w:val="none" w:sz="0" w:space="0" w:color="auto"/>
                        <w:right w:val="none" w:sz="0" w:space="0" w:color="auto"/>
                      </w:divBdr>
                    </w:div>
                  </w:divsChild>
                </w:div>
                <w:div w:id="950015080">
                  <w:marLeft w:val="0"/>
                  <w:marRight w:val="0"/>
                  <w:marTop w:val="0"/>
                  <w:marBottom w:val="0"/>
                  <w:divBdr>
                    <w:top w:val="none" w:sz="0" w:space="0" w:color="auto"/>
                    <w:left w:val="none" w:sz="0" w:space="0" w:color="auto"/>
                    <w:bottom w:val="none" w:sz="0" w:space="0" w:color="auto"/>
                    <w:right w:val="none" w:sz="0" w:space="0" w:color="auto"/>
                  </w:divBdr>
                  <w:divsChild>
                    <w:div w:id="505368967">
                      <w:marLeft w:val="0"/>
                      <w:marRight w:val="0"/>
                      <w:marTop w:val="0"/>
                      <w:marBottom w:val="0"/>
                      <w:divBdr>
                        <w:top w:val="none" w:sz="0" w:space="0" w:color="auto"/>
                        <w:left w:val="none" w:sz="0" w:space="0" w:color="auto"/>
                        <w:bottom w:val="none" w:sz="0" w:space="0" w:color="auto"/>
                        <w:right w:val="none" w:sz="0" w:space="0" w:color="auto"/>
                      </w:divBdr>
                    </w:div>
                  </w:divsChild>
                </w:div>
                <w:div w:id="1019626798">
                  <w:marLeft w:val="0"/>
                  <w:marRight w:val="0"/>
                  <w:marTop w:val="0"/>
                  <w:marBottom w:val="0"/>
                  <w:divBdr>
                    <w:top w:val="none" w:sz="0" w:space="0" w:color="auto"/>
                    <w:left w:val="none" w:sz="0" w:space="0" w:color="auto"/>
                    <w:bottom w:val="none" w:sz="0" w:space="0" w:color="auto"/>
                    <w:right w:val="none" w:sz="0" w:space="0" w:color="auto"/>
                  </w:divBdr>
                  <w:divsChild>
                    <w:div w:id="537011057">
                      <w:marLeft w:val="0"/>
                      <w:marRight w:val="0"/>
                      <w:marTop w:val="0"/>
                      <w:marBottom w:val="0"/>
                      <w:divBdr>
                        <w:top w:val="none" w:sz="0" w:space="0" w:color="auto"/>
                        <w:left w:val="none" w:sz="0" w:space="0" w:color="auto"/>
                        <w:bottom w:val="none" w:sz="0" w:space="0" w:color="auto"/>
                        <w:right w:val="none" w:sz="0" w:space="0" w:color="auto"/>
                      </w:divBdr>
                    </w:div>
                    <w:div w:id="1545868828">
                      <w:marLeft w:val="0"/>
                      <w:marRight w:val="0"/>
                      <w:marTop w:val="0"/>
                      <w:marBottom w:val="0"/>
                      <w:divBdr>
                        <w:top w:val="none" w:sz="0" w:space="0" w:color="auto"/>
                        <w:left w:val="none" w:sz="0" w:space="0" w:color="auto"/>
                        <w:bottom w:val="none" w:sz="0" w:space="0" w:color="auto"/>
                        <w:right w:val="none" w:sz="0" w:space="0" w:color="auto"/>
                      </w:divBdr>
                    </w:div>
                    <w:div w:id="1779181061">
                      <w:marLeft w:val="0"/>
                      <w:marRight w:val="0"/>
                      <w:marTop w:val="0"/>
                      <w:marBottom w:val="0"/>
                      <w:divBdr>
                        <w:top w:val="none" w:sz="0" w:space="0" w:color="auto"/>
                        <w:left w:val="none" w:sz="0" w:space="0" w:color="auto"/>
                        <w:bottom w:val="none" w:sz="0" w:space="0" w:color="auto"/>
                        <w:right w:val="none" w:sz="0" w:space="0" w:color="auto"/>
                      </w:divBdr>
                    </w:div>
                  </w:divsChild>
                </w:div>
                <w:div w:id="1075861492">
                  <w:marLeft w:val="0"/>
                  <w:marRight w:val="0"/>
                  <w:marTop w:val="0"/>
                  <w:marBottom w:val="0"/>
                  <w:divBdr>
                    <w:top w:val="none" w:sz="0" w:space="0" w:color="auto"/>
                    <w:left w:val="none" w:sz="0" w:space="0" w:color="auto"/>
                    <w:bottom w:val="none" w:sz="0" w:space="0" w:color="auto"/>
                    <w:right w:val="none" w:sz="0" w:space="0" w:color="auto"/>
                  </w:divBdr>
                  <w:divsChild>
                    <w:div w:id="1905333915">
                      <w:marLeft w:val="0"/>
                      <w:marRight w:val="0"/>
                      <w:marTop w:val="0"/>
                      <w:marBottom w:val="0"/>
                      <w:divBdr>
                        <w:top w:val="none" w:sz="0" w:space="0" w:color="auto"/>
                        <w:left w:val="none" w:sz="0" w:space="0" w:color="auto"/>
                        <w:bottom w:val="none" w:sz="0" w:space="0" w:color="auto"/>
                        <w:right w:val="none" w:sz="0" w:space="0" w:color="auto"/>
                      </w:divBdr>
                    </w:div>
                  </w:divsChild>
                </w:div>
                <w:div w:id="1142310890">
                  <w:marLeft w:val="0"/>
                  <w:marRight w:val="0"/>
                  <w:marTop w:val="0"/>
                  <w:marBottom w:val="0"/>
                  <w:divBdr>
                    <w:top w:val="none" w:sz="0" w:space="0" w:color="auto"/>
                    <w:left w:val="none" w:sz="0" w:space="0" w:color="auto"/>
                    <w:bottom w:val="none" w:sz="0" w:space="0" w:color="auto"/>
                    <w:right w:val="none" w:sz="0" w:space="0" w:color="auto"/>
                  </w:divBdr>
                  <w:divsChild>
                    <w:div w:id="1664239836">
                      <w:marLeft w:val="0"/>
                      <w:marRight w:val="0"/>
                      <w:marTop w:val="0"/>
                      <w:marBottom w:val="0"/>
                      <w:divBdr>
                        <w:top w:val="none" w:sz="0" w:space="0" w:color="auto"/>
                        <w:left w:val="none" w:sz="0" w:space="0" w:color="auto"/>
                        <w:bottom w:val="none" w:sz="0" w:space="0" w:color="auto"/>
                        <w:right w:val="none" w:sz="0" w:space="0" w:color="auto"/>
                      </w:divBdr>
                    </w:div>
                  </w:divsChild>
                </w:div>
                <w:div w:id="1680304149">
                  <w:marLeft w:val="0"/>
                  <w:marRight w:val="0"/>
                  <w:marTop w:val="0"/>
                  <w:marBottom w:val="0"/>
                  <w:divBdr>
                    <w:top w:val="none" w:sz="0" w:space="0" w:color="auto"/>
                    <w:left w:val="none" w:sz="0" w:space="0" w:color="auto"/>
                    <w:bottom w:val="none" w:sz="0" w:space="0" w:color="auto"/>
                    <w:right w:val="none" w:sz="0" w:space="0" w:color="auto"/>
                  </w:divBdr>
                  <w:divsChild>
                    <w:div w:id="1878543461">
                      <w:marLeft w:val="0"/>
                      <w:marRight w:val="0"/>
                      <w:marTop w:val="0"/>
                      <w:marBottom w:val="0"/>
                      <w:divBdr>
                        <w:top w:val="none" w:sz="0" w:space="0" w:color="auto"/>
                        <w:left w:val="none" w:sz="0" w:space="0" w:color="auto"/>
                        <w:bottom w:val="none" w:sz="0" w:space="0" w:color="auto"/>
                        <w:right w:val="none" w:sz="0" w:space="0" w:color="auto"/>
                      </w:divBdr>
                    </w:div>
                  </w:divsChild>
                </w:div>
                <w:div w:id="1821076547">
                  <w:marLeft w:val="0"/>
                  <w:marRight w:val="0"/>
                  <w:marTop w:val="0"/>
                  <w:marBottom w:val="0"/>
                  <w:divBdr>
                    <w:top w:val="none" w:sz="0" w:space="0" w:color="auto"/>
                    <w:left w:val="none" w:sz="0" w:space="0" w:color="auto"/>
                    <w:bottom w:val="none" w:sz="0" w:space="0" w:color="auto"/>
                    <w:right w:val="none" w:sz="0" w:space="0" w:color="auto"/>
                  </w:divBdr>
                  <w:divsChild>
                    <w:div w:id="778451796">
                      <w:marLeft w:val="0"/>
                      <w:marRight w:val="0"/>
                      <w:marTop w:val="0"/>
                      <w:marBottom w:val="0"/>
                      <w:divBdr>
                        <w:top w:val="none" w:sz="0" w:space="0" w:color="auto"/>
                        <w:left w:val="none" w:sz="0" w:space="0" w:color="auto"/>
                        <w:bottom w:val="none" w:sz="0" w:space="0" w:color="auto"/>
                        <w:right w:val="none" w:sz="0" w:space="0" w:color="auto"/>
                      </w:divBdr>
                    </w:div>
                    <w:div w:id="2108033631">
                      <w:marLeft w:val="0"/>
                      <w:marRight w:val="0"/>
                      <w:marTop w:val="0"/>
                      <w:marBottom w:val="0"/>
                      <w:divBdr>
                        <w:top w:val="none" w:sz="0" w:space="0" w:color="auto"/>
                        <w:left w:val="none" w:sz="0" w:space="0" w:color="auto"/>
                        <w:bottom w:val="none" w:sz="0" w:space="0" w:color="auto"/>
                        <w:right w:val="none" w:sz="0" w:space="0" w:color="auto"/>
                      </w:divBdr>
                    </w:div>
                  </w:divsChild>
                </w:div>
                <w:div w:id="1856652893">
                  <w:marLeft w:val="0"/>
                  <w:marRight w:val="0"/>
                  <w:marTop w:val="0"/>
                  <w:marBottom w:val="0"/>
                  <w:divBdr>
                    <w:top w:val="none" w:sz="0" w:space="0" w:color="auto"/>
                    <w:left w:val="none" w:sz="0" w:space="0" w:color="auto"/>
                    <w:bottom w:val="none" w:sz="0" w:space="0" w:color="auto"/>
                    <w:right w:val="none" w:sz="0" w:space="0" w:color="auto"/>
                  </w:divBdr>
                  <w:divsChild>
                    <w:div w:id="395978946">
                      <w:marLeft w:val="0"/>
                      <w:marRight w:val="0"/>
                      <w:marTop w:val="0"/>
                      <w:marBottom w:val="0"/>
                      <w:divBdr>
                        <w:top w:val="none" w:sz="0" w:space="0" w:color="auto"/>
                        <w:left w:val="none" w:sz="0" w:space="0" w:color="auto"/>
                        <w:bottom w:val="none" w:sz="0" w:space="0" w:color="auto"/>
                        <w:right w:val="none" w:sz="0" w:space="0" w:color="auto"/>
                      </w:divBdr>
                    </w:div>
                    <w:div w:id="1095898791">
                      <w:marLeft w:val="0"/>
                      <w:marRight w:val="0"/>
                      <w:marTop w:val="0"/>
                      <w:marBottom w:val="0"/>
                      <w:divBdr>
                        <w:top w:val="none" w:sz="0" w:space="0" w:color="auto"/>
                        <w:left w:val="none" w:sz="0" w:space="0" w:color="auto"/>
                        <w:bottom w:val="none" w:sz="0" w:space="0" w:color="auto"/>
                        <w:right w:val="none" w:sz="0" w:space="0" w:color="auto"/>
                      </w:divBdr>
                    </w:div>
                    <w:div w:id="1724718839">
                      <w:marLeft w:val="0"/>
                      <w:marRight w:val="0"/>
                      <w:marTop w:val="0"/>
                      <w:marBottom w:val="0"/>
                      <w:divBdr>
                        <w:top w:val="none" w:sz="0" w:space="0" w:color="auto"/>
                        <w:left w:val="none" w:sz="0" w:space="0" w:color="auto"/>
                        <w:bottom w:val="none" w:sz="0" w:space="0" w:color="auto"/>
                        <w:right w:val="none" w:sz="0" w:space="0" w:color="auto"/>
                      </w:divBdr>
                    </w:div>
                    <w:div w:id="1770468794">
                      <w:marLeft w:val="0"/>
                      <w:marRight w:val="0"/>
                      <w:marTop w:val="0"/>
                      <w:marBottom w:val="0"/>
                      <w:divBdr>
                        <w:top w:val="none" w:sz="0" w:space="0" w:color="auto"/>
                        <w:left w:val="none" w:sz="0" w:space="0" w:color="auto"/>
                        <w:bottom w:val="none" w:sz="0" w:space="0" w:color="auto"/>
                        <w:right w:val="none" w:sz="0" w:space="0" w:color="auto"/>
                      </w:divBdr>
                    </w:div>
                  </w:divsChild>
                </w:div>
                <w:div w:id="1932740788">
                  <w:marLeft w:val="0"/>
                  <w:marRight w:val="0"/>
                  <w:marTop w:val="0"/>
                  <w:marBottom w:val="0"/>
                  <w:divBdr>
                    <w:top w:val="none" w:sz="0" w:space="0" w:color="auto"/>
                    <w:left w:val="none" w:sz="0" w:space="0" w:color="auto"/>
                    <w:bottom w:val="none" w:sz="0" w:space="0" w:color="auto"/>
                    <w:right w:val="none" w:sz="0" w:space="0" w:color="auto"/>
                  </w:divBdr>
                  <w:divsChild>
                    <w:div w:id="1785228782">
                      <w:marLeft w:val="0"/>
                      <w:marRight w:val="0"/>
                      <w:marTop w:val="0"/>
                      <w:marBottom w:val="0"/>
                      <w:divBdr>
                        <w:top w:val="none" w:sz="0" w:space="0" w:color="auto"/>
                        <w:left w:val="none" w:sz="0" w:space="0" w:color="auto"/>
                        <w:bottom w:val="none" w:sz="0" w:space="0" w:color="auto"/>
                        <w:right w:val="none" w:sz="0" w:space="0" w:color="auto"/>
                      </w:divBdr>
                    </w:div>
                  </w:divsChild>
                </w:div>
                <w:div w:id="2050493500">
                  <w:marLeft w:val="0"/>
                  <w:marRight w:val="0"/>
                  <w:marTop w:val="0"/>
                  <w:marBottom w:val="0"/>
                  <w:divBdr>
                    <w:top w:val="none" w:sz="0" w:space="0" w:color="auto"/>
                    <w:left w:val="none" w:sz="0" w:space="0" w:color="auto"/>
                    <w:bottom w:val="none" w:sz="0" w:space="0" w:color="auto"/>
                    <w:right w:val="none" w:sz="0" w:space="0" w:color="auto"/>
                  </w:divBdr>
                  <w:divsChild>
                    <w:div w:id="19873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49488">
          <w:marLeft w:val="0"/>
          <w:marRight w:val="0"/>
          <w:marTop w:val="0"/>
          <w:marBottom w:val="0"/>
          <w:divBdr>
            <w:top w:val="none" w:sz="0" w:space="0" w:color="auto"/>
            <w:left w:val="none" w:sz="0" w:space="0" w:color="auto"/>
            <w:bottom w:val="none" w:sz="0" w:space="0" w:color="auto"/>
            <w:right w:val="none" w:sz="0" w:space="0" w:color="auto"/>
          </w:divBdr>
          <w:divsChild>
            <w:div w:id="634024536">
              <w:marLeft w:val="0"/>
              <w:marRight w:val="0"/>
              <w:marTop w:val="0"/>
              <w:marBottom w:val="0"/>
              <w:divBdr>
                <w:top w:val="none" w:sz="0" w:space="0" w:color="auto"/>
                <w:left w:val="none" w:sz="0" w:space="0" w:color="auto"/>
                <w:bottom w:val="none" w:sz="0" w:space="0" w:color="auto"/>
                <w:right w:val="none" w:sz="0" w:space="0" w:color="auto"/>
              </w:divBdr>
            </w:div>
            <w:div w:id="841167245">
              <w:marLeft w:val="0"/>
              <w:marRight w:val="0"/>
              <w:marTop w:val="0"/>
              <w:marBottom w:val="0"/>
              <w:divBdr>
                <w:top w:val="none" w:sz="0" w:space="0" w:color="auto"/>
                <w:left w:val="none" w:sz="0" w:space="0" w:color="auto"/>
                <w:bottom w:val="none" w:sz="0" w:space="0" w:color="auto"/>
                <w:right w:val="none" w:sz="0" w:space="0" w:color="auto"/>
              </w:divBdr>
            </w:div>
            <w:div w:id="866480383">
              <w:marLeft w:val="0"/>
              <w:marRight w:val="0"/>
              <w:marTop w:val="0"/>
              <w:marBottom w:val="0"/>
              <w:divBdr>
                <w:top w:val="none" w:sz="0" w:space="0" w:color="auto"/>
                <w:left w:val="none" w:sz="0" w:space="0" w:color="auto"/>
                <w:bottom w:val="none" w:sz="0" w:space="0" w:color="auto"/>
                <w:right w:val="none" w:sz="0" w:space="0" w:color="auto"/>
              </w:divBdr>
            </w:div>
            <w:div w:id="1109197744">
              <w:marLeft w:val="0"/>
              <w:marRight w:val="0"/>
              <w:marTop w:val="0"/>
              <w:marBottom w:val="0"/>
              <w:divBdr>
                <w:top w:val="none" w:sz="0" w:space="0" w:color="auto"/>
                <w:left w:val="none" w:sz="0" w:space="0" w:color="auto"/>
                <w:bottom w:val="none" w:sz="0" w:space="0" w:color="auto"/>
                <w:right w:val="none" w:sz="0" w:space="0" w:color="auto"/>
              </w:divBdr>
            </w:div>
            <w:div w:id="1302729514">
              <w:marLeft w:val="0"/>
              <w:marRight w:val="0"/>
              <w:marTop w:val="0"/>
              <w:marBottom w:val="0"/>
              <w:divBdr>
                <w:top w:val="none" w:sz="0" w:space="0" w:color="auto"/>
                <w:left w:val="none" w:sz="0" w:space="0" w:color="auto"/>
                <w:bottom w:val="none" w:sz="0" w:space="0" w:color="auto"/>
                <w:right w:val="none" w:sz="0" w:space="0" w:color="auto"/>
              </w:divBdr>
            </w:div>
            <w:div w:id="1426262338">
              <w:marLeft w:val="0"/>
              <w:marRight w:val="0"/>
              <w:marTop w:val="0"/>
              <w:marBottom w:val="0"/>
              <w:divBdr>
                <w:top w:val="none" w:sz="0" w:space="0" w:color="auto"/>
                <w:left w:val="none" w:sz="0" w:space="0" w:color="auto"/>
                <w:bottom w:val="none" w:sz="0" w:space="0" w:color="auto"/>
                <w:right w:val="none" w:sz="0" w:space="0" w:color="auto"/>
              </w:divBdr>
            </w:div>
            <w:div w:id="1864588617">
              <w:marLeft w:val="0"/>
              <w:marRight w:val="0"/>
              <w:marTop w:val="0"/>
              <w:marBottom w:val="0"/>
              <w:divBdr>
                <w:top w:val="none" w:sz="0" w:space="0" w:color="auto"/>
                <w:left w:val="none" w:sz="0" w:space="0" w:color="auto"/>
                <w:bottom w:val="none" w:sz="0" w:space="0" w:color="auto"/>
                <w:right w:val="none" w:sz="0" w:space="0" w:color="auto"/>
              </w:divBdr>
            </w:div>
          </w:divsChild>
        </w:div>
        <w:div w:id="1581521882">
          <w:marLeft w:val="0"/>
          <w:marRight w:val="0"/>
          <w:marTop w:val="0"/>
          <w:marBottom w:val="0"/>
          <w:divBdr>
            <w:top w:val="none" w:sz="0" w:space="0" w:color="auto"/>
            <w:left w:val="none" w:sz="0" w:space="0" w:color="auto"/>
            <w:bottom w:val="none" w:sz="0" w:space="0" w:color="auto"/>
            <w:right w:val="none" w:sz="0" w:space="0" w:color="auto"/>
          </w:divBdr>
        </w:div>
        <w:div w:id="1599023453">
          <w:marLeft w:val="0"/>
          <w:marRight w:val="0"/>
          <w:marTop w:val="0"/>
          <w:marBottom w:val="0"/>
          <w:divBdr>
            <w:top w:val="none" w:sz="0" w:space="0" w:color="auto"/>
            <w:left w:val="none" w:sz="0" w:space="0" w:color="auto"/>
            <w:bottom w:val="none" w:sz="0" w:space="0" w:color="auto"/>
            <w:right w:val="none" w:sz="0" w:space="0" w:color="auto"/>
          </w:divBdr>
          <w:divsChild>
            <w:div w:id="86117422">
              <w:marLeft w:val="-75"/>
              <w:marRight w:val="0"/>
              <w:marTop w:val="30"/>
              <w:marBottom w:val="30"/>
              <w:divBdr>
                <w:top w:val="none" w:sz="0" w:space="0" w:color="auto"/>
                <w:left w:val="none" w:sz="0" w:space="0" w:color="auto"/>
                <w:bottom w:val="none" w:sz="0" w:space="0" w:color="auto"/>
                <w:right w:val="none" w:sz="0" w:space="0" w:color="auto"/>
              </w:divBdr>
              <w:divsChild>
                <w:div w:id="1619994996">
                  <w:marLeft w:val="0"/>
                  <w:marRight w:val="0"/>
                  <w:marTop w:val="0"/>
                  <w:marBottom w:val="0"/>
                  <w:divBdr>
                    <w:top w:val="none" w:sz="0" w:space="0" w:color="auto"/>
                    <w:left w:val="none" w:sz="0" w:space="0" w:color="auto"/>
                    <w:bottom w:val="none" w:sz="0" w:space="0" w:color="auto"/>
                    <w:right w:val="none" w:sz="0" w:space="0" w:color="auto"/>
                  </w:divBdr>
                  <w:divsChild>
                    <w:div w:id="1299339186">
                      <w:marLeft w:val="0"/>
                      <w:marRight w:val="0"/>
                      <w:marTop w:val="0"/>
                      <w:marBottom w:val="0"/>
                      <w:divBdr>
                        <w:top w:val="none" w:sz="0" w:space="0" w:color="auto"/>
                        <w:left w:val="none" w:sz="0" w:space="0" w:color="auto"/>
                        <w:bottom w:val="none" w:sz="0" w:space="0" w:color="auto"/>
                        <w:right w:val="none" w:sz="0" w:space="0" w:color="auto"/>
                      </w:divBdr>
                    </w:div>
                  </w:divsChild>
                </w:div>
                <w:div w:id="1878738069">
                  <w:marLeft w:val="0"/>
                  <w:marRight w:val="0"/>
                  <w:marTop w:val="0"/>
                  <w:marBottom w:val="0"/>
                  <w:divBdr>
                    <w:top w:val="none" w:sz="0" w:space="0" w:color="auto"/>
                    <w:left w:val="none" w:sz="0" w:space="0" w:color="auto"/>
                    <w:bottom w:val="none" w:sz="0" w:space="0" w:color="auto"/>
                    <w:right w:val="none" w:sz="0" w:space="0" w:color="auto"/>
                  </w:divBdr>
                  <w:divsChild>
                    <w:div w:id="159805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91636">
          <w:marLeft w:val="0"/>
          <w:marRight w:val="0"/>
          <w:marTop w:val="0"/>
          <w:marBottom w:val="0"/>
          <w:divBdr>
            <w:top w:val="none" w:sz="0" w:space="0" w:color="auto"/>
            <w:left w:val="none" w:sz="0" w:space="0" w:color="auto"/>
            <w:bottom w:val="none" w:sz="0" w:space="0" w:color="auto"/>
            <w:right w:val="none" w:sz="0" w:space="0" w:color="auto"/>
          </w:divBdr>
        </w:div>
      </w:divsChild>
    </w:div>
    <w:div w:id="108744037">
      <w:bodyDiv w:val="1"/>
      <w:marLeft w:val="0"/>
      <w:marRight w:val="0"/>
      <w:marTop w:val="0"/>
      <w:marBottom w:val="0"/>
      <w:divBdr>
        <w:top w:val="none" w:sz="0" w:space="0" w:color="auto"/>
        <w:left w:val="none" w:sz="0" w:space="0" w:color="auto"/>
        <w:bottom w:val="none" w:sz="0" w:space="0" w:color="auto"/>
        <w:right w:val="none" w:sz="0" w:space="0" w:color="auto"/>
      </w:divBdr>
    </w:div>
    <w:div w:id="267390458">
      <w:bodyDiv w:val="1"/>
      <w:marLeft w:val="0"/>
      <w:marRight w:val="0"/>
      <w:marTop w:val="0"/>
      <w:marBottom w:val="0"/>
      <w:divBdr>
        <w:top w:val="none" w:sz="0" w:space="0" w:color="auto"/>
        <w:left w:val="none" w:sz="0" w:space="0" w:color="auto"/>
        <w:bottom w:val="none" w:sz="0" w:space="0" w:color="auto"/>
        <w:right w:val="none" w:sz="0" w:space="0" w:color="auto"/>
      </w:divBdr>
      <w:divsChild>
        <w:div w:id="484009914">
          <w:marLeft w:val="0"/>
          <w:marRight w:val="0"/>
          <w:marTop w:val="0"/>
          <w:marBottom w:val="0"/>
          <w:divBdr>
            <w:top w:val="none" w:sz="0" w:space="0" w:color="auto"/>
            <w:left w:val="none" w:sz="0" w:space="0" w:color="auto"/>
            <w:bottom w:val="none" w:sz="0" w:space="0" w:color="auto"/>
            <w:right w:val="none" w:sz="0" w:space="0" w:color="auto"/>
          </w:divBdr>
          <w:divsChild>
            <w:div w:id="1677926970">
              <w:marLeft w:val="0"/>
              <w:marRight w:val="0"/>
              <w:marTop w:val="30"/>
              <w:marBottom w:val="30"/>
              <w:divBdr>
                <w:top w:val="none" w:sz="0" w:space="0" w:color="auto"/>
                <w:left w:val="none" w:sz="0" w:space="0" w:color="auto"/>
                <w:bottom w:val="none" w:sz="0" w:space="0" w:color="auto"/>
                <w:right w:val="none" w:sz="0" w:space="0" w:color="auto"/>
              </w:divBdr>
              <w:divsChild>
                <w:div w:id="416753733">
                  <w:marLeft w:val="0"/>
                  <w:marRight w:val="0"/>
                  <w:marTop w:val="0"/>
                  <w:marBottom w:val="0"/>
                  <w:divBdr>
                    <w:top w:val="none" w:sz="0" w:space="0" w:color="auto"/>
                    <w:left w:val="none" w:sz="0" w:space="0" w:color="auto"/>
                    <w:bottom w:val="none" w:sz="0" w:space="0" w:color="auto"/>
                    <w:right w:val="none" w:sz="0" w:space="0" w:color="auto"/>
                  </w:divBdr>
                  <w:divsChild>
                    <w:div w:id="2024045981">
                      <w:marLeft w:val="0"/>
                      <w:marRight w:val="0"/>
                      <w:marTop w:val="0"/>
                      <w:marBottom w:val="0"/>
                      <w:divBdr>
                        <w:top w:val="none" w:sz="0" w:space="0" w:color="auto"/>
                        <w:left w:val="none" w:sz="0" w:space="0" w:color="auto"/>
                        <w:bottom w:val="none" w:sz="0" w:space="0" w:color="auto"/>
                        <w:right w:val="none" w:sz="0" w:space="0" w:color="auto"/>
                      </w:divBdr>
                    </w:div>
                  </w:divsChild>
                </w:div>
                <w:div w:id="1519082272">
                  <w:marLeft w:val="0"/>
                  <w:marRight w:val="0"/>
                  <w:marTop w:val="0"/>
                  <w:marBottom w:val="0"/>
                  <w:divBdr>
                    <w:top w:val="none" w:sz="0" w:space="0" w:color="auto"/>
                    <w:left w:val="none" w:sz="0" w:space="0" w:color="auto"/>
                    <w:bottom w:val="none" w:sz="0" w:space="0" w:color="auto"/>
                    <w:right w:val="none" w:sz="0" w:space="0" w:color="auto"/>
                  </w:divBdr>
                  <w:divsChild>
                    <w:div w:id="38549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1307">
          <w:marLeft w:val="0"/>
          <w:marRight w:val="0"/>
          <w:marTop w:val="0"/>
          <w:marBottom w:val="0"/>
          <w:divBdr>
            <w:top w:val="none" w:sz="0" w:space="0" w:color="auto"/>
            <w:left w:val="none" w:sz="0" w:space="0" w:color="auto"/>
            <w:bottom w:val="none" w:sz="0" w:space="0" w:color="auto"/>
            <w:right w:val="none" w:sz="0" w:space="0" w:color="auto"/>
          </w:divBdr>
        </w:div>
        <w:div w:id="788360586">
          <w:marLeft w:val="0"/>
          <w:marRight w:val="0"/>
          <w:marTop w:val="0"/>
          <w:marBottom w:val="0"/>
          <w:divBdr>
            <w:top w:val="none" w:sz="0" w:space="0" w:color="auto"/>
            <w:left w:val="none" w:sz="0" w:space="0" w:color="auto"/>
            <w:bottom w:val="none" w:sz="0" w:space="0" w:color="auto"/>
            <w:right w:val="none" w:sz="0" w:space="0" w:color="auto"/>
          </w:divBdr>
          <w:divsChild>
            <w:div w:id="1635911231">
              <w:marLeft w:val="0"/>
              <w:marRight w:val="0"/>
              <w:marTop w:val="30"/>
              <w:marBottom w:val="30"/>
              <w:divBdr>
                <w:top w:val="none" w:sz="0" w:space="0" w:color="auto"/>
                <w:left w:val="none" w:sz="0" w:space="0" w:color="auto"/>
                <w:bottom w:val="none" w:sz="0" w:space="0" w:color="auto"/>
                <w:right w:val="none" w:sz="0" w:space="0" w:color="auto"/>
              </w:divBdr>
              <w:divsChild>
                <w:div w:id="183784411">
                  <w:marLeft w:val="0"/>
                  <w:marRight w:val="0"/>
                  <w:marTop w:val="0"/>
                  <w:marBottom w:val="0"/>
                  <w:divBdr>
                    <w:top w:val="none" w:sz="0" w:space="0" w:color="auto"/>
                    <w:left w:val="none" w:sz="0" w:space="0" w:color="auto"/>
                    <w:bottom w:val="none" w:sz="0" w:space="0" w:color="auto"/>
                    <w:right w:val="none" w:sz="0" w:space="0" w:color="auto"/>
                  </w:divBdr>
                  <w:divsChild>
                    <w:div w:id="768044467">
                      <w:marLeft w:val="0"/>
                      <w:marRight w:val="0"/>
                      <w:marTop w:val="0"/>
                      <w:marBottom w:val="0"/>
                      <w:divBdr>
                        <w:top w:val="none" w:sz="0" w:space="0" w:color="auto"/>
                        <w:left w:val="none" w:sz="0" w:space="0" w:color="auto"/>
                        <w:bottom w:val="none" w:sz="0" w:space="0" w:color="auto"/>
                        <w:right w:val="none" w:sz="0" w:space="0" w:color="auto"/>
                      </w:divBdr>
                    </w:div>
                  </w:divsChild>
                </w:div>
                <w:div w:id="260141808">
                  <w:marLeft w:val="0"/>
                  <w:marRight w:val="0"/>
                  <w:marTop w:val="0"/>
                  <w:marBottom w:val="0"/>
                  <w:divBdr>
                    <w:top w:val="none" w:sz="0" w:space="0" w:color="auto"/>
                    <w:left w:val="none" w:sz="0" w:space="0" w:color="auto"/>
                    <w:bottom w:val="none" w:sz="0" w:space="0" w:color="auto"/>
                    <w:right w:val="none" w:sz="0" w:space="0" w:color="auto"/>
                  </w:divBdr>
                  <w:divsChild>
                    <w:div w:id="1923638269">
                      <w:marLeft w:val="0"/>
                      <w:marRight w:val="0"/>
                      <w:marTop w:val="0"/>
                      <w:marBottom w:val="0"/>
                      <w:divBdr>
                        <w:top w:val="none" w:sz="0" w:space="0" w:color="auto"/>
                        <w:left w:val="none" w:sz="0" w:space="0" w:color="auto"/>
                        <w:bottom w:val="none" w:sz="0" w:space="0" w:color="auto"/>
                        <w:right w:val="none" w:sz="0" w:space="0" w:color="auto"/>
                      </w:divBdr>
                    </w:div>
                  </w:divsChild>
                </w:div>
                <w:div w:id="690033335">
                  <w:marLeft w:val="0"/>
                  <w:marRight w:val="0"/>
                  <w:marTop w:val="0"/>
                  <w:marBottom w:val="0"/>
                  <w:divBdr>
                    <w:top w:val="none" w:sz="0" w:space="0" w:color="auto"/>
                    <w:left w:val="none" w:sz="0" w:space="0" w:color="auto"/>
                    <w:bottom w:val="none" w:sz="0" w:space="0" w:color="auto"/>
                    <w:right w:val="none" w:sz="0" w:space="0" w:color="auto"/>
                  </w:divBdr>
                  <w:divsChild>
                    <w:div w:id="585386070">
                      <w:marLeft w:val="0"/>
                      <w:marRight w:val="0"/>
                      <w:marTop w:val="0"/>
                      <w:marBottom w:val="0"/>
                      <w:divBdr>
                        <w:top w:val="none" w:sz="0" w:space="0" w:color="auto"/>
                        <w:left w:val="none" w:sz="0" w:space="0" w:color="auto"/>
                        <w:bottom w:val="none" w:sz="0" w:space="0" w:color="auto"/>
                        <w:right w:val="none" w:sz="0" w:space="0" w:color="auto"/>
                      </w:divBdr>
                    </w:div>
                  </w:divsChild>
                </w:div>
                <w:div w:id="1157263868">
                  <w:marLeft w:val="0"/>
                  <w:marRight w:val="0"/>
                  <w:marTop w:val="0"/>
                  <w:marBottom w:val="0"/>
                  <w:divBdr>
                    <w:top w:val="none" w:sz="0" w:space="0" w:color="auto"/>
                    <w:left w:val="none" w:sz="0" w:space="0" w:color="auto"/>
                    <w:bottom w:val="none" w:sz="0" w:space="0" w:color="auto"/>
                    <w:right w:val="none" w:sz="0" w:space="0" w:color="auto"/>
                  </w:divBdr>
                  <w:divsChild>
                    <w:div w:id="89663322">
                      <w:marLeft w:val="0"/>
                      <w:marRight w:val="0"/>
                      <w:marTop w:val="0"/>
                      <w:marBottom w:val="0"/>
                      <w:divBdr>
                        <w:top w:val="none" w:sz="0" w:space="0" w:color="auto"/>
                        <w:left w:val="none" w:sz="0" w:space="0" w:color="auto"/>
                        <w:bottom w:val="none" w:sz="0" w:space="0" w:color="auto"/>
                        <w:right w:val="none" w:sz="0" w:space="0" w:color="auto"/>
                      </w:divBdr>
                    </w:div>
                  </w:divsChild>
                </w:div>
                <w:div w:id="1191266186">
                  <w:marLeft w:val="0"/>
                  <w:marRight w:val="0"/>
                  <w:marTop w:val="0"/>
                  <w:marBottom w:val="0"/>
                  <w:divBdr>
                    <w:top w:val="none" w:sz="0" w:space="0" w:color="auto"/>
                    <w:left w:val="none" w:sz="0" w:space="0" w:color="auto"/>
                    <w:bottom w:val="none" w:sz="0" w:space="0" w:color="auto"/>
                    <w:right w:val="none" w:sz="0" w:space="0" w:color="auto"/>
                  </w:divBdr>
                  <w:divsChild>
                    <w:div w:id="2101025522">
                      <w:marLeft w:val="0"/>
                      <w:marRight w:val="0"/>
                      <w:marTop w:val="0"/>
                      <w:marBottom w:val="0"/>
                      <w:divBdr>
                        <w:top w:val="none" w:sz="0" w:space="0" w:color="auto"/>
                        <w:left w:val="none" w:sz="0" w:space="0" w:color="auto"/>
                        <w:bottom w:val="none" w:sz="0" w:space="0" w:color="auto"/>
                        <w:right w:val="none" w:sz="0" w:space="0" w:color="auto"/>
                      </w:divBdr>
                    </w:div>
                  </w:divsChild>
                </w:div>
                <w:div w:id="1277449363">
                  <w:marLeft w:val="0"/>
                  <w:marRight w:val="0"/>
                  <w:marTop w:val="0"/>
                  <w:marBottom w:val="0"/>
                  <w:divBdr>
                    <w:top w:val="none" w:sz="0" w:space="0" w:color="auto"/>
                    <w:left w:val="none" w:sz="0" w:space="0" w:color="auto"/>
                    <w:bottom w:val="none" w:sz="0" w:space="0" w:color="auto"/>
                    <w:right w:val="none" w:sz="0" w:space="0" w:color="auto"/>
                  </w:divBdr>
                  <w:divsChild>
                    <w:div w:id="1646085510">
                      <w:marLeft w:val="0"/>
                      <w:marRight w:val="0"/>
                      <w:marTop w:val="0"/>
                      <w:marBottom w:val="0"/>
                      <w:divBdr>
                        <w:top w:val="none" w:sz="0" w:space="0" w:color="auto"/>
                        <w:left w:val="none" w:sz="0" w:space="0" w:color="auto"/>
                        <w:bottom w:val="none" w:sz="0" w:space="0" w:color="auto"/>
                        <w:right w:val="none" w:sz="0" w:space="0" w:color="auto"/>
                      </w:divBdr>
                    </w:div>
                  </w:divsChild>
                </w:div>
                <w:div w:id="1883786744">
                  <w:marLeft w:val="0"/>
                  <w:marRight w:val="0"/>
                  <w:marTop w:val="0"/>
                  <w:marBottom w:val="0"/>
                  <w:divBdr>
                    <w:top w:val="none" w:sz="0" w:space="0" w:color="auto"/>
                    <w:left w:val="none" w:sz="0" w:space="0" w:color="auto"/>
                    <w:bottom w:val="none" w:sz="0" w:space="0" w:color="auto"/>
                    <w:right w:val="none" w:sz="0" w:space="0" w:color="auto"/>
                  </w:divBdr>
                  <w:divsChild>
                    <w:div w:id="171842438">
                      <w:marLeft w:val="0"/>
                      <w:marRight w:val="0"/>
                      <w:marTop w:val="0"/>
                      <w:marBottom w:val="0"/>
                      <w:divBdr>
                        <w:top w:val="none" w:sz="0" w:space="0" w:color="auto"/>
                        <w:left w:val="none" w:sz="0" w:space="0" w:color="auto"/>
                        <w:bottom w:val="none" w:sz="0" w:space="0" w:color="auto"/>
                        <w:right w:val="none" w:sz="0" w:space="0" w:color="auto"/>
                      </w:divBdr>
                    </w:div>
                  </w:divsChild>
                </w:div>
                <w:div w:id="2070300646">
                  <w:marLeft w:val="0"/>
                  <w:marRight w:val="0"/>
                  <w:marTop w:val="0"/>
                  <w:marBottom w:val="0"/>
                  <w:divBdr>
                    <w:top w:val="none" w:sz="0" w:space="0" w:color="auto"/>
                    <w:left w:val="none" w:sz="0" w:space="0" w:color="auto"/>
                    <w:bottom w:val="none" w:sz="0" w:space="0" w:color="auto"/>
                    <w:right w:val="none" w:sz="0" w:space="0" w:color="auto"/>
                  </w:divBdr>
                  <w:divsChild>
                    <w:div w:id="705375712">
                      <w:marLeft w:val="0"/>
                      <w:marRight w:val="0"/>
                      <w:marTop w:val="0"/>
                      <w:marBottom w:val="0"/>
                      <w:divBdr>
                        <w:top w:val="none" w:sz="0" w:space="0" w:color="auto"/>
                        <w:left w:val="none" w:sz="0" w:space="0" w:color="auto"/>
                        <w:bottom w:val="none" w:sz="0" w:space="0" w:color="auto"/>
                        <w:right w:val="none" w:sz="0" w:space="0" w:color="auto"/>
                      </w:divBdr>
                    </w:div>
                  </w:divsChild>
                </w:div>
                <w:div w:id="2120484121">
                  <w:marLeft w:val="0"/>
                  <w:marRight w:val="0"/>
                  <w:marTop w:val="0"/>
                  <w:marBottom w:val="0"/>
                  <w:divBdr>
                    <w:top w:val="none" w:sz="0" w:space="0" w:color="auto"/>
                    <w:left w:val="none" w:sz="0" w:space="0" w:color="auto"/>
                    <w:bottom w:val="none" w:sz="0" w:space="0" w:color="auto"/>
                    <w:right w:val="none" w:sz="0" w:space="0" w:color="auto"/>
                  </w:divBdr>
                  <w:divsChild>
                    <w:div w:id="8370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59388">
          <w:marLeft w:val="0"/>
          <w:marRight w:val="0"/>
          <w:marTop w:val="0"/>
          <w:marBottom w:val="0"/>
          <w:divBdr>
            <w:top w:val="none" w:sz="0" w:space="0" w:color="auto"/>
            <w:left w:val="none" w:sz="0" w:space="0" w:color="auto"/>
            <w:bottom w:val="none" w:sz="0" w:space="0" w:color="auto"/>
            <w:right w:val="none" w:sz="0" w:space="0" w:color="auto"/>
          </w:divBdr>
          <w:divsChild>
            <w:div w:id="180439570">
              <w:marLeft w:val="0"/>
              <w:marRight w:val="0"/>
              <w:marTop w:val="30"/>
              <w:marBottom w:val="30"/>
              <w:divBdr>
                <w:top w:val="none" w:sz="0" w:space="0" w:color="auto"/>
                <w:left w:val="none" w:sz="0" w:space="0" w:color="auto"/>
                <w:bottom w:val="none" w:sz="0" w:space="0" w:color="auto"/>
                <w:right w:val="none" w:sz="0" w:space="0" w:color="auto"/>
              </w:divBdr>
              <w:divsChild>
                <w:div w:id="739522119">
                  <w:marLeft w:val="0"/>
                  <w:marRight w:val="0"/>
                  <w:marTop w:val="0"/>
                  <w:marBottom w:val="0"/>
                  <w:divBdr>
                    <w:top w:val="none" w:sz="0" w:space="0" w:color="auto"/>
                    <w:left w:val="none" w:sz="0" w:space="0" w:color="auto"/>
                    <w:bottom w:val="none" w:sz="0" w:space="0" w:color="auto"/>
                    <w:right w:val="none" w:sz="0" w:space="0" w:color="auto"/>
                  </w:divBdr>
                  <w:divsChild>
                    <w:div w:id="1280452238">
                      <w:marLeft w:val="0"/>
                      <w:marRight w:val="0"/>
                      <w:marTop w:val="0"/>
                      <w:marBottom w:val="0"/>
                      <w:divBdr>
                        <w:top w:val="none" w:sz="0" w:space="0" w:color="auto"/>
                        <w:left w:val="none" w:sz="0" w:space="0" w:color="auto"/>
                        <w:bottom w:val="none" w:sz="0" w:space="0" w:color="auto"/>
                        <w:right w:val="none" w:sz="0" w:space="0" w:color="auto"/>
                      </w:divBdr>
                    </w:div>
                  </w:divsChild>
                </w:div>
                <w:div w:id="835146246">
                  <w:marLeft w:val="0"/>
                  <w:marRight w:val="0"/>
                  <w:marTop w:val="0"/>
                  <w:marBottom w:val="0"/>
                  <w:divBdr>
                    <w:top w:val="none" w:sz="0" w:space="0" w:color="auto"/>
                    <w:left w:val="none" w:sz="0" w:space="0" w:color="auto"/>
                    <w:bottom w:val="none" w:sz="0" w:space="0" w:color="auto"/>
                    <w:right w:val="none" w:sz="0" w:space="0" w:color="auto"/>
                  </w:divBdr>
                  <w:divsChild>
                    <w:div w:id="1259296178">
                      <w:marLeft w:val="0"/>
                      <w:marRight w:val="0"/>
                      <w:marTop w:val="0"/>
                      <w:marBottom w:val="0"/>
                      <w:divBdr>
                        <w:top w:val="none" w:sz="0" w:space="0" w:color="auto"/>
                        <w:left w:val="none" w:sz="0" w:space="0" w:color="auto"/>
                        <w:bottom w:val="none" w:sz="0" w:space="0" w:color="auto"/>
                        <w:right w:val="none" w:sz="0" w:space="0" w:color="auto"/>
                      </w:divBdr>
                    </w:div>
                  </w:divsChild>
                </w:div>
                <w:div w:id="872961354">
                  <w:marLeft w:val="0"/>
                  <w:marRight w:val="0"/>
                  <w:marTop w:val="0"/>
                  <w:marBottom w:val="0"/>
                  <w:divBdr>
                    <w:top w:val="none" w:sz="0" w:space="0" w:color="auto"/>
                    <w:left w:val="none" w:sz="0" w:space="0" w:color="auto"/>
                    <w:bottom w:val="none" w:sz="0" w:space="0" w:color="auto"/>
                    <w:right w:val="none" w:sz="0" w:space="0" w:color="auto"/>
                  </w:divBdr>
                  <w:divsChild>
                    <w:div w:id="2018189559">
                      <w:marLeft w:val="0"/>
                      <w:marRight w:val="0"/>
                      <w:marTop w:val="0"/>
                      <w:marBottom w:val="0"/>
                      <w:divBdr>
                        <w:top w:val="none" w:sz="0" w:space="0" w:color="auto"/>
                        <w:left w:val="none" w:sz="0" w:space="0" w:color="auto"/>
                        <w:bottom w:val="none" w:sz="0" w:space="0" w:color="auto"/>
                        <w:right w:val="none" w:sz="0" w:space="0" w:color="auto"/>
                      </w:divBdr>
                    </w:div>
                  </w:divsChild>
                </w:div>
                <w:div w:id="1136989138">
                  <w:marLeft w:val="0"/>
                  <w:marRight w:val="0"/>
                  <w:marTop w:val="0"/>
                  <w:marBottom w:val="0"/>
                  <w:divBdr>
                    <w:top w:val="none" w:sz="0" w:space="0" w:color="auto"/>
                    <w:left w:val="none" w:sz="0" w:space="0" w:color="auto"/>
                    <w:bottom w:val="none" w:sz="0" w:space="0" w:color="auto"/>
                    <w:right w:val="none" w:sz="0" w:space="0" w:color="auto"/>
                  </w:divBdr>
                  <w:divsChild>
                    <w:div w:id="1174220174">
                      <w:marLeft w:val="0"/>
                      <w:marRight w:val="0"/>
                      <w:marTop w:val="0"/>
                      <w:marBottom w:val="0"/>
                      <w:divBdr>
                        <w:top w:val="none" w:sz="0" w:space="0" w:color="auto"/>
                        <w:left w:val="none" w:sz="0" w:space="0" w:color="auto"/>
                        <w:bottom w:val="none" w:sz="0" w:space="0" w:color="auto"/>
                        <w:right w:val="none" w:sz="0" w:space="0" w:color="auto"/>
                      </w:divBdr>
                    </w:div>
                  </w:divsChild>
                </w:div>
                <w:div w:id="1741126493">
                  <w:marLeft w:val="0"/>
                  <w:marRight w:val="0"/>
                  <w:marTop w:val="0"/>
                  <w:marBottom w:val="0"/>
                  <w:divBdr>
                    <w:top w:val="none" w:sz="0" w:space="0" w:color="auto"/>
                    <w:left w:val="none" w:sz="0" w:space="0" w:color="auto"/>
                    <w:bottom w:val="none" w:sz="0" w:space="0" w:color="auto"/>
                    <w:right w:val="none" w:sz="0" w:space="0" w:color="auto"/>
                  </w:divBdr>
                  <w:divsChild>
                    <w:div w:id="140491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5151">
          <w:marLeft w:val="0"/>
          <w:marRight w:val="0"/>
          <w:marTop w:val="0"/>
          <w:marBottom w:val="0"/>
          <w:divBdr>
            <w:top w:val="none" w:sz="0" w:space="0" w:color="auto"/>
            <w:left w:val="none" w:sz="0" w:space="0" w:color="auto"/>
            <w:bottom w:val="none" w:sz="0" w:space="0" w:color="auto"/>
            <w:right w:val="none" w:sz="0" w:space="0" w:color="auto"/>
          </w:divBdr>
        </w:div>
        <w:div w:id="1271551143">
          <w:marLeft w:val="0"/>
          <w:marRight w:val="0"/>
          <w:marTop w:val="0"/>
          <w:marBottom w:val="0"/>
          <w:divBdr>
            <w:top w:val="none" w:sz="0" w:space="0" w:color="auto"/>
            <w:left w:val="none" w:sz="0" w:space="0" w:color="auto"/>
            <w:bottom w:val="none" w:sz="0" w:space="0" w:color="auto"/>
            <w:right w:val="none" w:sz="0" w:space="0" w:color="auto"/>
          </w:divBdr>
        </w:div>
        <w:div w:id="1507934976">
          <w:marLeft w:val="0"/>
          <w:marRight w:val="0"/>
          <w:marTop w:val="0"/>
          <w:marBottom w:val="0"/>
          <w:divBdr>
            <w:top w:val="none" w:sz="0" w:space="0" w:color="auto"/>
            <w:left w:val="none" w:sz="0" w:space="0" w:color="auto"/>
            <w:bottom w:val="none" w:sz="0" w:space="0" w:color="auto"/>
            <w:right w:val="none" w:sz="0" w:space="0" w:color="auto"/>
          </w:divBdr>
          <w:divsChild>
            <w:div w:id="583492354">
              <w:marLeft w:val="0"/>
              <w:marRight w:val="0"/>
              <w:marTop w:val="30"/>
              <w:marBottom w:val="30"/>
              <w:divBdr>
                <w:top w:val="none" w:sz="0" w:space="0" w:color="auto"/>
                <w:left w:val="none" w:sz="0" w:space="0" w:color="auto"/>
                <w:bottom w:val="none" w:sz="0" w:space="0" w:color="auto"/>
                <w:right w:val="none" w:sz="0" w:space="0" w:color="auto"/>
              </w:divBdr>
              <w:divsChild>
                <w:div w:id="181016951">
                  <w:marLeft w:val="0"/>
                  <w:marRight w:val="0"/>
                  <w:marTop w:val="0"/>
                  <w:marBottom w:val="0"/>
                  <w:divBdr>
                    <w:top w:val="none" w:sz="0" w:space="0" w:color="auto"/>
                    <w:left w:val="none" w:sz="0" w:space="0" w:color="auto"/>
                    <w:bottom w:val="none" w:sz="0" w:space="0" w:color="auto"/>
                    <w:right w:val="none" w:sz="0" w:space="0" w:color="auto"/>
                  </w:divBdr>
                  <w:divsChild>
                    <w:div w:id="1675104461">
                      <w:marLeft w:val="0"/>
                      <w:marRight w:val="0"/>
                      <w:marTop w:val="0"/>
                      <w:marBottom w:val="0"/>
                      <w:divBdr>
                        <w:top w:val="none" w:sz="0" w:space="0" w:color="auto"/>
                        <w:left w:val="none" w:sz="0" w:space="0" w:color="auto"/>
                        <w:bottom w:val="none" w:sz="0" w:space="0" w:color="auto"/>
                        <w:right w:val="none" w:sz="0" w:space="0" w:color="auto"/>
                      </w:divBdr>
                    </w:div>
                  </w:divsChild>
                </w:div>
                <w:div w:id="401879713">
                  <w:marLeft w:val="0"/>
                  <w:marRight w:val="0"/>
                  <w:marTop w:val="0"/>
                  <w:marBottom w:val="0"/>
                  <w:divBdr>
                    <w:top w:val="none" w:sz="0" w:space="0" w:color="auto"/>
                    <w:left w:val="none" w:sz="0" w:space="0" w:color="auto"/>
                    <w:bottom w:val="none" w:sz="0" w:space="0" w:color="auto"/>
                    <w:right w:val="none" w:sz="0" w:space="0" w:color="auto"/>
                  </w:divBdr>
                  <w:divsChild>
                    <w:div w:id="324207213">
                      <w:marLeft w:val="0"/>
                      <w:marRight w:val="0"/>
                      <w:marTop w:val="0"/>
                      <w:marBottom w:val="0"/>
                      <w:divBdr>
                        <w:top w:val="none" w:sz="0" w:space="0" w:color="auto"/>
                        <w:left w:val="none" w:sz="0" w:space="0" w:color="auto"/>
                        <w:bottom w:val="none" w:sz="0" w:space="0" w:color="auto"/>
                        <w:right w:val="none" w:sz="0" w:space="0" w:color="auto"/>
                      </w:divBdr>
                    </w:div>
                  </w:divsChild>
                </w:div>
                <w:div w:id="525367869">
                  <w:marLeft w:val="0"/>
                  <w:marRight w:val="0"/>
                  <w:marTop w:val="0"/>
                  <w:marBottom w:val="0"/>
                  <w:divBdr>
                    <w:top w:val="none" w:sz="0" w:space="0" w:color="auto"/>
                    <w:left w:val="none" w:sz="0" w:space="0" w:color="auto"/>
                    <w:bottom w:val="none" w:sz="0" w:space="0" w:color="auto"/>
                    <w:right w:val="none" w:sz="0" w:space="0" w:color="auto"/>
                  </w:divBdr>
                  <w:divsChild>
                    <w:div w:id="1712269242">
                      <w:marLeft w:val="0"/>
                      <w:marRight w:val="0"/>
                      <w:marTop w:val="0"/>
                      <w:marBottom w:val="0"/>
                      <w:divBdr>
                        <w:top w:val="none" w:sz="0" w:space="0" w:color="auto"/>
                        <w:left w:val="none" w:sz="0" w:space="0" w:color="auto"/>
                        <w:bottom w:val="none" w:sz="0" w:space="0" w:color="auto"/>
                        <w:right w:val="none" w:sz="0" w:space="0" w:color="auto"/>
                      </w:divBdr>
                    </w:div>
                  </w:divsChild>
                </w:div>
                <w:div w:id="571356780">
                  <w:marLeft w:val="0"/>
                  <w:marRight w:val="0"/>
                  <w:marTop w:val="0"/>
                  <w:marBottom w:val="0"/>
                  <w:divBdr>
                    <w:top w:val="none" w:sz="0" w:space="0" w:color="auto"/>
                    <w:left w:val="none" w:sz="0" w:space="0" w:color="auto"/>
                    <w:bottom w:val="none" w:sz="0" w:space="0" w:color="auto"/>
                    <w:right w:val="none" w:sz="0" w:space="0" w:color="auto"/>
                  </w:divBdr>
                  <w:divsChild>
                    <w:div w:id="2002006837">
                      <w:marLeft w:val="0"/>
                      <w:marRight w:val="0"/>
                      <w:marTop w:val="0"/>
                      <w:marBottom w:val="0"/>
                      <w:divBdr>
                        <w:top w:val="none" w:sz="0" w:space="0" w:color="auto"/>
                        <w:left w:val="none" w:sz="0" w:space="0" w:color="auto"/>
                        <w:bottom w:val="none" w:sz="0" w:space="0" w:color="auto"/>
                        <w:right w:val="none" w:sz="0" w:space="0" w:color="auto"/>
                      </w:divBdr>
                    </w:div>
                  </w:divsChild>
                </w:div>
                <w:div w:id="584539370">
                  <w:marLeft w:val="0"/>
                  <w:marRight w:val="0"/>
                  <w:marTop w:val="0"/>
                  <w:marBottom w:val="0"/>
                  <w:divBdr>
                    <w:top w:val="none" w:sz="0" w:space="0" w:color="auto"/>
                    <w:left w:val="none" w:sz="0" w:space="0" w:color="auto"/>
                    <w:bottom w:val="none" w:sz="0" w:space="0" w:color="auto"/>
                    <w:right w:val="none" w:sz="0" w:space="0" w:color="auto"/>
                  </w:divBdr>
                  <w:divsChild>
                    <w:div w:id="919100753">
                      <w:marLeft w:val="0"/>
                      <w:marRight w:val="0"/>
                      <w:marTop w:val="0"/>
                      <w:marBottom w:val="0"/>
                      <w:divBdr>
                        <w:top w:val="none" w:sz="0" w:space="0" w:color="auto"/>
                        <w:left w:val="none" w:sz="0" w:space="0" w:color="auto"/>
                        <w:bottom w:val="none" w:sz="0" w:space="0" w:color="auto"/>
                        <w:right w:val="none" w:sz="0" w:space="0" w:color="auto"/>
                      </w:divBdr>
                    </w:div>
                  </w:divsChild>
                </w:div>
                <w:div w:id="888884235">
                  <w:marLeft w:val="0"/>
                  <w:marRight w:val="0"/>
                  <w:marTop w:val="0"/>
                  <w:marBottom w:val="0"/>
                  <w:divBdr>
                    <w:top w:val="none" w:sz="0" w:space="0" w:color="auto"/>
                    <w:left w:val="none" w:sz="0" w:space="0" w:color="auto"/>
                    <w:bottom w:val="none" w:sz="0" w:space="0" w:color="auto"/>
                    <w:right w:val="none" w:sz="0" w:space="0" w:color="auto"/>
                  </w:divBdr>
                  <w:divsChild>
                    <w:div w:id="662394003">
                      <w:marLeft w:val="0"/>
                      <w:marRight w:val="0"/>
                      <w:marTop w:val="0"/>
                      <w:marBottom w:val="0"/>
                      <w:divBdr>
                        <w:top w:val="none" w:sz="0" w:space="0" w:color="auto"/>
                        <w:left w:val="none" w:sz="0" w:space="0" w:color="auto"/>
                        <w:bottom w:val="none" w:sz="0" w:space="0" w:color="auto"/>
                        <w:right w:val="none" w:sz="0" w:space="0" w:color="auto"/>
                      </w:divBdr>
                    </w:div>
                  </w:divsChild>
                </w:div>
                <w:div w:id="1045445794">
                  <w:marLeft w:val="0"/>
                  <w:marRight w:val="0"/>
                  <w:marTop w:val="0"/>
                  <w:marBottom w:val="0"/>
                  <w:divBdr>
                    <w:top w:val="none" w:sz="0" w:space="0" w:color="auto"/>
                    <w:left w:val="none" w:sz="0" w:space="0" w:color="auto"/>
                    <w:bottom w:val="none" w:sz="0" w:space="0" w:color="auto"/>
                    <w:right w:val="none" w:sz="0" w:space="0" w:color="auto"/>
                  </w:divBdr>
                  <w:divsChild>
                    <w:div w:id="1385064974">
                      <w:marLeft w:val="0"/>
                      <w:marRight w:val="0"/>
                      <w:marTop w:val="0"/>
                      <w:marBottom w:val="0"/>
                      <w:divBdr>
                        <w:top w:val="none" w:sz="0" w:space="0" w:color="auto"/>
                        <w:left w:val="none" w:sz="0" w:space="0" w:color="auto"/>
                        <w:bottom w:val="none" w:sz="0" w:space="0" w:color="auto"/>
                        <w:right w:val="none" w:sz="0" w:space="0" w:color="auto"/>
                      </w:divBdr>
                    </w:div>
                  </w:divsChild>
                </w:div>
                <w:div w:id="1275862437">
                  <w:marLeft w:val="0"/>
                  <w:marRight w:val="0"/>
                  <w:marTop w:val="0"/>
                  <w:marBottom w:val="0"/>
                  <w:divBdr>
                    <w:top w:val="none" w:sz="0" w:space="0" w:color="auto"/>
                    <w:left w:val="none" w:sz="0" w:space="0" w:color="auto"/>
                    <w:bottom w:val="none" w:sz="0" w:space="0" w:color="auto"/>
                    <w:right w:val="none" w:sz="0" w:space="0" w:color="auto"/>
                  </w:divBdr>
                  <w:divsChild>
                    <w:div w:id="2113696468">
                      <w:marLeft w:val="0"/>
                      <w:marRight w:val="0"/>
                      <w:marTop w:val="0"/>
                      <w:marBottom w:val="0"/>
                      <w:divBdr>
                        <w:top w:val="none" w:sz="0" w:space="0" w:color="auto"/>
                        <w:left w:val="none" w:sz="0" w:space="0" w:color="auto"/>
                        <w:bottom w:val="none" w:sz="0" w:space="0" w:color="auto"/>
                        <w:right w:val="none" w:sz="0" w:space="0" w:color="auto"/>
                      </w:divBdr>
                    </w:div>
                  </w:divsChild>
                </w:div>
                <w:div w:id="1355884086">
                  <w:marLeft w:val="0"/>
                  <w:marRight w:val="0"/>
                  <w:marTop w:val="0"/>
                  <w:marBottom w:val="0"/>
                  <w:divBdr>
                    <w:top w:val="none" w:sz="0" w:space="0" w:color="auto"/>
                    <w:left w:val="none" w:sz="0" w:space="0" w:color="auto"/>
                    <w:bottom w:val="none" w:sz="0" w:space="0" w:color="auto"/>
                    <w:right w:val="none" w:sz="0" w:space="0" w:color="auto"/>
                  </w:divBdr>
                  <w:divsChild>
                    <w:div w:id="735906435">
                      <w:marLeft w:val="0"/>
                      <w:marRight w:val="0"/>
                      <w:marTop w:val="0"/>
                      <w:marBottom w:val="0"/>
                      <w:divBdr>
                        <w:top w:val="none" w:sz="0" w:space="0" w:color="auto"/>
                        <w:left w:val="none" w:sz="0" w:space="0" w:color="auto"/>
                        <w:bottom w:val="none" w:sz="0" w:space="0" w:color="auto"/>
                        <w:right w:val="none" w:sz="0" w:space="0" w:color="auto"/>
                      </w:divBdr>
                    </w:div>
                  </w:divsChild>
                </w:div>
                <w:div w:id="1463886671">
                  <w:marLeft w:val="0"/>
                  <w:marRight w:val="0"/>
                  <w:marTop w:val="0"/>
                  <w:marBottom w:val="0"/>
                  <w:divBdr>
                    <w:top w:val="none" w:sz="0" w:space="0" w:color="auto"/>
                    <w:left w:val="none" w:sz="0" w:space="0" w:color="auto"/>
                    <w:bottom w:val="none" w:sz="0" w:space="0" w:color="auto"/>
                    <w:right w:val="none" w:sz="0" w:space="0" w:color="auto"/>
                  </w:divBdr>
                  <w:divsChild>
                    <w:div w:id="1461992431">
                      <w:marLeft w:val="0"/>
                      <w:marRight w:val="0"/>
                      <w:marTop w:val="0"/>
                      <w:marBottom w:val="0"/>
                      <w:divBdr>
                        <w:top w:val="none" w:sz="0" w:space="0" w:color="auto"/>
                        <w:left w:val="none" w:sz="0" w:space="0" w:color="auto"/>
                        <w:bottom w:val="none" w:sz="0" w:space="0" w:color="auto"/>
                        <w:right w:val="none" w:sz="0" w:space="0" w:color="auto"/>
                      </w:divBdr>
                    </w:div>
                  </w:divsChild>
                </w:div>
                <w:div w:id="1502114174">
                  <w:marLeft w:val="0"/>
                  <w:marRight w:val="0"/>
                  <w:marTop w:val="0"/>
                  <w:marBottom w:val="0"/>
                  <w:divBdr>
                    <w:top w:val="none" w:sz="0" w:space="0" w:color="auto"/>
                    <w:left w:val="none" w:sz="0" w:space="0" w:color="auto"/>
                    <w:bottom w:val="none" w:sz="0" w:space="0" w:color="auto"/>
                    <w:right w:val="none" w:sz="0" w:space="0" w:color="auto"/>
                  </w:divBdr>
                  <w:divsChild>
                    <w:div w:id="2045523680">
                      <w:marLeft w:val="0"/>
                      <w:marRight w:val="0"/>
                      <w:marTop w:val="0"/>
                      <w:marBottom w:val="0"/>
                      <w:divBdr>
                        <w:top w:val="none" w:sz="0" w:space="0" w:color="auto"/>
                        <w:left w:val="none" w:sz="0" w:space="0" w:color="auto"/>
                        <w:bottom w:val="none" w:sz="0" w:space="0" w:color="auto"/>
                        <w:right w:val="none" w:sz="0" w:space="0" w:color="auto"/>
                      </w:divBdr>
                    </w:div>
                  </w:divsChild>
                </w:div>
                <w:div w:id="1521973990">
                  <w:marLeft w:val="0"/>
                  <w:marRight w:val="0"/>
                  <w:marTop w:val="0"/>
                  <w:marBottom w:val="0"/>
                  <w:divBdr>
                    <w:top w:val="none" w:sz="0" w:space="0" w:color="auto"/>
                    <w:left w:val="none" w:sz="0" w:space="0" w:color="auto"/>
                    <w:bottom w:val="none" w:sz="0" w:space="0" w:color="auto"/>
                    <w:right w:val="none" w:sz="0" w:space="0" w:color="auto"/>
                  </w:divBdr>
                  <w:divsChild>
                    <w:div w:id="318074179">
                      <w:marLeft w:val="0"/>
                      <w:marRight w:val="0"/>
                      <w:marTop w:val="0"/>
                      <w:marBottom w:val="0"/>
                      <w:divBdr>
                        <w:top w:val="none" w:sz="0" w:space="0" w:color="auto"/>
                        <w:left w:val="none" w:sz="0" w:space="0" w:color="auto"/>
                        <w:bottom w:val="none" w:sz="0" w:space="0" w:color="auto"/>
                        <w:right w:val="none" w:sz="0" w:space="0" w:color="auto"/>
                      </w:divBdr>
                    </w:div>
                  </w:divsChild>
                </w:div>
                <w:div w:id="2030569935">
                  <w:marLeft w:val="0"/>
                  <w:marRight w:val="0"/>
                  <w:marTop w:val="0"/>
                  <w:marBottom w:val="0"/>
                  <w:divBdr>
                    <w:top w:val="none" w:sz="0" w:space="0" w:color="auto"/>
                    <w:left w:val="none" w:sz="0" w:space="0" w:color="auto"/>
                    <w:bottom w:val="none" w:sz="0" w:space="0" w:color="auto"/>
                    <w:right w:val="none" w:sz="0" w:space="0" w:color="auto"/>
                  </w:divBdr>
                  <w:divsChild>
                    <w:div w:id="13215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3295">
          <w:marLeft w:val="0"/>
          <w:marRight w:val="0"/>
          <w:marTop w:val="0"/>
          <w:marBottom w:val="0"/>
          <w:divBdr>
            <w:top w:val="none" w:sz="0" w:space="0" w:color="auto"/>
            <w:left w:val="none" w:sz="0" w:space="0" w:color="auto"/>
            <w:bottom w:val="none" w:sz="0" w:space="0" w:color="auto"/>
            <w:right w:val="none" w:sz="0" w:space="0" w:color="auto"/>
          </w:divBdr>
        </w:div>
        <w:div w:id="1620795910">
          <w:marLeft w:val="0"/>
          <w:marRight w:val="0"/>
          <w:marTop w:val="0"/>
          <w:marBottom w:val="0"/>
          <w:divBdr>
            <w:top w:val="none" w:sz="0" w:space="0" w:color="auto"/>
            <w:left w:val="none" w:sz="0" w:space="0" w:color="auto"/>
            <w:bottom w:val="none" w:sz="0" w:space="0" w:color="auto"/>
            <w:right w:val="none" w:sz="0" w:space="0" w:color="auto"/>
          </w:divBdr>
        </w:div>
        <w:div w:id="1658613358">
          <w:marLeft w:val="0"/>
          <w:marRight w:val="0"/>
          <w:marTop w:val="0"/>
          <w:marBottom w:val="0"/>
          <w:divBdr>
            <w:top w:val="none" w:sz="0" w:space="0" w:color="auto"/>
            <w:left w:val="none" w:sz="0" w:space="0" w:color="auto"/>
            <w:bottom w:val="none" w:sz="0" w:space="0" w:color="auto"/>
            <w:right w:val="none" w:sz="0" w:space="0" w:color="auto"/>
          </w:divBdr>
          <w:divsChild>
            <w:div w:id="1327711966">
              <w:marLeft w:val="0"/>
              <w:marRight w:val="0"/>
              <w:marTop w:val="30"/>
              <w:marBottom w:val="30"/>
              <w:divBdr>
                <w:top w:val="none" w:sz="0" w:space="0" w:color="auto"/>
                <w:left w:val="none" w:sz="0" w:space="0" w:color="auto"/>
                <w:bottom w:val="none" w:sz="0" w:space="0" w:color="auto"/>
                <w:right w:val="none" w:sz="0" w:space="0" w:color="auto"/>
              </w:divBdr>
              <w:divsChild>
                <w:div w:id="860629547">
                  <w:marLeft w:val="0"/>
                  <w:marRight w:val="0"/>
                  <w:marTop w:val="0"/>
                  <w:marBottom w:val="0"/>
                  <w:divBdr>
                    <w:top w:val="none" w:sz="0" w:space="0" w:color="auto"/>
                    <w:left w:val="none" w:sz="0" w:space="0" w:color="auto"/>
                    <w:bottom w:val="none" w:sz="0" w:space="0" w:color="auto"/>
                    <w:right w:val="none" w:sz="0" w:space="0" w:color="auto"/>
                  </w:divBdr>
                  <w:divsChild>
                    <w:div w:id="1629362162">
                      <w:marLeft w:val="0"/>
                      <w:marRight w:val="0"/>
                      <w:marTop w:val="0"/>
                      <w:marBottom w:val="0"/>
                      <w:divBdr>
                        <w:top w:val="none" w:sz="0" w:space="0" w:color="auto"/>
                        <w:left w:val="none" w:sz="0" w:space="0" w:color="auto"/>
                        <w:bottom w:val="none" w:sz="0" w:space="0" w:color="auto"/>
                        <w:right w:val="none" w:sz="0" w:space="0" w:color="auto"/>
                      </w:divBdr>
                    </w:div>
                  </w:divsChild>
                </w:div>
                <w:div w:id="1111700526">
                  <w:marLeft w:val="0"/>
                  <w:marRight w:val="0"/>
                  <w:marTop w:val="0"/>
                  <w:marBottom w:val="0"/>
                  <w:divBdr>
                    <w:top w:val="none" w:sz="0" w:space="0" w:color="auto"/>
                    <w:left w:val="none" w:sz="0" w:space="0" w:color="auto"/>
                    <w:bottom w:val="none" w:sz="0" w:space="0" w:color="auto"/>
                    <w:right w:val="none" w:sz="0" w:space="0" w:color="auto"/>
                  </w:divBdr>
                  <w:divsChild>
                    <w:div w:id="1477071492">
                      <w:marLeft w:val="0"/>
                      <w:marRight w:val="0"/>
                      <w:marTop w:val="0"/>
                      <w:marBottom w:val="0"/>
                      <w:divBdr>
                        <w:top w:val="none" w:sz="0" w:space="0" w:color="auto"/>
                        <w:left w:val="none" w:sz="0" w:space="0" w:color="auto"/>
                        <w:bottom w:val="none" w:sz="0" w:space="0" w:color="auto"/>
                        <w:right w:val="none" w:sz="0" w:space="0" w:color="auto"/>
                      </w:divBdr>
                    </w:div>
                  </w:divsChild>
                </w:div>
                <w:div w:id="1692098696">
                  <w:marLeft w:val="0"/>
                  <w:marRight w:val="0"/>
                  <w:marTop w:val="0"/>
                  <w:marBottom w:val="0"/>
                  <w:divBdr>
                    <w:top w:val="none" w:sz="0" w:space="0" w:color="auto"/>
                    <w:left w:val="none" w:sz="0" w:space="0" w:color="auto"/>
                    <w:bottom w:val="none" w:sz="0" w:space="0" w:color="auto"/>
                    <w:right w:val="none" w:sz="0" w:space="0" w:color="auto"/>
                  </w:divBdr>
                  <w:divsChild>
                    <w:div w:id="18488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7538">
          <w:marLeft w:val="0"/>
          <w:marRight w:val="0"/>
          <w:marTop w:val="0"/>
          <w:marBottom w:val="0"/>
          <w:divBdr>
            <w:top w:val="none" w:sz="0" w:space="0" w:color="auto"/>
            <w:left w:val="none" w:sz="0" w:space="0" w:color="auto"/>
            <w:bottom w:val="none" w:sz="0" w:space="0" w:color="auto"/>
            <w:right w:val="none" w:sz="0" w:space="0" w:color="auto"/>
          </w:divBdr>
          <w:divsChild>
            <w:div w:id="756244649">
              <w:marLeft w:val="0"/>
              <w:marRight w:val="0"/>
              <w:marTop w:val="30"/>
              <w:marBottom w:val="30"/>
              <w:divBdr>
                <w:top w:val="none" w:sz="0" w:space="0" w:color="auto"/>
                <w:left w:val="none" w:sz="0" w:space="0" w:color="auto"/>
                <w:bottom w:val="none" w:sz="0" w:space="0" w:color="auto"/>
                <w:right w:val="none" w:sz="0" w:space="0" w:color="auto"/>
              </w:divBdr>
              <w:divsChild>
                <w:div w:id="14353025">
                  <w:marLeft w:val="0"/>
                  <w:marRight w:val="0"/>
                  <w:marTop w:val="0"/>
                  <w:marBottom w:val="0"/>
                  <w:divBdr>
                    <w:top w:val="none" w:sz="0" w:space="0" w:color="auto"/>
                    <w:left w:val="none" w:sz="0" w:space="0" w:color="auto"/>
                    <w:bottom w:val="none" w:sz="0" w:space="0" w:color="auto"/>
                    <w:right w:val="none" w:sz="0" w:space="0" w:color="auto"/>
                  </w:divBdr>
                  <w:divsChild>
                    <w:div w:id="511644897">
                      <w:marLeft w:val="0"/>
                      <w:marRight w:val="0"/>
                      <w:marTop w:val="0"/>
                      <w:marBottom w:val="0"/>
                      <w:divBdr>
                        <w:top w:val="none" w:sz="0" w:space="0" w:color="auto"/>
                        <w:left w:val="none" w:sz="0" w:space="0" w:color="auto"/>
                        <w:bottom w:val="none" w:sz="0" w:space="0" w:color="auto"/>
                        <w:right w:val="none" w:sz="0" w:space="0" w:color="auto"/>
                      </w:divBdr>
                    </w:div>
                  </w:divsChild>
                </w:div>
                <w:div w:id="173764889">
                  <w:marLeft w:val="0"/>
                  <w:marRight w:val="0"/>
                  <w:marTop w:val="0"/>
                  <w:marBottom w:val="0"/>
                  <w:divBdr>
                    <w:top w:val="none" w:sz="0" w:space="0" w:color="auto"/>
                    <w:left w:val="none" w:sz="0" w:space="0" w:color="auto"/>
                    <w:bottom w:val="none" w:sz="0" w:space="0" w:color="auto"/>
                    <w:right w:val="none" w:sz="0" w:space="0" w:color="auto"/>
                  </w:divBdr>
                  <w:divsChild>
                    <w:div w:id="1392540130">
                      <w:marLeft w:val="0"/>
                      <w:marRight w:val="0"/>
                      <w:marTop w:val="0"/>
                      <w:marBottom w:val="0"/>
                      <w:divBdr>
                        <w:top w:val="none" w:sz="0" w:space="0" w:color="auto"/>
                        <w:left w:val="none" w:sz="0" w:space="0" w:color="auto"/>
                        <w:bottom w:val="none" w:sz="0" w:space="0" w:color="auto"/>
                        <w:right w:val="none" w:sz="0" w:space="0" w:color="auto"/>
                      </w:divBdr>
                    </w:div>
                  </w:divsChild>
                </w:div>
                <w:div w:id="488130783">
                  <w:marLeft w:val="0"/>
                  <w:marRight w:val="0"/>
                  <w:marTop w:val="0"/>
                  <w:marBottom w:val="0"/>
                  <w:divBdr>
                    <w:top w:val="none" w:sz="0" w:space="0" w:color="auto"/>
                    <w:left w:val="none" w:sz="0" w:space="0" w:color="auto"/>
                    <w:bottom w:val="none" w:sz="0" w:space="0" w:color="auto"/>
                    <w:right w:val="none" w:sz="0" w:space="0" w:color="auto"/>
                  </w:divBdr>
                  <w:divsChild>
                    <w:div w:id="2076009213">
                      <w:marLeft w:val="0"/>
                      <w:marRight w:val="0"/>
                      <w:marTop w:val="0"/>
                      <w:marBottom w:val="0"/>
                      <w:divBdr>
                        <w:top w:val="none" w:sz="0" w:space="0" w:color="auto"/>
                        <w:left w:val="none" w:sz="0" w:space="0" w:color="auto"/>
                        <w:bottom w:val="none" w:sz="0" w:space="0" w:color="auto"/>
                        <w:right w:val="none" w:sz="0" w:space="0" w:color="auto"/>
                      </w:divBdr>
                    </w:div>
                  </w:divsChild>
                </w:div>
                <w:div w:id="951277971">
                  <w:marLeft w:val="0"/>
                  <w:marRight w:val="0"/>
                  <w:marTop w:val="0"/>
                  <w:marBottom w:val="0"/>
                  <w:divBdr>
                    <w:top w:val="none" w:sz="0" w:space="0" w:color="auto"/>
                    <w:left w:val="none" w:sz="0" w:space="0" w:color="auto"/>
                    <w:bottom w:val="none" w:sz="0" w:space="0" w:color="auto"/>
                    <w:right w:val="none" w:sz="0" w:space="0" w:color="auto"/>
                  </w:divBdr>
                  <w:divsChild>
                    <w:div w:id="1800880354">
                      <w:marLeft w:val="0"/>
                      <w:marRight w:val="0"/>
                      <w:marTop w:val="0"/>
                      <w:marBottom w:val="0"/>
                      <w:divBdr>
                        <w:top w:val="none" w:sz="0" w:space="0" w:color="auto"/>
                        <w:left w:val="none" w:sz="0" w:space="0" w:color="auto"/>
                        <w:bottom w:val="none" w:sz="0" w:space="0" w:color="auto"/>
                        <w:right w:val="none" w:sz="0" w:space="0" w:color="auto"/>
                      </w:divBdr>
                    </w:div>
                  </w:divsChild>
                </w:div>
                <w:div w:id="1801219502">
                  <w:marLeft w:val="0"/>
                  <w:marRight w:val="0"/>
                  <w:marTop w:val="0"/>
                  <w:marBottom w:val="0"/>
                  <w:divBdr>
                    <w:top w:val="none" w:sz="0" w:space="0" w:color="auto"/>
                    <w:left w:val="none" w:sz="0" w:space="0" w:color="auto"/>
                    <w:bottom w:val="none" w:sz="0" w:space="0" w:color="auto"/>
                    <w:right w:val="none" w:sz="0" w:space="0" w:color="auto"/>
                  </w:divBdr>
                  <w:divsChild>
                    <w:div w:id="1308822238">
                      <w:marLeft w:val="0"/>
                      <w:marRight w:val="0"/>
                      <w:marTop w:val="0"/>
                      <w:marBottom w:val="0"/>
                      <w:divBdr>
                        <w:top w:val="none" w:sz="0" w:space="0" w:color="auto"/>
                        <w:left w:val="none" w:sz="0" w:space="0" w:color="auto"/>
                        <w:bottom w:val="none" w:sz="0" w:space="0" w:color="auto"/>
                        <w:right w:val="none" w:sz="0" w:space="0" w:color="auto"/>
                      </w:divBdr>
                    </w:div>
                    <w:div w:id="197259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7035">
          <w:marLeft w:val="0"/>
          <w:marRight w:val="0"/>
          <w:marTop w:val="0"/>
          <w:marBottom w:val="0"/>
          <w:divBdr>
            <w:top w:val="none" w:sz="0" w:space="0" w:color="auto"/>
            <w:left w:val="none" w:sz="0" w:space="0" w:color="auto"/>
            <w:bottom w:val="none" w:sz="0" w:space="0" w:color="auto"/>
            <w:right w:val="none" w:sz="0" w:space="0" w:color="auto"/>
          </w:divBdr>
        </w:div>
        <w:div w:id="2097902905">
          <w:marLeft w:val="0"/>
          <w:marRight w:val="0"/>
          <w:marTop w:val="0"/>
          <w:marBottom w:val="0"/>
          <w:divBdr>
            <w:top w:val="none" w:sz="0" w:space="0" w:color="auto"/>
            <w:left w:val="none" w:sz="0" w:space="0" w:color="auto"/>
            <w:bottom w:val="none" w:sz="0" w:space="0" w:color="auto"/>
            <w:right w:val="none" w:sz="0" w:space="0" w:color="auto"/>
          </w:divBdr>
        </w:div>
      </w:divsChild>
    </w:div>
    <w:div w:id="395981294">
      <w:bodyDiv w:val="1"/>
      <w:marLeft w:val="0"/>
      <w:marRight w:val="0"/>
      <w:marTop w:val="0"/>
      <w:marBottom w:val="0"/>
      <w:divBdr>
        <w:top w:val="none" w:sz="0" w:space="0" w:color="auto"/>
        <w:left w:val="none" w:sz="0" w:space="0" w:color="auto"/>
        <w:bottom w:val="none" w:sz="0" w:space="0" w:color="auto"/>
        <w:right w:val="none" w:sz="0" w:space="0" w:color="auto"/>
      </w:divBdr>
    </w:div>
    <w:div w:id="423763378">
      <w:bodyDiv w:val="1"/>
      <w:marLeft w:val="0"/>
      <w:marRight w:val="0"/>
      <w:marTop w:val="0"/>
      <w:marBottom w:val="0"/>
      <w:divBdr>
        <w:top w:val="none" w:sz="0" w:space="0" w:color="auto"/>
        <w:left w:val="none" w:sz="0" w:space="0" w:color="auto"/>
        <w:bottom w:val="none" w:sz="0" w:space="0" w:color="auto"/>
        <w:right w:val="none" w:sz="0" w:space="0" w:color="auto"/>
      </w:divBdr>
    </w:div>
    <w:div w:id="889730056">
      <w:bodyDiv w:val="1"/>
      <w:marLeft w:val="0"/>
      <w:marRight w:val="0"/>
      <w:marTop w:val="0"/>
      <w:marBottom w:val="0"/>
      <w:divBdr>
        <w:top w:val="none" w:sz="0" w:space="0" w:color="auto"/>
        <w:left w:val="none" w:sz="0" w:space="0" w:color="auto"/>
        <w:bottom w:val="none" w:sz="0" w:space="0" w:color="auto"/>
        <w:right w:val="none" w:sz="0" w:space="0" w:color="auto"/>
      </w:divBdr>
    </w:div>
    <w:div w:id="1170096437">
      <w:bodyDiv w:val="1"/>
      <w:marLeft w:val="0"/>
      <w:marRight w:val="0"/>
      <w:marTop w:val="0"/>
      <w:marBottom w:val="0"/>
      <w:divBdr>
        <w:top w:val="none" w:sz="0" w:space="0" w:color="auto"/>
        <w:left w:val="none" w:sz="0" w:space="0" w:color="auto"/>
        <w:bottom w:val="none" w:sz="0" w:space="0" w:color="auto"/>
        <w:right w:val="none" w:sz="0" w:space="0" w:color="auto"/>
      </w:divBdr>
      <w:divsChild>
        <w:div w:id="74743256">
          <w:marLeft w:val="0"/>
          <w:marRight w:val="0"/>
          <w:marTop w:val="0"/>
          <w:marBottom w:val="0"/>
          <w:divBdr>
            <w:top w:val="none" w:sz="0" w:space="0" w:color="auto"/>
            <w:left w:val="none" w:sz="0" w:space="0" w:color="auto"/>
            <w:bottom w:val="none" w:sz="0" w:space="0" w:color="auto"/>
            <w:right w:val="none" w:sz="0" w:space="0" w:color="auto"/>
          </w:divBdr>
        </w:div>
        <w:div w:id="115948740">
          <w:marLeft w:val="0"/>
          <w:marRight w:val="0"/>
          <w:marTop w:val="0"/>
          <w:marBottom w:val="0"/>
          <w:divBdr>
            <w:top w:val="none" w:sz="0" w:space="0" w:color="auto"/>
            <w:left w:val="none" w:sz="0" w:space="0" w:color="auto"/>
            <w:bottom w:val="none" w:sz="0" w:space="0" w:color="auto"/>
            <w:right w:val="none" w:sz="0" w:space="0" w:color="auto"/>
          </w:divBdr>
          <w:divsChild>
            <w:div w:id="313729420">
              <w:marLeft w:val="0"/>
              <w:marRight w:val="0"/>
              <w:marTop w:val="30"/>
              <w:marBottom w:val="30"/>
              <w:divBdr>
                <w:top w:val="none" w:sz="0" w:space="0" w:color="auto"/>
                <w:left w:val="none" w:sz="0" w:space="0" w:color="auto"/>
                <w:bottom w:val="none" w:sz="0" w:space="0" w:color="auto"/>
                <w:right w:val="none" w:sz="0" w:space="0" w:color="auto"/>
              </w:divBdr>
              <w:divsChild>
                <w:div w:id="276001">
                  <w:marLeft w:val="0"/>
                  <w:marRight w:val="0"/>
                  <w:marTop w:val="0"/>
                  <w:marBottom w:val="0"/>
                  <w:divBdr>
                    <w:top w:val="none" w:sz="0" w:space="0" w:color="auto"/>
                    <w:left w:val="none" w:sz="0" w:space="0" w:color="auto"/>
                    <w:bottom w:val="none" w:sz="0" w:space="0" w:color="auto"/>
                    <w:right w:val="none" w:sz="0" w:space="0" w:color="auto"/>
                  </w:divBdr>
                  <w:divsChild>
                    <w:div w:id="2053115858">
                      <w:marLeft w:val="0"/>
                      <w:marRight w:val="0"/>
                      <w:marTop w:val="0"/>
                      <w:marBottom w:val="0"/>
                      <w:divBdr>
                        <w:top w:val="none" w:sz="0" w:space="0" w:color="auto"/>
                        <w:left w:val="none" w:sz="0" w:space="0" w:color="auto"/>
                        <w:bottom w:val="none" w:sz="0" w:space="0" w:color="auto"/>
                        <w:right w:val="none" w:sz="0" w:space="0" w:color="auto"/>
                      </w:divBdr>
                    </w:div>
                  </w:divsChild>
                </w:div>
                <w:div w:id="66732414">
                  <w:marLeft w:val="0"/>
                  <w:marRight w:val="0"/>
                  <w:marTop w:val="0"/>
                  <w:marBottom w:val="0"/>
                  <w:divBdr>
                    <w:top w:val="none" w:sz="0" w:space="0" w:color="auto"/>
                    <w:left w:val="none" w:sz="0" w:space="0" w:color="auto"/>
                    <w:bottom w:val="none" w:sz="0" w:space="0" w:color="auto"/>
                    <w:right w:val="none" w:sz="0" w:space="0" w:color="auto"/>
                  </w:divBdr>
                  <w:divsChild>
                    <w:div w:id="160508778">
                      <w:marLeft w:val="0"/>
                      <w:marRight w:val="0"/>
                      <w:marTop w:val="0"/>
                      <w:marBottom w:val="0"/>
                      <w:divBdr>
                        <w:top w:val="none" w:sz="0" w:space="0" w:color="auto"/>
                        <w:left w:val="none" w:sz="0" w:space="0" w:color="auto"/>
                        <w:bottom w:val="none" w:sz="0" w:space="0" w:color="auto"/>
                        <w:right w:val="none" w:sz="0" w:space="0" w:color="auto"/>
                      </w:divBdr>
                    </w:div>
                  </w:divsChild>
                </w:div>
                <w:div w:id="356346210">
                  <w:marLeft w:val="0"/>
                  <w:marRight w:val="0"/>
                  <w:marTop w:val="0"/>
                  <w:marBottom w:val="0"/>
                  <w:divBdr>
                    <w:top w:val="none" w:sz="0" w:space="0" w:color="auto"/>
                    <w:left w:val="none" w:sz="0" w:space="0" w:color="auto"/>
                    <w:bottom w:val="none" w:sz="0" w:space="0" w:color="auto"/>
                    <w:right w:val="none" w:sz="0" w:space="0" w:color="auto"/>
                  </w:divBdr>
                  <w:divsChild>
                    <w:div w:id="2079939517">
                      <w:marLeft w:val="0"/>
                      <w:marRight w:val="0"/>
                      <w:marTop w:val="0"/>
                      <w:marBottom w:val="0"/>
                      <w:divBdr>
                        <w:top w:val="none" w:sz="0" w:space="0" w:color="auto"/>
                        <w:left w:val="none" w:sz="0" w:space="0" w:color="auto"/>
                        <w:bottom w:val="none" w:sz="0" w:space="0" w:color="auto"/>
                        <w:right w:val="none" w:sz="0" w:space="0" w:color="auto"/>
                      </w:divBdr>
                    </w:div>
                  </w:divsChild>
                </w:div>
                <w:div w:id="784541726">
                  <w:marLeft w:val="0"/>
                  <w:marRight w:val="0"/>
                  <w:marTop w:val="0"/>
                  <w:marBottom w:val="0"/>
                  <w:divBdr>
                    <w:top w:val="none" w:sz="0" w:space="0" w:color="auto"/>
                    <w:left w:val="none" w:sz="0" w:space="0" w:color="auto"/>
                    <w:bottom w:val="none" w:sz="0" w:space="0" w:color="auto"/>
                    <w:right w:val="none" w:sz="0" w:space="0" w:color="auto"/>
                  </w:divBdr>
                  <w:divsChild>
                    <w:div w:id="1678730705">
                      <w:marLeft w:val="0"/>
                      <w:marRight w:val="0"/>
                      <w:marTop w:val="0"/>
                      <w:marBottom w:val="0"/>
                      <w:divBdr>
                        <w:top w:val="none" w:sz="0" w:space="0" w:color="auto"/>
                        <w:left w:val="none" w:sz="0" w:space="0" w:color="auto"/>
                        <w:bottom w:val="none" w:sz="0" w:space="0" w:color="auto"/>
                        <w:right w:val="none" w:sz="0" w:space="0" w:color="auto"/>
                      </w:divBdr>
                    </w:div>
                  </w:divsChild>
                </w:div>
                <w:div w:id="882059713">
                  <w:marLeft w:val="0"/>
                  <w:marRight w:val="0"/>
                  <w:marTop w:val="0"/>
                  <w:marBottom w:val="0"/>
                  <w:divBdr>
                    <w:top w:val="none" w:sz="0" w:space="0" w:color="auto"/>
                    <w:left w:val="none" w:sz="0" w:space="0" w:color="auto"/>
                    <w:bottom w:val="none" w:sz="0" w:space="0" w:color="auto"/>
                    <w:right w:val="none" w:sz="0" w:space="0" w:color="auto"/>
                  </w:divBdr>
                  <w:divsChild>
                    <w:div w:id="915162965">
                      <w:marLeft w:val="0"/>
                      <w:marRight w:val="0"/>
                      <w:marTop w:val="0"/>
                      <w:marBottom w:val="0"/>
                      <w:divBdr>
                        <w:top w:val="none" w:sz="0" w:space="0" w:color="auto"/>
                        <w:left w:val="none" w:sz="0" w:space="0" w:color="auto"/>
                        <w:bottom w:val="none" w:sz="0" w:space="0" w:color="auto"/>
                        <w:right w:val="none" w:sz="0" w:space="0" w:color="auto"/>
                      </w:divBdr>
                    </w:div>
                  </w:divsChild>
                </w:div>
                <w:div w:id="1760834887">
                  <w:marLeft w:val="0"/>
                  <w:marRight w:val="0"/>
                  <w:marTop w:val="0"/>
                  <w:marBottom w:val="0"/>
                  <w:divBdr>
                    <w:top w:val="none" w:sz="0" w:space="0" w:color="auto"/>
                    <w:left w:val="none" w:sz="0" w:space="0" w:color="auto"/>
                    <w:bottom w:val="none" w:sz="0" w:space="0" w:color="auto"/>
                    <w:right w:val="none" w:sz="0" w:space="0" w:color="auto"/>
                  </w:divBdr>
                  <w:divsChild>
                    <w:div w:id="1865360773">
                      <w:marLeft w:val="0"/>
                      <w:marRight w:val="0"/>
                      <w:marTop w:val="0"/>
                      <w:marBottom w:val="0"/>
                      <w:divBdr>
                        <w:top w:val="none" w:sz="0" w:space="0" w:color="auto"/>
                        <w:left w:val="none" w:sz="0" w:space="0" w:color="auto"/>
                        <w:bottom w:val="none" w:sz="0" w:space="0" w:color="auto"/>
                        <w:right w:val="none" w:sz="0" w:space="0" w:color="auto"/>
                      </w:divBdr>
                    </w:div>
                  </w:divsChild>
                </w:div>
                <w:div w:id="1763843355">
                  <w:marLeft w:val="0"/>
                  <w:marRight w:val="0"/>
                  <w:marTop w:val="0"/>
                  <w:marBottom w:val="0"/>
                  <w:divBdr>
                    <w:top w:val="none" w:sz="0" w:space="0" w:color="auto"/>
                    <w:left w:val="none" w:sz="0" w:space="0" w:color="auto"/>
                    <w:bottom w:val="none" w:sz="0" w:space="0" w:color="auto"/>
                    <w:right w:val="none" w:sz="0" w:space="0" w:color="auto"/>
                  </w:divBdr>
                  <w:divsChild>
                    <w:div w:id="586378100">
                      <w:marLeft w:val="0"/>
                      <w:marRight w:val="0"/>
                      <w:marTop w:val="0"/>
                      <w:marBottom w:val="0"/>
                      <w:divBdr>
                        <w:top w:val="none" w:sz="0" w:space="0" w:color="auto"/>
                        <w:left w:val="none" w:sz="0" w:space="0" w:color="auto"/>
                        <w:bottom w:val="none" w:sz="0" w:space="0" w:color="auto"/>
                        <w:right w:val="none" w:sz="0" w:space="0" w:color="auto"/>
                      </w:divBdr>
                    </w:div>
                  </w:divsChild>
                </w:div>
                <w:div w:id="1875801699">
                  <w:marLeft w:val="0"/>
                  <w:marRight w:val="0"/>
                  <w:marTop w:val="0"/>
                  <w:marBottom w:val="0"/>
                  <w:divBdr>
                    <w:top w:val="none" w:sz="0" w:space="0" w:color="auto"/>
                    <w:left w:val="none" w:sz="0" w:space="0" w:color="auto"/>
                    <w:bottom w:val="none" w:sz="0" w:space="0" w:color="auto"/>
                    <w:right w:val="none" w:sz="0" w:space="0" w:color="auto"/>
                  </w:divBdr>
                  <w:divsChild>
                    <w:div w:id="513688290">
                      <w:marLeft w:val="0"/>
                      <w:marRight w:val="0"/>
                      <w:marTop w:val="0"/>
                      <w:marBottom w:val="0"/>
                      <w:divBdr>
                        <w:top w:val="none" w:sz="0" w:space="0" w:color="auto"/>
                        <w:left w:val="none" w:sz="0" w:space="0" w:color="auto"/>
                        <w:bottom w:val="none" w:sz="0" w:space="0" w:color="auto"/>
                        <w:right w:val="none" w:sz="0" w:space="0" w:color="auto"/>
                      </w:divBdr>
                    </w:div>
                  </w:divsChild>
                </w:div>
                <w:div w:id="1968924204">
                  <w:marLeft w:val="0"/>
                  <w:marRight w:val="0"/>
                  <w:marTop w:val="0"/>
                  <w:marBottom w:val="0"/>
                  <w:divBdr>
                    <w:top w:val="none" w:sz="0" w:space="0" w:color="auto"/>
                    <w:left w:val="none" w:sz="0" w:space="0" w:color="auto"/>
                    <w:bottom w:val="none" w:sz="0" w:space="0" w:color="auto"/>
                    <w:right w:val="none" w:sz="0" w:space="0" w:color="auto"/>
                  </w:divBdr>
                  <w:divsChild>
                    <w:div w:id="2361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6645">
          <w:marLeft w:val="0"/>
          <w:marRight w:val="0"/>
          <w:marTop w:val="0"/>
          <w:marBottom w:val="0"/>
          <w:divBdr>
            <w:top w:val="none" w:sz="0" w:space="0" w:color="auto"/>
            <w:left w:val="none" w:sz="0" w:space="0" w:color="auto"/>
            <w:bottom w:val="none" w:sz="0" w:space="0" w:color="auto"/>
            <w:right w:val="none" w:sz="0" w:space="0" w:color="auto"/>
          </w:divBdr>
        </w:div>
        <w:div w:id="539048275">
          <w:marLeft w:val="0"/>
          <w:marRight w:val="0"/>
          <w:marTop w:val="0"/>
          <w:marBottom w:val="0"/>
          <w:divBdr>
            <w:top w:val="none" w:sz="0" w:space="0" w:color="auto"/>
            <w:left w:val="none" w:sz="0" w:space="0" w:color="auto"/>
            <w:bottom w:val="none" w:sz="0" w:space="0" w:color="auto"/>
            <w:right w:val="none" w:sz="0" w:space="0" w:color="auto"/>
          </w:divBdr>
          <w:divsChild>
            <w:div w:id="1126849496">
              <w:marLeft w:val="0"/>
              <w:marRight w:val="0"/>
              <w:marTop w:val="30"/>
              <w:marBottom w:val="30"/>
              <w:divBdr>
                <w:top w:val="none" w:sz="0" w:space="0" w:color="auto"/>
                <w:left w:val="none" w:sz="0" w:space="0" w:color="auto"/>
                <w:bottom w:val="none" w:sz="0" w:space="0" w:color="auto"/>
                <w:right w:val="none" w:sz="0" w:space="0" w:color="auto"/>
              </w:divBdr>
              <w:divsChild>
                <w:div w:id="625817708">
                  <w:marLeft w:val="0"/>
                  <w:marRight w:val="0"/>
                  <w:marTop w:val="0"/>
                  <w:marBottom w:val="0"/>
                  <w:divBdr>
                    <w:top w:val="none" w:sz="0" w:space="0" w:color="auto"/>
                    <w:left w:val="none" w:sz="0" w:space="0" w:color="auto"/>
                    <w:bottom w:val="none" w:sz="0" w:space="0" w:color="auto"/>
                    <w:right w:val="none" w:sz="0" w:space="0" w:color="auto"/>
                  </w:divBdr>
                  <w:divsChild>
                    <w:div w:id="77530173">
                      <w:marLeft w:val="0"/>
                      <w:marRight w:val="0"/>
                      <w:marTop w:val="0"/>
                      <w:marBottom w:val="0"/>
                      <w:divBdr>
                        <w:top w:val="none" w:sz="0" w:space="0" w:color="auto"/>
                        <w:left w:val="none" w:sz="0" w:space="0" w:color="auto"/>
                        <w:bottom w:val="none" w:sz="0" w:space="0" w:color="auto"/>
                        <w:right w:val="none" w:sz="0" w:space="0" w:color="auto"/>
                      </w:divBdr>
                    </w:div>
                  </w:divsChild>
                </w:div>
                <w:div w:id="695891004">
                  <w:marLeft w:val="0"/>
                  <w:marRight w:val="0"/>
                  <w:marTop w:val="0"/>
                  <w:marBottom w:val="0"/>
                  <w:divBdr>
                    <w:top w:val="none" w:sz="0" w:space="0" w:color="auto"/>
                    <w:left w:val="none" w:sz="0" w:space="0" w:color="auto"/>
                    <w:bottom w:val="none" w:sz="0" w:space="0" w:color="auto"/>
                    <w:right w:val="none" w:sz="0" w:space="0" w:color="auto"/>
                  </w:divBdr>
                  <w:divsChild>
                    <w:div w:id="549221258">
                      <w:marLeft w:val="0"/>
                      <w:marRight w:val="0"/>
                      <w:marTop w:val="0"/>
                      <w:marBottom w:val="0"/>
                      <w:divBdr>
                        <w:top w:val="none" w:sz="0" w:space="0" w:color="auto"/>
                        <w:left w:val="none" w:sz="0" w:space="0" w:color="auto"/>
                        <w:bottom w:val="none" w:sz="0" w:space="0" w:color="auto"/>
                        <w:right w:val="none" w:sz="0" w:space="0" w:color="auto"/>
                      </w:divBdr>
                    </w:div>
                  </w:divsChild>
                </w:div>
                <w:div w:id="1065104264">
                  <w:marLeft w:val="0"/>
                  <w:marRight w:val="0"/>
                  <w:marTop w:val="0"/>
                  <w:marBottom w:val="0"/>
                  <w:divBdr>
                    <w:top w:val="none" w:sz="0" w:space="0" w:color="auto"/>
                    <w:left w:val="none" w:sz="0" w:space="0" w:color="auto"/>
                    <w:bottom w:val="none" w:sz="0" w:space="0" w:color="auto"/>
                    <w:right w:val="none" w:sz="0" w:space="0" w:color="auto"/>
                  </w:divBdr>
                  <w:divsChild>
                    <w:div w:id="22645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5248">
          <w:marLeft w:val="0"/>
          <w:marRight w:val="0"/>
          <w:marTop w:val="0"/>
          <w:marBottom w:val="0"/>
          <w:divBdr>
            <w:top w:val="none" w:sz="0" w:space="0" w:color="auto"/>
            <w:left w:val="none" w:sz="0" w:space="0" w:color="auto"/>
            <w:bottom w:val="none" w:sz="0" w:space="0" w:color="auto"/>
            <w:right w:val="none" w:sz="0" w:space="0" w:color="auto"/>
          </w:divBdr>
        </w:div>
        <w:div w:id="728499601">
          <w:marLeft w:val="0"/>
          <w:marRight w:val="0"/>
          <w:marTop w:val="0"/>
          <w:marBottom w:val="0"/>
          <w:divBdr>
            <w:top w:val="none" w:sz="0" w:space="0" w:color="auto"/>
            <w:left w:val="none" w:sz="0" w:space="0" w:color="auto"/>
            <w:bottom w:val="none" w:sz="0" w:space="0" w:color="auto"/>
            <w:right w:val="none" w:sz="0" w:space="0" w:color="auto"/>
          </w:divBdr>
        </w:div>
        <w:div w:id="862085665">
          <w:marLeft w:val="0"/>
          <w:marRight w:val="0"/>
          <w:marTop w:val="0"/>
          <w:marBottom w:val="0"/>
          <w:divBdr>
            <w:top w:val="none" w:sz="0" w:space="0" w:color="auto"/>
            <w:left w:val="none" w:sz="0" w:space="0" w:color="auto"/>
            <w:bottom w:val="none" w:sz="0" w:space="0" w:color="auto"/>
            <w:right w:val="none" w:sz="0" w:space="0" w:color="auto"/>
          </w:divBdr>
        </w:div>
        <w:div w:id="1222595106">
          <w:marLeft w:val="0"/>
          <w:marRight w:val="0"/>
          <w:marTop w:val="0"/>
          <w:marBottom w:val="0"/>
          <w:divBdr>
            <w:top w:val="none" w:sz="0" w:space="0" w:color="auto"/>
            <w:left w:val="none" w:sz="0" w:space="0" w:color="auto"/>
            <w:bottom w:val="none" w:sz="0" w:space="0" w:color="auto"/>
            <w:right w:val="none" w:sz="0" w:space="0" w:color="auto"/>
          </w:divBdr>
          <w:divsChild>
            <w:div w:id="1337272498">
              <w:marLeft w:val="0"/>
              <w:marRight w:val="0"/>
              <w:marTop w:val="30"/>
              <w:marBottom w:val="30"/>
              <w:divBdr>
                <w:top w:val="none" w:sz="0" w:space="0" w:color="auto"/>
                <w:left w:val="none" w:sz="0" w:space="0" w:color="auto"/>
                <w:bottom w:val="none" w:sz="0" w:space="0" w:color="auto"/>
                <w:right w:val="none" w:sz="0" w:space="0" w:color="auto"/>
              </w:divBdr>
              <w:divsChild>
                <w:div w:id="1317224208">
                  <w:marLeft w:val="0"/>
                  <w:marRight w:val="0"/>
                  <w:marTop w:val="0"/>
                  <w:marBottom w:val="0"/>
                  <w:divBdr>
                    <w:top w:val="none" w:sz="0" w:space="0" w:color="auto"/>
                    <w:left w:val="none" w:sz="0" w:space="0" w:color="auto"/>
                    <w:bottom w:val="none" w:sz="0" w:space="0" w:color="auto"/>
                    <w:right w:val="none" w:sz="0" w:space="0" w:color="auto"/>
                  </w:divBdr>
                  <w:divsChild>
                    <w:div w:id="1897619818">
                      <w:marLeft w:val="0"/>
                      <w:marRight w:val="0"/>
                      <w:marTop w:val="0"/>
                      <w:marBottom w:val="0"/>
                      <w:divBdr>
                        <w:top w:val="none" w:sz="0" w:space="0" w:color="auto"/>
                        <w:left w:val="none" w:sz="0" w:space="0" w:color="auto"/>
                        <w:bottom w:val="none" w:sz="0" w:space="0" w:color="auto"/>
                        <w:right w:val="none" w:sz="0" w:space="0" w:color="auto"/>
                      </w:divBdr>
                    </w:div>
                  </w:divsChild>
                </w:div>
                <w:div w:id="1696418943">
                  <w:marLeft w:val="0"/>
                  <w:marRight w:val="0"/>
                  <w:marTop w:val="0"/>
                  <w:marBottom w:val="0"/>
                  <w:divBdr>
                    <w:top w:val="none" w:sz="0" w:space="0" w:color="auto"/>
                    <w:left w:val="none" w:sz="0" w:space="0" w:color="auto"/>
                    <w:bottom w:val="none" w:sz="0" w:space="0" w:color="auto"/>
                    <w:right w:val="none" w:sz="0" w:space="0" w:color="auto"/>
                  </w:divBdr>
                  <w:divsChild>
                    <w:div w:id="15017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9952">
          <w:marLeft w:val="0"/>
          <w:marRight w:val="0"/>
          <w:marTop w:val="0"/>
          <w:marBottom w:val="0"/>
          <w:divBdr>
            <w:top w:val="none" w:sz="0" w:space="0" w:color="auto"/>
            <w:left w:val="none" w:sz="0" w:space="0" w:color="auto"/>
            <w:bottom w:val="none" w:sz="0" w:space="0" w:color="auto"/>
            <w:right w:val="none" w:sz="0" w:space="0" w:color="auto"/>
          </w:divBdr>
          <w:divsChild>
            <w:div w:id="959147094">
              <w:marLeft w:val="0"/>
              <w:marRight w:val="0"/>
              <w:marTop w:val="30"/>
              <w:marBottom w:val="30"/>
              <w:divBdr>
                <w:top w:val="none" w:sz="0" w:space="0" w:color="auto"/>
                <w:left w:val="none" w:sz="0" w:space="0" w:color="auto"/>
                <w:bottom w:val="none" w:sz="0" w:space="0" w:color="auto"/>
                <w:right w:val="none" w:sz="0" w:space="0" w:color="auto"/>
              </w:divBdr>
              <w:divsChild>
                <w:div w:id="552694072">
                  <w:marLeft w:val="0"/>
                  <w:marRight w:val="0"/>
                  <w:marTop w:val="0"/>
                  <w:marBottom w:val="0"/>
                  <w:divBdr>
                    <w:top w:val="none" w:sz="0" w:space="0" w:color="auto"/>
                    <w:left w:val="none" w:sz="0" w:space="0" w:color="auto"/>
                    <w:bottom w:val="none" w:sz="0" w:space="0" w:color="auto"/>
                    <w:right w:val="none" w:sz="0" w:space="0" w:color="auto"/>
                  </w:divBdr>
                  <w:divsChild>
                    <w:div w:id="1852598507">
                      <w:marLeft w:val="0"/>
                      <w:marRight w:val="0"/>
                      <w:marTop w:val="0"/>
                      <w:marBottom w:val="0"/>
                      <w:divBdr>
                        <w:top w:val="none" w:sz="0" w:space="0" w:color="auto"/>
                        <w:left w:val="none" w:sz="0" w:space="0" w:color="auto"/>
                        <w:bottom w:val="none" w:sz="0" w:space="0" w:color="auto"/>
                        <w:right w:val="none" w:sz="0" w:space="0" w:color="auto"/>
                      </w:divBdr>
                    </w:div>
                  </w:divsChild>
                </w:div>
                <w:div w:id="816068963">
                  <w:marLeft w:val="0"/>
                  <w:marRight w:val="0"/>
                  <w:marTop w:val="0"/>
                  <w:marBottom w:val="0"/>
                  <w:divBdr>
                    <w:top w:val="none" w:sz="0" w:space="0" w:color="auto"/>
                    <w:left w:val="none" w:sz="0" w:space="0" w:color="auto"/>
                    <w:bottom w:val="none" w:sz="0" w:space="0" w:color="auto"/>
                    <w:right w:val="none" w:sz="0" w:space="0" w:color="auto"/>
                  </w:divBdr>
                  <w:divsChild>
                    <w:div w:id="564994919">
                      <w:marLeft w:val="0"/>
                      <w:marRight w:val="0"/>
                      <w:marTop w:val="0"/>
                      <w:marBottom w:val="0"/>
                      <w:divBdr>
                        <w:top w:val="none" w:sz="0" w:space="0" w:color="auto"/>
                        <w:left w:val="none" w:sz="0" w:space="0" w:color="auto"/>
                        <w:bottom w:val="none" w:sz="0" w:space="0" w:color="auto"/>
                        <w:right w:val="none" w:sz="0" w:space="0" w:color="auto"/>
                      </w:divBdr>
                    </w:div>
                  </w:divsChild>
                </w:div>
                <w:div w:id="1754667251">
                  <w:marLeft w:val="0"/>
                  <w:marRight w:val="0"/>
                  <w:marTop w:val="0"/>
                  <w:marBottom w:val="0"/>
                  <w:divBdr>
                    <w:top w:val="none" w:sz="0" w:space="0" w:color="auto"/>
                    <w:left w:val="none" w:sz="0" w:space="0" w:color="auto"/>
                    <w:bottom w:val="none" w:sz="0" w:space="0" w:color="auto"/>
                    <w:right w:val="none" w:sz="0" w:space="0" w:color="auto"/>
                  </w:divBdr>
                  <w:divsChild>
                    <w:div w:id="1416515886">
                      <w:marLeft w:val="0"/>
                      <w:marRight w:val="0"/>
                      <w:marTop w:val="0"/>
                      <w:marBottom w:val="0"/>
                      <w:divBdr>
                        <w:top w:val="none" w:sz="0" w:space="0" w:color="auto"/>
                        <w:left w:val="none" w:sz="0" w:space="0" w:color="auto"/>
                        <w:bottom w:val="none" w:sz="0" w:space="0" w:color="auto"/>
                        <w:right w:val="none" w:sz="0" w:space="0" w:color="auto"/>
                      </w:divBdr>
                    </w:div>
                  </w:divsChild>
                </w:div>
                <w:div w:id="1814827142">
                  <w:marLeft w:val="0"/>
                  <w:marRight w:val="0"/>
                  <w:marTop w:val="0"/>
                  <w:marBottom w:val="0"/>
                  <w:divBdr>
                    <w:top w:val="none" w:sz="0" w:space="0" w:color="auto"/>
                    <w:left w:val="none" w:sz="0" w:space="0" w:color="auto"/>
                    <w:bottom w:val="none" w:sz="0" w:space="0" w:color="auto"/>
                    <w:right w:val="none" w:sz="0" w:space="0" w:color="auto"/>
                  </w:divBdr>
                  <w:divsChild>
                    <w:div w:id="1235894760">
                      <w:marLeft w:val="0"/>
                      <w:marRight w:val="0"/>
                      <w:marTop w:val="0"/>
                      <w:marBottom w:val="0"/>
                      <w:divBdr>
                        <w:top w:val="none" w:sz="0" w:space="0" w:color="auto"/>
                        <w:left w:val="none" w:sz="0" w:space="0" w:color="auto"/>
                        <w:bottom w:val="none" w:sz="0" w:space="0" w:color="auto"/>
                        <w:right w:val="none" w:sz="0" w:space="0" w:color="auto"/>
                      </w:divBdr>
                    </w:div>
                  </w:divsChild>
                </w:div>
                <w:div w:id="2140806662">
                  <w:marLeft w:val="0"/>
                  <w:marRight w:val="0"/>
                  <w:marTop w:val="0"/>
                  <w:marBottom w:val="0"/>
                  <w:divBdr>
                    <w:top w:val="none" w:sz="0" w:space="0" w:color="auto"/>
                    <w:left w:val="none" w:sz="0" w:space="0" w:color="auto"/>
                    <w:bottom w:val="none" w:sz="0" w:space="0" w:color="auto"/>
                    <w:right w:val="none" w:sz="0" w:space="0" w:color="auto"/>
                  </w:divBdr>
                  <w:divsChild>
                    <w:div w:id="7350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39277">
          <w:marLeft w:val="0"/>
          <w:marRight w:val="0"/>
          <w:marTop w:val="0"/>
          <w:marBottom w:val="0"/>
          <w:divBdr>
            <w:top w:val="none" w:sz="0" w:space="0" w:color="auto"/>
            <w:left w:val="none" w:sz="0" w:space="0" w:color="auto"/>
            <w:bottom w:val="none" w:sz="0" w:space="0" w:color="auto"/>
            <w:right w:val="none" w:sz="0" w:space="0" w:color="auto"/>
          </w:divBdr>
        </w:div>
        <w:div w:id="1425346859">
          <w:marLeft w:val="0"/>
          <w:marRight w:val="0"/>
          <w:marTop w:val="0"/>
          <w:marBottom w:val="0"/>
          <w:divBdr>
            <w:top w:val="none" w:sz="0" w:space="0" w:color="auto"/>
            <w:left w:val="none" w:sz="0" w:space="0" w:color="auto"/>
            <w:bottom w:val="none" w:sz="0" w:space="0" w:color="auto"/>
            <w:right w:val="none" w:sz="0" w:space="0" w:color="auto"/>
          </w:divBdr>
          <w:divsChild>
            <w:div w:id="994801461">
              <w:marLeft w:val="0"/>
              <w:marRight w:val="0"/>
              <w:marTop w:val="30"/>
              <w:marBottom w:val="30"/>
              <w:divBdr>
                <w:top w:val="none" w:sz="0" w:space="0" w:color="auto"/>
                <w:left w:val="none" w:sz="0" w:space="0" w:color="auto"/>
                <w:bottom w:val="none" w:sz="0" w:space="0" w:color="auto"/>
                <w:right w:val="none" w:sz="0" w:space="0" w:color="auto"/>
              </w:divBdr>
              <w:divsChild>
                <w:div w:id="253590017">
                  <w:marLeft w:val="0"/>
                  <w:marRight w:val="0"/>
                  <w:marTop w:val="0"/>
                  <w:marBottom w:val="0"/>
                  <w:divBdr>
                    <w:top w:val="none" w:sz="0" w:space="0" w:color="auto"/>
                    <w:left w:val="none" w:sz="0" w:space="0" w:color="auto"/>
                    <w:bottom w:val="none" w:sz="0" w:space="0" w:color="auto"/>
                    <w:right w:val="none" w:sz="0" w:space="0" w:color="auto"/>
                  </w:divBdr>
                  <w:divsChild>
                    <w:div w:id="1925339743">
                      <w:marLeft w:val="0"/>
                      <w:marRight w:val="0"/>
                      <w:marTop w:val="0"/>
                      <w:marBottom w:val="0"/>
                      <w:divBdr>
                        <w:top w:val="none" w:sz="0" w:space="0" w:color="auto"/>
                        <w:left w:val="none" w:sz="0" w:space="0" w:color="auto"/>
                        <w:bottom w:val="none" w:sz="0" w:space="0" w:color="auto"/>
                        <w:right w:val="none" w:sz="0" w:space="0" w:color="auto"/>
                      </w:divBdr>
                    </w:div>
                  </w:divsChild>
                </w:div>
                <w:div w:id="332226128">
                  <w:marLeft w:val="0"/>
                  <w:marRight w:val="0"/>
                  <w:marTop w:val="0"/>
                  <w:marBottom w:val="0"/>
                  <w:divBdr>
                    <w:top w:val="none" w:sz="0" w:space="0" w:color="auto"/>
                    <w:left w:val="none" w:sz="0" w:space="0" w:color="auto"/>
                    <w:bottom w:val="none" w:sz="0" w:space="0" w:color="auto"/>
                    <w:right w:val="none" w:sz="0" w:space="0" w:color="auto"/>
                  </w:divBdr>
                  <w:divsChild>
                    <w:div w:id="1950894289">
                      <w:marLeft w:val="0"/>
                      <w:marRight w:val="0"/>
                      <w:marTop w:val="0"/>
                      <w:marBottom w:val="0"/>
                      <w:divBdr>
                        <w:top w:val="none" w:sz="0" w:space="0" w:color="auto"/>
                        <w:left w:val="none" w:sz="0" w:space="0" w:color="auto"/>
                        <w:bottom w:val="none" w:sz="0" w:space="0" w:color="auto"/>
                        <w:right w:val="none" w:sz="0" w:space="0" w:color="auto"/>
                      </w:divBdr>
                    </w:div>
                  </w:divsChild>
                </w:div>
                <w:div w:id="474687671">
                  <w:marLeft w:val="0"/>
                  <w:marRight w:val="0"/>
                  <w:marTop w:val="0"/>
                  <w:marBottom w:val="0"/>
                  <w:divBdr>
                    <w:top w:val="none" w:sz="0" w:space="0" w:color="auto"/>
                    <w:left w:val="none" w:sz="0" w:space="0" w:color="auto"/>
                    <w:bottom w:val="none" w:sz="0" w:space="0" w:color="auto"/>
                    <w:right w:val="none" w:sz="0" w:space="0" w:color="auto"/>
                  </w:divBdr>
                  <w:divsChild>
                    <w:div w:id="1177233982">
                      <w:marLeft w:val="0"/>
                      <w:marRight w:val="0"/>
                      <w:marTop w:val="0"/>
                      <w:marBottom w:val="0"/>
                      <w:divBdr>
                        <w:top w:val="none" w:sz="0" w:space="0" w:color="auto"/>
                        <w:left w:val="none" w:sz="0" w:space="0" w:color="auto"/>
                        <w:bottom w:val="none" w:sz="0" w:space="0" w:color="auto"/>
                        <w:right w:val="none" w:sz="0" w:space="0" w:color="auto"/>
                      </w:divBdr>
                    </w:div>
                  </w:divsChild>
                </w:div>
                <w:div w:id="484784524">
                  <w:marLeft w:val="0"/>
                  <w:marRight w:val="0"/>
                  <w:marTop w:val="0"/>
                  <w:marBottom w:val="0"/>
                  <w:divBdr>
                    <w:top w:val="none" w:sz="0" w:space="0" w:color="auto"/>
                    <w:left w:val="none" w:sz="0" w:space="0" w:color="auto"/>
                    <w:bottom w:val="none" w:sz="0" w:space="0" w:color="auto"/>
                    <w:right w:val="none" w:sz="0" w:space="0" w:color="auto"/>
                  </w:divBdr>
                  <w:divsChild>
                    <w:div w:id="710425611">
                      <w:marLeft w:val="0"/>
                      <w:marRight w:val="0"/>
                      <w:marTop w:val="0"/>
                      <w:marBottom w:val="0"/>
                      <w:divBdr>
                        <w:top w:val="none" w:sz="0" w:space="0" w:color="auto"/>
                        <w:left w:val="none" w:sz="0" w:space="0" w:color="auto"/>
                        <w:bottom w:val="none" w:sz="0" w:space="0" w:color="auto"/>
                        <w:right w:val="none" w:sz="0" w:space="0" w:color="auto"/>
                      </w:divBdr>
                    </w:div>
                  </w:divsChild>
                </w:div>
                <w:div w:id="585185440">
                  <w:marLeft w:val="0"/>
                  <w:marRight w:val="0"/>
                  <w:marTop w:val="0"/>
                  <w:marBottom w:val="0"/>
                  <w:divBdr>
                    <w:top w:val="none" w:sz="0" w:space="0" w:color="auto"/>
                    <w:left w:val="none" w:sz="0" w:space="0" w:color="auto"/>
                    <w:bottom w:val="none" w:sz="0" w:space="0" w:color="auto"/>
                    <w:right w:val="none" w:sz="0" w:space="0" w:color="auto"/>
                  </w:divBdr>
                  <w:divsChild>
                    <w:div w:id="1557858626">
                      <w:marLeft w:val="0"/>
                      <w:marRight w:val="0"/>
                      <w:marTop w:val="0"/>
                      <w:marBottom w:val="0"/>
                      <w:divBdr>
                        <w:top w:val="none" w:sz="0" w:space="0" w:color="auto"/>
                        <w:left w:val="none" w:sz="0" w:space="0" w:color="auto"/>
                        <w:bottom w:val="none" w:sz="0" w:space="0" w:color="auto"/>
                        <w:right w:val="none" w:sz="0" w:space="0" w:color="auto"/>
                      </w:divBdr>
                    </w:div>
                  </w:divsChild>
                </w:div>
                <w:div w:id="609899614">
                  <w:marLeft w:val="0"/>
                  <w:marRight w:val="0"/>
                  <w:marTop w:val="0"/>
                  <w:marBottom w:val="0"/>
                  <w:divBdr>
                    <w:top w:val="none" w:sz="0" w:space="0" w:color="auto"/>
                    <w:left w:val="none" w:sz="0" w:space="0" w:color="auto"/>
                    <w:bottom w:val="none" w:sz="0" w:space="0" w:color="auto"/>
                    <w:right w:val="none" w:sz="0" w:space="0" w:color="auto"/>
                  </w:divBdr>
                  <w:divsChild>
                    <w:div w:id="879245200">
                      <w:marLeft w:val="0"/>
                      <w:marRight w:val="0"/>
                      <w:marTop w:val="0"/>
                      <w:marBottom w:val="0"/>
                      <w:divBdr>
                        <w:top w:val="none" w:sz="0" w:space="0" w:color="auto"/>
                        <w:left w:val="none" w:sz="0" w:space="0" w:color="auto"/>
                        <w:bottom w:val="none" w:sz="0" w:space="0" w:color="auto"/>
                        <w:right w:val="none" w:sz="0" w:space="0" w:color="auto"/>
                      </w:divBdr>
                    </w:div>
                  </w:divsChild>
                </w:div>
                <w:div w:id="930510207">
                  <w:marLeft w:val="0"/>
                  <w:marRight w:val="0"/>
                  <w:marTop w:val="0"/>
                  <w:marBottom w:val="0"/>
                  <w:divBdr>
                    <w:top w:val="none" w:sz="0" w:space="0" w:color="auto"/>
                    <w:left w:val="none" w:sz="0" w:space="0" w:color="auto"/>
                    <w:bottom w:val="none" w:sz="0" w:space="0" w:color="auto"/>
                    <w:right w:val="none" w:sz="0" w:space="0" w:color="auto"/>
                  </w:divBdr>
                  <w:divsChild>
                    <w:div w:id="711731765">
                      <w:marLeft w:val="0"/>
                      <w:marRight w:val="0"/>
                      <w:marTop w:val="0"/>
                      <w:marBottom w:val="0"/>
                      <w:divBdr>
                        <w:top w:val="none" w:sz="0" w:space="0" w:color="auto"/>
                        <w:left w:val="none" w:sz="0" w:space="0" w:color="auto"/>
                        <w:bottom w:val="none" w:sz="0" w:space="0" w:color="auto"/>
                        <w:right w:val="none" w:sz="0" w:space="0" w:color="auto"/>
                      </w:divBdr>
                    </w:div>
                  </w:divsChild>
                </w:div>
                <w:div w:id="1348673214">
                  <w:marLeft w:val="0"/>
                  <w:marRight w:val="0"/>
                  <w:marTop w:val="0"/>
                  <w:marBottom w:val="0"/>
                  <w:divBdr>
                    <w:top w:val="none" w:sz="0" w:space="0" w:color="auto"/>
                    <w:left w:val="none" w:sz="0" w:space="0" w:color="auto"/>
                    <w:bottom w:val="none" w:sz="0" w:space="0" w:color="auto"/>
                    <w:right w:val="none" w:sz="0" w:space="0" w:color="auto"/>
                  </w:divBdr>
                  <w:divsChild>
                    <w:div w:id="1059596189">
                      <w:marLeft w:val="0"/>
                      <w:marRight w:val="0"/>
                      <w:marTop w:val="0"/>
                      <w:marBottom w:val="0"/>
                      <w:divBdr>
                        <w:top w:val="none" w:sz="0" w:space="0" w:color="auto"/>
                        <w:left w:val="none" w:sz="0" w:space="0" w:color="auto"/>
                        <w:bottom w:val="none" w:sz="0" w:space="0" w:color="auto"/>
                        <w:right w:val="none" w:sz="0" w:space="0" w:color="auto"/>
                      </w:divBdr>
                    </w:div>
                  </w:divsChild>
                </w:div>
                <w:div w:id="1376466153">
                  <w:marLeft w:val="0"/>
                  <w:marRight w:val="0"/>
                  <w:marTop w:val="0"/>
                  <w:marBottom w:val="0"/>
                  <w:divBdr>
                    <w:top w:val="none" w:sz="0" w:space="0" w:color="auto"/>
                    <w:left w:val="none" w:sz="0" w:space="0" w:color="auto"/>
                    <w:bottom w:val="none" w:sz="0" w:space="0" w:color="auto"/>
                    <w:right w:val="none" w:sz="0" w:space="0" w:color="auto"/>
                  </w:divBdr>
                  <w:divsChild>
                    <w:div w:id="582495184">
                      <w:marLeft w:val="0"/>
                      <w:marRight w:val="0"/>
                      <w:marTop w:val="0"/>
                      <w:marBottom w:val="0"/>
                      <w:divBdr>
                        <w:top w:val="none" w:sz="0" w:space="0" w:color="auto"/>
                        <w:left w:val="none" w:sz="0" w:space="0" w:color="auto"/>
                        <w:bottom w:val="none" w:sz="0" w:space="0" w:color="auto"/>
                        <w:right w:val="none" w:sz="0" w:space="0" w:color="auto"/>
                      </w:divBdr>
                    </w:div>
                  </w:divsChild>
                </w:div>
                <w:div w:id="1497184224">
                  <w:marLeft w:val="0"/>
                  <w:marRight w:val="0"/>
                  <w:marTop w:val="0"/>
                  <w:marBottom w:val="0"/>
                  <w:divBdr>
                    <w:top w:val="none" w:sz="0" w:space="0" w:color="auto"/>
                    <w:left w:val="none" w:sz="0" w:space="0" w:color="auto"/>
                    <w:bottom w:val="none" w:sz="0" w:space="0" w:color="auto"/>
                    <w:right w:val="none" w:sz="0" w:space="0" w:color="auto"/>
                  </w:divBdr>
                  <w:divsChild>
                    <w:div w:id="2036417089">
                      <w:marLeft w:val="0"/>
                      <w:marRight w:val="0"/>
                      <w:marTop w:val="0"/>
                      <w:marBottom w:val="0"/>
                      <w:divBdr>
                        <w:top w:val="none" w:sz="0" w:space="0" w:color="auto"/>
                        <w:left w:val="none" w:sz="0" w:space="0" w:color="auto"/>
                        <w:bottom w:val="none" w:sz="0" w:space="0" w:color="auto"/>
                        <w:right w:val="none" w:sz="0" w:space="0" w:color="auto"/>
                      </w:divBdr>
                    </w:div>
                  </w:divsChild>
                </w:div>
                <w:div w:id="1685862811">
                  <w:marLeft w:val="0"/>
                  <w:marRight w:val="0"/>
                  <w:marTop w:val="0"/>
                  <w:marBottom w:val="0"/>
                  <w:divBdr>
                    <w:top w:val="none" w:sz="0" w:space="0" w:color="auto"/>
                    <w:left w:val="none" w:sz="0" w:space="0" w:color="auto"/>
                    <w:bottom w:val="none" w:sz="0" w:space="0" w:color="auto"/>
                    <w:right w:val="none" w:sz="0" w:space="0" w:color="auto"/>
                  </w:divBdr>
                  <w:divsChild>
                    <w:div w:id="1993489081">
                      <w:marLeft w:val="0"/>
                      <w:marRight w:val="0"/>
                      <w:marTop w:val="0"/>
                      <w:marBottom w:val="0"/>
                      <w:divBdr>
                        <w:top w:val="none" w:sz="0" w:space="0" w:color="auto"/>
                        <w:left w:val="none" w:sz="0" w:space="0" w:color="auto"/>
                        <w:bottom w:val="none" w:sz="0" w:space="0" w:color="auto"/>
                        <w:right w:val="none" w:sz="0" w:space="0" w:color="auto"/>
                      </w:divBdr>
                    </w:div>
                  </w:divsChild>
                </w:div>
                <w:div w:id="1752266462">
                  <w:marLeft w:val="0"/>
                  <w:marRight w:val="0"/>
                  <w:marTop w:val="0"/>
                  <w:marBottom w:val="0"/>
                  <w:divBdr>
                    <w:top w:val="none" w:sz="0" w:space="0" w:color="auto"/>
                    <w:left w:val="none" w:sz="0" w:space="0" w:color="auto"/>
                    <w:bottom w:val="none" w:sz="0" w:space="0" w:color="auto"/>
                    <w:right w:val="none" w:sz="0" w:space="0" w:color="auto"/>
                  </w:divBdr>
                  <w:divsChild>
                    <w:div w:id="1912157897">
                      <w:marLeft w:val="0"/>
                      <w:marRight w:val="0"/>
                      <w:marTop w:val="0"/>
                      <w:marBottom w:val="0"/>
                      <w:divBdr>
                        <w:top w:val="none" w:sz="0" w:space="0" w:color="auto"/>
                        <w:left w:val="none" w:sz="0" w:space="0" w:color="auto"/>
                        <w:bottom w:val="none" w:sz="0" w:space="0" w:color="auto"/>
                        <w:right w:val="none" w:sz="0" w:space="0" w:color="auto"/>
                      </w:divBdr>
                    </w:div>
                  </w:divsChild>
                </w:div>
                <w:div w:id="2103060921">
                  <w:marLeft w:val="0"/>
                  <w:marRight w:val="0"/>
                  <w:marTop w:val="0"/>
                  <w:marBottom w:val="0"/>
                  <w:divBdr>
                    <w:top w:val="none" w:sz="0" w:space="0" w:color="auto"/>
                    <w:left w:val="none" w:sz="0" w:space="0" w:color="auto"/>
                    <w:bottom w:val="none" w:sz="0" w:space="0" w:color="auto"/>
                    <w:right w:val="none" w:sz="0" w:space="0" w:color="auto"/>
                  </w:divBdr>
                  <w:divsChild>
                    <w:div w:id="4368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12531">
          <w:marLeft w:val="0"/>
          <w:marRight w:val="0"/>
          <w:marTop w:val="0"/>
          <w:marBottom w:val="0"/>
          <w:divBdr>
            <w:top w:val="none" w:sz="0" w:space="0" w:color="auto"/>
            <w:left w:val="none" w:sz="0" w:space="0" w:color="auto"/>
            <w:bottom w:val="none" w:sz="0" w:space="0" w:color="auto"/>
            <w:right w:val="none" w:sz="0" w:space="0" w:color="auto"/>
          </w:divBdr>
          <w:divsChild>
            <w:div w:id="878274203">
              <w:marLeft w:val="0"/>
              <w:marRight w:val="0"/>
              <w:marTop w:val="30"/>
              <w:marBottom w:val="30"/>
              <w:divBdr>
                <w:top w:val="none" w:sz="0" w:space="0" w:color="auto"/>
                <w:left w:val="none" w:sz="0" w:space="0" w:color="auto"/>
                <w:bottom w:val="none" w:sz="0" w:space="0" w:color="auto"/>
                <w:right w:val="none" w:sz="0" w:space="0" w:color="auto"/>
              </w:divBdr>
              <w:divsChild>
                <w:div w:id="355077844">
                  <w:marLeft w:val="0"/>
                  <w:marRight w:val="0"/>
                  <w:marTop w:val="0"/>
                  <w:marBottom w:val="0"/>
                  <w:divBdr>
                    <w:top w:val="none" w:sz="0" w:space="0" w:color="auto"/>
                    <w:left w:val="none" w:sz="0" w:space="0" w:color="auto"/>
                    <w:bottom w:val="none" w:sz="0" w:space="0" w:color="auto"/>
                    <w:right w:val="none" w:sz="0" w:space="0" w:color="auto"/>
                  </w:divBdr>
                  <w:divsChild>
                    <w:div w:id="538131434">
                      <w:marLeft w:val="0"/>
                      <w:marRight w:val="0"/>
                      <w:marTop w:val="0"/>
                      <w:marBottom w:val="0"/>
                      <w:divBdr>
                        <w:top w:val="none" w:sz="0" w:space="0" w:color="auto"/>
                        <w:left w:val="none" w:sz="0" w:space="0" w:color="auto"/>
                        <w:bottom w:val="none" w:sz="0" w:space="0" w:color="auto"/>
                        <w:right w:val="none" w:sz="0" w:space="0" w:color="auto"/>
                      </w:divBdr>
                    </w:div>
                  </w:divsChild>
                </w:div>
                <w:div w:id="382218374">
                  <w:marLeft w:val="0"/>
                  <w:marRight w:val="0"/>
                  <w:marTop w:val="0"/>
                  <w:marBottom w:val="0"/>
                  <w:divBdr>
                    <w:top w:val="none" w:sz="0" w:space="0" w:color="auto"/>
                    <w:left w:val="none" w:sz="0" w:space="0" w:color="auto"/>
                    <w:bottom w:val="none" w:sz="0" w:space="0" w:color="auto"/>
                    <w:right w:val="none" w:sz="0" w:space="0" w:color="auto"/>
                  </w:divBdr>
                  <w:divsChild>
                    <w:div w:id="1109199980">
                      <w:marLeft w:val="0"/>
                      <w:marRight w:val="0"/>
                      <w:marTop w:val="0"/>
                      <w:marBottom w:val="0"/>
                      <w:divBdr>
                        <w:top w:val="none" w:sz="0" w:space="0" w:color="auto"/>
                        <w:left w:val="none" w:sz="0" w:space="0" w:color="auto"/>
                        <w:bottom w:val="none" w:sz="0" w:space="0" w:color="auto"/>
                        <w:right w:val="none" w:sz="0" w:space="0" w:color="auto"/>
                      </w:divBdr>
                    </w:div>
                    <w:div w:id="1772553538">
                      <w:marLeft w:val="0"/>
                      <w:marRight w:val="0"/>
                      <w:marTop w:val="0"/>
                      <w:marBottom w:val="0"/>
                      <w:divBdr>
                        <w:top w:val="none" w:sz="0" w:space="0" w:color="auto"/>
                        <w:left w:val="none" w:sz="0" w:space="0" w:color="auto"/>
                        <w:bottom w:val="none" w:sz="0" w:space="0" w:color="auto"/>
                        <w:right w:val="none" w:sz="0" w:space="0" w:color="auto"/>
                      </w:divBdr>
                    </w:div>
                  </w:divsChild>
                </w:div>
                <w:div w:id="444084008">
                  <w:marLeft w:val="0"/>
                  <w:marRight w:val="0"/>
                  <w:marTop w:val="0"/>
                  <w:marBottom w:val="0"/>
                  <w:divBdr>
                    <w:top w:val="none" w:sz="0" w:space="0" w:color="auto"/>
                    <w:left w:val="none" w:sz="0" w:space="0" w:color="auto"/>
                    <w:bottom w:val="none" w:sz="0" w:space="0" w:color="auto"/>
                    <w:right w:val="none" w:sz="0" w:space="0" w:color="auto"/>
                  </w:divBdr>
                  <w:divsChild>
                    <w:div w:id="420878885">
                      <w:marLeft w:val="0"/>
                      <w:marRight w:val="0"/>
                      <w:marTop w:val="0"/>
                      <w:marBottom w:val="0"/>
                      <w:divBdr>
                        <w:top w:val="none" w:sz="0" w:space="0" w:color="auto"/>
                        <w:left w:val="none" w:sz="0" w:space="0" w:color="auto"/>
                        <w:bottom w:val="none" w:sz="0" w:space="0" w:color="auto"/>
                        <w:right w:val="none" w:sz="0" w:space="0" w:color="auto"/>
                      </w:divBdr>
                    </w:div>
                  </w:divsChild>
                </w:div>
                <w:div w:id="842478118">
                  <w:marLeft w:val="0"/>
                  <w:marRight w:val="0"/>
                  <w:marTop w:val="0"/>
                  <w:marBottom w:val="0"/>
                  <w:divBdr>
                    <w:top w:val="none" w:sz="0" w:space="0" w:color="auto"/>
                    <w:left w:val="none" w:sz="0" w:space="0" w:color="auto"/>
                    <w:bottom w:val="none" w:sz="0" w:space="0" w:color="auto"/>
                    <w:right w:val="none" w:sz="0" w:space="0" w:color="auto"/>
                  </w:divBdr>
                  <w:divsChild>
                    <w:div w:id="845511536">
                      <w:marLeft w:val="0"/>
                      <w:marRight w:val="0"/>
                      <w:marTop w:val="0"/>
                      <w:marBottom w:val="0"/>
                      <w:divBdr>
                        <w:top w:val="none" w:sz="0" w:space="0" w:color="auto"/>
                        <w:left w:val="none" w:sz="0" w:space="0" w:color="auto"/>
                        <w:bottom w:val="none" w:sz="0" w:space="0" w:color="auto"/>
                        <w:right w:val="none" w:sz="0" w:space="0" w:color="auto"/>
                      </w:divBdr>
                    </w:div>
                  </w:divsChild>
                </w:div>
                <w:div w:id="1126583795">
                  <w:marLeft w:val="0"/>
                  <w:marRight w:val="0"/>
                  <w:marTop w:val="0"/>
                  <w:marBottom w:val="0"/>
                  <w:divBdr>
                    <w:top w:val="none" w:sz="0" w:space="0" w:color="auto"/>
                    <w:left w:val="none" w:sz="0" w:space="0" w:color="auto"/>
                    <w:bottom w:val="none" w:sz="0" w:space="0" w:color="auto"/>
                    <w:right w:val="none" w:sz="0" w:space="0" w:color="auto"/>
                  </w:divBdr>
                  <w:divsChild>
                    <w:div w:id="170336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2395">
          <w:marLeft w:val="0"/>
          <w:marRight w:val="0"/>
          <w:marTop w:val="0"/>
          <w:marBottom w:val="0"/>
          <w:divBdr>
            <w:top w:val="none" w:sz="0" w:space="0" w:color="auto"/>
            <w:left w:val="none" w:sz="0" w:space="0" w:color="auto"/>
            <w:bottom w:val="none" w:sz="0" w:space="0" w:color="auto"/>
            <w:right w:val="none" w:sz="0" w:space="0" w:color="auto"/>
          </w:divBdr>
        </w:div>
      </w:divsChild>
    </w:div>
    <w:div w:id="1266383416">
      <w:bodyDiv w:val="1"/>
      <w:marLeft w:val="0"/>
      <w:marRight w:val="0"/>
      <w:marTop w:val="0"/>
      <w:marBottom w:val="0"/>
      <w:divBdr>
        <w:top w:val="none" w:sz="0" w:space="0" w:color="auto"/>
        <w:left w:val="none" w:sz="0" w:space="0" w:color="auto"/>
        <w:bottom w:val="none" w:sz="0" w:space="0" w:color="auto"/>
        <w:right w:val="none" w:sz="0" w:space="0" w:color="auto"/>
      </w:divBdr>
      <w:divsChild>
        <w:div w:id="1058481146">
          <w:marLeft w:val="0"/>
          <w:marRight w:val="0"/>
          <w:marTop w:val="0"/>
          <w:marBottom w:val="0"/>
          <w:divBdr>
            <w:top w:val="none" w:sz="0" w:space="0" w:color="auto"/>
            <w:left w:val="none" w:sz="0" w:space="0" w:color="auto"/>
            <w:bottom w:val="none" w:sz="0" w:space="0" w:color="auto"/>
            <w:right w:val="none" w:sz="0" w:space="0" w:color="auto"/>
          </w:divBdr>
          <w:divsChild>
            <w:div w:id="1308709422">
              <w:marLeft w:val="-75"/>
              <w:marRight w:val="0"/>
              <w:marTop w:val="30"/>
              <w:marBottom w:val="30"/>
              <w:divBdr>
                <w:top w:val="none" w:sz="0" w:space="0" w:color="auto"/>
                <w:left w:val="none" w:sz="0" w:space="0" w:color="auto"/>
                <w:bottom w:val="none" w:sz="0" w:space="0" w:color="auto"/>
                <w:right w:val="none" w:sz="0" w:space="0" w:color="auto"/>
              </w:divBdr>
              <w:divsChild>
                <w:div w:id="40636495">
                  <w:marLeft w:val="0"/>
                  <w:marRight w:val="0"/>
                  <w:marTop w:val="0"/>
                  <w:marBottom w:val="0"/>
                  <w:divBdr>
                    <w:top w:val="none" w:sz="0" w:space="0" w:color="auto"/>
                    <w:left w:val="none" w:sz="0" w:space="0" w:color="auto"/>
                    <w:bottom w:val="none" w:sz="0" w:space="0" w:color="auto"/>
                    <w:right w:val="none" w:sz="0" w:space="0" w:color="auto"/>
                  </w:divBdr>
                  <w:divsChild>
                    <w:div w:id="1956937480">
                      <w:marLeft w:val="0"/>
                      <w:marRight w:val="0"/>
                      <w:marTop w:val="0"/>
                      <w:marBottom w:val="0"/>
                      <w:divBdr>
                        <w:top w:val="none" w:sz="0" w:space="0" w:color="auto"/>
                        <w:left w:val="none" w:sz="0" w:space="0" w:color="auto"/>
                        <w:bottom w:val="none" w:sz="0" w:space="0" w:color="auto"/>
                        <w:right w:val="none" w:sz="0" w:space="0" w:color="auto"/>
                      </w:divBdr>
                    </w:div>
                  </w:divsChild>
                </w:div>
                <w:div w:id="99490063">
                  <w:marLeft w:val="0"/>
                  <w:marRight w:val="0"/>
                  <w:marTop w:val="0"/>
                  <w:marBottom w:val="0"/>
                  <w:divBdr>
                    <w:top w:val="none" w:sz="0" w:space="0" w:color="auto"/>
                    <w:left w:val="none" w:sz="0" w:space="0" w:color="auto"/>
                    <w:bottom w:val="none" w:sz="0" w:space="0" w:color="auto"/>
                    <w:right w:val="none" w:sz="0" w:space="0" w:color="auto"/>
                  </w:divBdr>
                  <w:divsChild>
                    <w:div w:id="1209687597">
                      <w:marLeft w:val="0"/>
                      <w:marRight w:val="0"/>
                      <w:marTop w:val="0"/>
                      <w:marBottom w:val="0"/>
                      <w:divBdr>
                        <w:top w:val="none" w:sz="0" w:space="0" w:color="auto"/>
                        <w:left w:val="none" w:sz="0" w:space="0" w:color="auto"/>
                        <w:bottom w:val="none" w:sz="0" w:space="0" w:color="auto"/>
                        <w:right w:val="none" w:sz="0" w:space="0" w:color="auto"/>
                      </w:divBdr>
                    </w:div>
                  </w:divsChild>
                </w:div>
                <w:div w:id="688720774">
                  <w:marLeft w:val="0"/>
                  <w:marRight w:val="0"/>
                  <w:marTop w:val="0"/>
                  <w:marBottom w:val="0"/>
                  <w:divBdr>
                    <w:top w:val="none" w:sz="0" w:space="0" w:color="auto"/>
                    <w:left w:val="none" w:sz="0" w:space="0" w:color="auto"/>
                    <w:bottom w:val="none" w:sz="0" w:space="0" w:color="auto"/>
                    <w:right w:val="none" w:sz="0" w:space="0" w:color="auto"/>
                  </w:divBdr>
                  <w:divsChild>
                    <w:div w:id="777674449">
                      <w:marLeft w:val="0"/>
                      <w:marRight w:val="0"/>
                      <w:marTop w:val="0"/>
                      <w:marBottom w:val="0"/>
                      <w:divBdr>
                        <w:top w:val="none" w:sz="0" w:space="0" w:color="auto"/>
                        <w:left w:val="none" w:sz="0" w:space="0" w:color="auto"/>
                        <w:bottom w:val="none" w:sz="0" w:space="0" w:color="auto"/>
                        <w:right w:val="none" w:sz="0" w:space="0" w:color="auto"/>
                      </w:divBdr>
                    </w:div>
                    <w:div w:id="1120998930">
                      <w:marLeft w:val="0"/>
                      <w:marRight w:val="0"/>
                      <w:marTop w:val="0"/>
                      <w:marBottom w:val="0"/>
                      <w:divBdr>
                        <w:top w:val="none" w:sz="0" w:space="0" w:color="auto"/>
                        <w:left w:val="none" w:sz="0" w:space="0" w:color="auto"/>
                        <w:bottom w:val="none" w:sz="0" w:space="0" w:color="auto"/>
                        <w:right w:val="none" w:sz="0" w:space="0" w:color="auto"/>
                      </w:divBdr>
                    </w:div>
                    <w:div w:id="1515340251">
                      <w:marLeft w:val="0"/>
                      <w:marRight w:val="0"/>
                      <w:marTop w:val="0"/>
                      <w:marBottom w:val="0"/>
                      <w:divBdr>
                        <w:top w:val="none" w:sz="0" w:space="0" w:color="auto"/>
                        <w:left w:val="none" w:sz="0" w:space="0" w:color="auto"/>
                        <w:bottom w:val="none" w:sz="0" w:space="0" w:color="auto"/>
                        <w:right w:val="none" w:sz="0" w:space="0" w:color="auto"/>
                      </w:divBdr>
                    </w:div>
                    <w:div w:id="1905337606">
                      <w:marLeft w:val="0"/>
                      <w:marRight w:val="0"/>
                      <w:marTop w:val="0"/>
                      <w:marBottom w:val="0"/>
                      <w:divBdr>
                        <w:top w:val="none" w:sz="0" w:space="0" w:color="auto"/>
                        <w:left w:val="none" w:sz="0" w:space="0" w:color="auto"/>
                        <w:bottom w:val="none" w:sz="0" w:space="0" w:color="auto"/>
                        <w:right w:val="none" w:sz="0" w:space="0" w:color="auto"/>
                      </w:divBdr>
                    </w:div>
                  </w:divsChild>
                </w:div>
                <w:div w:id="689180132">
                  <w:marLeft w:val="0"/>
                  <w:marRight w:val="0"/>
                  <w:marTop w:val="0"/>
                  <w:marBottom w:val="0"/>
                  <w:divBdr>
                    <w:top w:val="none" w:sz="0" w:space="0" w:color="auto"/>
                    <w:left w:val="none" w:sz="0" w:space="0" w:color="auto"/>
                    <w:bottom w:val="none" w:sz="0" w:space="0" w:color="auto"/>
                    <w:right w:val="none" w:sz="0" w:space="0" w:color="auto"/>
                  </w:divBdr>
                  <w:divsChild>
                    <w:div w:id="89012789">
                      <w:marLeft w:val="0"/>
                      <w:marRight w:val="0"/>
                      <w:marTop w:val="0"/>
                      <w:marBottom w:val="0"/>
                      <w:divBdr>
                        <w:top w:val="none" w:sz="0" w:space="0" w:color="auto"/>
                        <w:left w:val="none" w:sz="0" w:space="0" w:color="auto"/>
                        <w:bottom w:val="none" w:sz="0" w:space="0" w:color="auto"/>
                        <w:right w:val="none" w:sz="0" w:space="0" w:color="auto"/>
                      </w:divBdr>
                    </w:div>
                  </w:divsChild>
                </w:div>
                <w:div w:id="694160229">
                  <w:marLeft w:val="0"/>
                  <w:marRight w:val="0"/>
                  <w:marTop w:val="0"/>
                  <w:marBottom w:val="0"/>
                  <w:divBdr>
                    <w:top w:val="none" w:sz="0" w:space="0" w:color="auto"/>
                    <w:left w:val="none" w:sz="0" w:space="0" w:color="auto"/>
                    <w:bottom w:val="none" w:sz="0" w:space="0" w:color="auto"/>
                    <w:right w:val="none" w:sz="0" w:space="0" w:color="auto"/>
                  </w:divBdr>
                  <w:divsChild>
                    <w:div w:id="234168487">
                      <w:marLeft w:val="0"/>
                      <w:marRight w:val="0"/>
                      <w:marTop w:val="0"/>
                      <w:marBottom w:val="0"/>
                      <w:divBdr>
                        <w:top w:val="none" w:sz="0" w:space="0" w:color="auto"/>
                        <w:left w:val="none" w:sz="0" w:space="0" w:color="auto"/>
                        <w:bottom w:val="none" w:sz="0" w:space="0" w:color="auto"/>
                        <w:right w:val="none" w:sz="0" w:space="0" w:color="auto"/>
                      </w:divBdr>
                    </w:div>
                  </w:divsChild>
                </w:div>
                <w:div w:id="1036615262">
                  <w:marLeft w:val="0"/>
                  <w:marRight w:val="0"/>
                  <w:marTop w:val="0"/>
                  <w:marBottom w:val="0"/>
                  <w:divBdr>
                    <w:top w:val="none" w:sz="0" w:space="0" w:color="auto"/>
                    <w:left w:val="none" w:sz="0" w:space="0" w:color="auto"/>
                    <w:bottom w:val="none" w:sz="0" w:space="0" w:color="auto"/>
                    <w:right w:val="none" w:sz="0" w:space="0" w:color="auto"/>
                  </w:divBdr>
                  <w:divsChild>
                    <w:div w:id="1141463978">
                      <w:marLeft w:val="0"/>
                      <w:marRight w:val="0"/>
                      <w:marTop w:val="0"/>
                      <w:marBottom w:val="0"/>
                      <w:divBdr>
                        <w:top w:val="none" w:sz="0" w:space="0" w:color="auto"/>
                        <w:left w:val="none" w:sz="0" w:space="0" w:color="auto"/>
                        <w:bottom w:val="none" w:sz="0" w:space="0" w:color="auto"/>
                        <w:right w:val="none" w:sz="0" w:space="0" w:color="auto"/>
                      </w:divBdr>
                    </w:div>
                  </w:divsChild>
                </w:div>
                <w:div w:id="1441026864">
                  <w:marLeft w:val="0"/>
                  <w:marRight w:val="0"/>
                  <w:marTop w:val="0"/>
                  <w:marBottom w:val="0"/>
                  <w:divBdr>
                    <w:top w:val="none" w:sz="0" w:space="0" w:color="auto"/>
                    <w:left w:val="none" w:sz="0" w:space="0" w:color="auto"/>
                    <w:bottom w:val="none" w:sz="0" w:space="0" w:color="auto"/>
                    <w:right w:val="none" w:sz="0" w:space="0" w:color="auto"/>
                  </w:divBdr>
                  <w:divsChild>
                    <w:div w:id="116148025">
                      <w:marLeft w:val="0"/>
                      <w:marRight w:val="0"/>
                      <w:marTop w:val="0"/>
                      <w:marBottom w:val="0"/>
                      <w:divBdr>
                        <w:top w:val="none" w:sz="0" w:space="0" w:color="auto"/>
                        <w:left w:val="none" w:sz="0" w:space="0" w:color="auto"/>
                        <w:bottom w:val="none" w:sz="0" w:space="0" w:color="auto"/>
                        <w:right w:val="none" w:sz="0" w:space="0" w:color="auto"/>
                      </w:divBdr>
                    </w:div>
                    <w:div w:id="804541627">
                      <w:marLeft w:val="0"/>
                      <w:marRight w:val="0"/>
                      <w:marTop w:val="0"/>
                      <w:marBottom w:val="0"/>
                      <w:divBdr>
                        <w:top w:val="none" w:sz="0" w:space="0" w:color="auto"/>
                        <w:left w:val="none" w:sz="0" w:space="0" w:color="auto"/>
                        <w:bottom w:val="none" w:sz="0" w:space="0" w:color="auto"/>
                        <w:right w:val="none" w:sz="0" w:space="0" w:color="auto"/>
                      </w:divBdr>
                    </w:div>
                    <w:div w:id="1329677112">
                      <w:marLeft w:val="0"/>
                      <w:marRight w:val="0"/>
                      <w:marTop w:val="0"/>
                      <w:marBottom w:val="0"/>
                      <w:divBdr>
                        <w:top w:val="none" w:sz="0" w:space="0" w:color="auto"/>
                        <w:left w:val="none" w:sz="0" w:space="0" w:color="auto"/>
                        <w:bottom w:val="none" w:sz="0" w:space="0" w:color="auto"/>
                        <w:right w:val="none" w:sz="0" w:space="0" w:color="auto"/>
                      </w:divBdr>
                    </w:div>
                    <w:div w:id="1890994429">
                      <w:marLeft w:val="0"/>
                      <w:marRight w:val="0"/>
                      <w:marTop w:val="0"/>
                      <w:marBottom w:val="0"/>
                      <w:divBdr>
                        <w:top w:val="none" w:sz="0" w:space="0" w:color="auto"/>
                        <w:left w:val="none" w:sz="0" w:space="0" w:color="auto"/>
                        <w:bottom w:val="none" w:sz="0" w:space="0" w:color="auto"/>
                        <w:right w:val="none" w:sz="0" w:space="0" w:color="auto"/>
                      </w:divBdr>
                    </w:div>
                  </w:divsChild>
                </w:div>
                <w:div w:id="1445878206">
                  <w:marLeft w:val="0"/>
                  <w:marRight w:val="0"/>
                  <w:marTop w:val="0"/>
                  <w:marBottom w:val="0"/>
                  <w:divBdr>
                    <w:top w:val="none" w:sz="0" w:space="0" w:color="auto"/>
                    <w:left w:val="none" w:sz="0" w:space="0" w:color="auto"/>
                    <w:bottom w:val="none" w:sz="0" w:space="0" w:color="auto"/>
                    <w:right w:val="none" w:sz="0" w:space="0" w:color="auto"/>
                  </w:divBdr>
                  <w:divsChild>
                    <w:div w:id="1952198198">
                      <w:marLeft w:val="0"/>
                      <w:marRight w:val="0"/>
                      <w:marTop w:val="0"/>
                      <w:marBottom w:val="0"/>
                      <w:divBdr>
                        <w:top w:val="none" w:sz="0" w:space="0" w:color="auto"/>
                        <w:left w:val="none" w:sz="0" w:space="0" w:color="auto"/>
                        <w:bottom w:val="none" w:sz="0" w:space="0" w:color="auto"/>
                        <w:right w:val="none" w:sz="0" w:space="0" w:color="auto"/>
                      </w:divBdr>
                    </w:div>
                  </w:divsChild>
                </w:div>
                <w:div w:id="1726368265">
                  <w:marLeft w:val="0"/>
                  <w:marRight w:val="0"/>
                  <w:marTop w:val="0"/>
                  <w:marBottom w:val="0"/>
                  <w:divBdr>
                    <w:top w:val="none" w:sz="0" w:space="0" w:color="auto"/>
                    <w:left w:val="none" w:sz="0" w:space="0" w:color="auto"/>
                    <w:bottom w:val="none" w:sz="0" w:space="0" w:color="auto"/>
                    <w:right w:val="none" w:sz="0" w:space="0" w:color="auto"/>
                  </w:divBdr>
                  <w:divsChild>
                    <w:div w:id="140662882">
                      <w:marLeft w:val="0"/>
                      <w:marRight w:val="0"/>
                      <w:marTop w:val="0"/>
                      <w:marBottom w:val="0"/>
                      <w:divBdr>
                        <w:top w:val="none" w:sz="0" w:space="0" w:color="auto"/>
                        <w:left w:val="none" w:sz="0" w:space="0" w:color="auto"/>
                        <w:bottom w:val="none" w:sz="0" w:space="0" w:color="auto"/>
                        <w:right w:val="none" w:sz="0" w:space="0" w:color="auto"/>
                      </w:divBdr>
                    </w:div>
                    <w:div w:id="913928405">
                      <w:marLeft w:val="0"/>
                      <w:marRight w:val="0"/>
                      <w:marTop w:val="0"/>
                      <w:marBottom w:val="0"/>
                      <w:divBdr>
                        <w:top w:val="none" w:sz="0" w:space="0" w:color="auto"/>
                        <w:left w:val="none" w:sz="0" w:space="0" w:color="auto"/>
                        <w:bottom w:val="none" w:sz="0" w:space="0" w:color="auto"/>
                        <w:right w:val="none" w:sz="0" w:space="0" w:color="auto"/>
                      </w:divBdr>
                    </w:div>
                    <w:div w:id="969898326">
                      <w:marLeft w:val="0"/>
                      <w:marRight w:val="0"/>
                      <w:marTop w:val="0"/>
                      <w:marBottom w:val="0"/>
                      <w:divBdr>
                        <w:top w:val="none" w:sz="0" w:space="0" w:color="auto"/>
                        <w:left w:val="none" w:sz="0" w:space="0" w:color="auto"/>
                        <w:bottom w:val="none" w:sz="0" w:space="0" w:color="auto"/>
                        <w:right w:val="none" w:sz="0" w:space="0" w:color="auto"/>
                      </w:divBdr>
                    </w:div>
                    <w:div w:id="1736663547">
                      <w:marLeft w:val="0"/>
                      <w:marRight w:val="0"/>
                      <w:marTop w:val="0"/>
                      <w:marBottom w:val="0"/>
                      <w:divBdr>
                        <w:top w:val="none" w:sz="0" w:space="0" w:color="auto"/>
                        <w:left w:val="none" w:sz="0" w:space="0" w:color="auto"/>
                        <w:bottom w:val="none" w:sz="0" w:space="0" w:color="auto"/>
                        <w:right w:val="none" w:sz="0" w:space="0" w:color="auto"/>
                      </w:divBdr>
                    </w:div>
                    <w:div w:id="1878814557">
                      <w:marLeft w:val="0"/>
                      <w:marRight w:val="0"/>
                      <w:marTop w:val="0"/>
                      <w:marBottom w:val="0"/>
                      <w:divBdr>
                        <w:top w:val="none" w:sz="0" w:space="0" w:color="auto"/>
                        <w:left w:val="none" w:sz="0" w:space="0" w:color="auto"/>
                        <w:bottom w:val="none" w:sz="0" w:space="0" w:color="auto"/>
                        <w:right w:val="none" w:sz="0" w:space="0" w:color="auto"/>
                      </w:divBdr>
                    </w:div>
                    <w:div w:id="2025545937">
                      <w:marLeft w:val="0"/>
                      <w:marRight w:val="0"/>
                      <w:marTop w:val="0"/>
                      <w:marBottom w:val="0"/>
                      <w:divBdr>
                        <w:top w:val="none" w:sz="0" w:space="0" w:color="auto"/>
                        <w:left w:val="none" w:sz="0" w:space="0" w:color="auto"/>
                        <w:bottom w:val="none" w:sz="0" w:space="0" w:color="auto"/>
                        <w:right w:val="none" w:sz="0" w:space="0" w:color="auto"/>
                      </w:divBdr>
                    </w:div>
                  </w:divsChild>
                </w:div>
                <w:div w:id="1739207261">
                  <w:marLeft w:val="0"/>
                  <w:marRight w:val="0"/>
                  <w:marTop w:val="0"/>
                  <w:marBottom w:val="0"/>
                  <w:divBdr>
                    <w:top w:val="none" w:sz="0" w:space="0" w:color="auto"/>
                    <w:left w:val="none" w:sz="0" w:space="0" w:color="auto"/>
                    <w:bottom w:val="none" w:sz="0" w:space="0" w:color="auto"/>
                    <w:right w:val="none" w:sz="0" w:space="0" w:color="auto"/>
                  </w:divBdr>
                  <w:divsChild>
                    <w:div w:id="278070805">
                      <w:marLeft w:val="0"/>
                      <w:marRight w:val="0"/>
                      <w:marTop w:val="0"/>
                      <w:marBottom w:val="0"/>
                      <w:divBdr>
                        <w:top w:val="none" w:sz="0" w:space="0" w:color="auto"/>
                        <w:left w:val="none" w:sz="0" w:space="0" w:color="auto"/>
                        <w:bottom w:val="none" w:sz="0" w:space="0" w:color="auto"/>
                        <w:right w:val="none" w:sz="0" w:space="0" w:color="auto"/>
                      </w:divBdr>
                    </w:div>
                    <w:div w:id="1373648071">
                      <w:marLeft w:val="0"/>
                      <w:marRight w:val="0"/>
                      <w:marTop w:val="0"/>
                      <w:marBottom w:val="0"/>
                      <w:divBdr>
                        <w:top w:val="none" w:sz="0" w:space="0" w:color="auto"/>
                        <w:left w:val="none" w:sz="0" w:space="0" w:color="auto"/>
                        <w:bottom w:val="none" w:sz="0" w:space="0" w:color="auto"/>
                        <w:right w:val="none" w:sz="0" w:space="0" w:color="auto"/>
                      </w:divBdr>
                    </w:div>
                    <w:div w:id="1620338211">
                      <w:marLeft w:val="0"/>
                      <w:marRight w:val="0"/>
                      <w:marTop w:val="0"/>
                      <w:marBottom w:val="0"/>
                      <w:divBdr>
                        <w:top w:val="none" w:sz="0" w:space="0" w:color="auto"/>
                        <w:left w:val="none" w:sz="0" w:space="0" w:color="auto"/>
                        <w:bottom w:val="none" w:sz="0" w:space="0" w:color="auto"/>
                        <w:right w:val="none" w:sz="0" w:space="0" w:color="auto"/>
                      </w:divBdr>
                    </w:div>
                  </w:divsChild>
                </w:div>
                <w:div w:id="1775247647">
                  <w:marLeft w:val="0"/>
                  <w:marRight w:val="0"/>
                  <w:marTop w:val="0"/>
                  <w:marBottom w:val="0"/>
                  <w:divBdr>
                    <w:top w:val="none" w:sz="0" w:space="0" w:color="auto"/>
                    <w:left w:val="none" w:sz="0" w:space="0" w:color="auto"/>
                    <w:bottom w:val="none" w:sz="0" w:space="0" w:color="auto"/>
                    <w:right w:val="none" w:sz="0" w:space="0" w:color="auto"/>
                  </w:divBdr>
                  <w:divsChild>
                    <w:div w:id="1552840635">
                      <w:marLeft w:val="0"/>
                      <w:marRight w:val="0"/>
                      <w:marTop w:val="0"/>
                      <w:marBottom w:val="0"/>
                      <w:divBdr>
                        <w:top w:val="none" w:sz="0" w:space="0" w:color="auto"/>
                        <w:left w:val="none" w:sz="0" w:space="0" w:color="auto"/>
                        <w:bottom w:val="none" w:sz="0" w:space="0" w:color="auto"/>
                        <w:right w:val="none" w:sz="0" w:space="0" w:color="auto"/>
                      </w:divBdr>
                    </w:div>
                    <w:div w:id="2055888131">
                      <w:marLeft w:val="0"/>
                      <w:marRight w:val="0"/>
                      <w:marTop w:val="0"/>
                      <w:marBottom w:val="0"/>
                      <w:divBdr>
                        <w:top w:val="none" w:sz="0" w:space="0" w:color="auto"/>
                        <w:left w:val="none" w:sz="0" w:space="0" w:color="auto"/>
                        <w:bottom w:val="none" w:sz="0" w:space="0" w:color="auto"/>
                        <w:right w:val="none" w:sz="0" w:space="0" w:color="auto"/>
                      </w:divBdr>
                    </w:div>
                  </w:divsChild>
                </w:div>
                <w:div w:id="2088727451">
                  <w:marLeft w:val="0"/>
                  <w:marRight w:val="0"/>
                  <w:marTop w:val="0"/>
                  <w:marBottom w:val="0"/>
                  <w:divBdr>
                    <w:top w:val="none" w:sz="0" w:space="0" w:color="auto"/>
                    <w:left w:val="none" w:sz="0" w:space="0" w:color="auto"/>
                    <w:bottom w:val="none" w:sz="0" w:space="0" w:color="auto"/>
                    <w:right w:val="none" w:sz="0" w:space="0" w:color="auto"/>
                  </w:divBdr>
                  <w:divsChild>
                    <w:div w:id="19891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90759">
          <w:marLeft w:val="0"/>
          <w:marRight w:val="0"/>
          <w:marTop w:val="0"/>
          <w:marBottom w:val="0"/>
          <w:divBdr>
            <w:top w:val="none" w:sz="0" w:space="0" w:color="auto"/>
            <w:left w:val="none" w:sz="0" w:space="0" w:color="auto"/>
            <w:bottom w:val="none" w:sz="0" w:space="0" w:color="auto"/>
            <w:right w:val="none" w:sz="0" w:space="0" w:color="auto"/>
          </w:divBdr>
        </w:div>
        <w:div w:id="1198006475">
          <w:marLeft w:val="0"/>
          <w:marRight w:val="0"/>
          <w:marTop w:val="0"/>
          <w:marBottom w:val="0"/>
          <w:divBdr>
            <w:top w:val="none" w:sz="0" w:space="0" w:color="auto"/>
            <w:left w:val="none" w:sz="0" w:space="0" w:color="auto"/>
            <w:bottom w:val="none" w:sz="0" w:space="0" w:color="auto"/>
            <w:right w:val="none" w:sz="0" w:space="0" w:color="auto"/>
          </w:divBdr>
        </w:div>
        <w:div w:id="1838379268">
          <w:marLeft w:val="0"/>
          <w:marRight w:val="0"/>
          <w:marTop w:val="0"/>
          <w:marBottom w:val="0"/>
          <w:divBdr>
            <w:top w:val="none" w:sz="0" w:space="0" w:color="auto"/>
            <w:left w:val="none" w:sz="0" w:space="0" w:color="auto"/>
            <w:bottom w:val="none" w:sz="0" w:space="0" w:color="auto"/>
            <w:right w:val="none" w:sz="0" w:space="0" w:color="auto"/>
          </w:divBdr>
          <w:divsChild>
            <w:div w:id="646125756">
              <w:marLeft w:val="-75"/>
              <w:marRight w:val="0"/>
              <w:marTop w:val="30"/>
              <w:marBottom w:val="30"/>
              <w:divBdr>
                <w:top w:val="none" w:sz="0" w:space="0" w:color="auto"/>
                <w:left w:val="none" w:sz="0" w:space="0" w:color="auto"/>
                <w:bottom w:val="none" w:sz="0" w:space="0" w:color="auto"/>
                <w:right w:val="none" w:sz="0" w:space="0" w:color="auto"/>
              </w:divBdr>
              <w:divsChild>
                <w:div w:id="1227911633">
                  <w:marLeft w:val="0"/>
                  <w:marRight w:val="0"/>
                  <w:marTop w:val="0"/>
                  <w:marBottom w:val="0"/>
                  <w:divBdr>
                    <w:top w:val="none" w:sz="0" w:space="0" w:color="auto"/>
                    <w:left w:val="none" w:sz="0" w:space="0" w:color="auto"/>
                    <w:bottom w:val="none" w:sz="0" w:space="0" w:color="auto"/>
                    <w:right w:val="none" w:sz="0" w:space="0" w:color="auto"/>
                  </w:divBdr>
                  <w:divsChild>
                    <w:div w:id="1830246108">
                      <w:marLeft w:val="0"/>
                      <w:marRight w:val="0"/>
                      <w:marTop w:val="0"/>
                      <w:marBottom w:val="0"/>
                      <w:divBdr>
                        <w:top w:val="none" w:sz="0" w:space="0" w:color="auto"/>
                        <w:left w:val="none" w:sz="0" w:space="0" w:color="auto"/>
                        <w:bottom w:val="none" w:sz="0" w:space="0" w:color="auto"/>
                        <w:right w:val="none" w:sz="0" w:space="0" w:color="auto"/>
                      </w:divBdr>
                    </w:div>
                  </w:divsChild>
                </w:div>
                <w:div w:id="1515412740">
                  <w:marLeft w:val="0"/>
                  <w:marRight w:val="0"/>
                  <w:marTop w:val="0"/>
                  <w:marBottom w:val="0"/>
                  <w:divBdr>
                    <w:top w:val="none" w:sz="0" w:space="0" w:color="auto"/>
                    <w:left w:val="none" w:sz="0" w:space="0" w:color="auto"/>
                    <w:bottom w:val="none" w:sz="0" w:space="0" w:color="auto"/>
                    <w:right w:val="none" w:sz="0" w:space="0" w:color="auto"/>
                  </w:divBdr>
                  <w:divsChild>
                    <w:div w:id="7784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65076">
          <w:marLeft w:val="0"/>
          <w:marRight w:val="0"/>
          <w:marTop w:val="0"/>
          <w:marBottom w:val="0"/>
          <w:divBdr>
            <w:top w:val="none" w:sz="0" w:space="0" w:color="auto"/>
            <w:left w:val="none" w:sz="0" w:space="0" w:color="auto"/>
            <w:bottom w:val="none" w:sz="0" w:space="0" w:color="auto"/>
            <w:right w:val="none" w:sz="0" w:space="0" w:color="auto"/>
          </w:divBdr>
          <w:divsChild>
            <w:div w:id="1149327643">
              <w:marLeft w:val="0"/>
              <w:marRight w:val="0"/>
              <w:marTop w:val="0"/>
              <w:marBottom w:val="0"/>
              <w:divBdr>
                <w:top w:val="none" w:sz="0" w:space="0" w:color="auto"/>
                <w:left w:val="none" w:sz="0" w:space="0" w:color="auto"/>
                <w:bottom w:val="none" w:sz="0" w:space="0" w:color="auto"/>
                <w:right w:val="none" w:sz="0" w:space="0" w:color="auto"/>
              </w:divBdr>
            </w:div>
            <w:div w:id="1220018203">
              <w:marLeft w:val="0"/>
              <w:marRight w:val="0"/>
              <w:marTop w:val="0"/>
              <w:marBottom w:val="0"/>
              <w:divBdr>
                <w:top w:val="none" w:sz="0" w:space="0" w:color="auto"/>
                <w:left w:val="none" w:sz="0" w:space="0" w:color="auto"/>
                <w:bottom w:val="none" w:sz="0" w:space="0" w:color="auto"/>
                <w:right w:val="none" w:sz="0" w:space="0" w:color="auto"/>
              </w:divBdr>
            </w:div>
            <w:div w:id="1382943384">
              <w:marLeft w:val="0"/>
              <w:marRight w:val="0"/>
              <w:marTop w:val="0"/>
              <w:marBottom w:val="0"/>
              <w:divBdr>
                <w:top w:val="none" w:sz="0" w:space="0" w:color="auto"/>
                <w:left w:val="none" w:sz="0" w:space="0" w:color="auto"/>
                <w:bottom w:val="none" w:sz="0" w:space="0" w:color="auto"/>
                <w:right w:val="none" w:sz="0" w:space="0" w:color="auto"/>
              </w:divBdr>
            </w:div>
            <w:div w:id="1531605543">
              <w:marLeft w:val="0"/>
              <w:marRight w:val="0"/>
              <w:marTop w:val="0"/>
              <w:marBottom w:val="0"/>
              <w:divBdr>
                <w:top w:val="none" w:sz="0" w:space="0" w:color="auto"/>
                <w:left w:val="none" w:sz="0" w:space="0" w:color="auto"/>
                <w:bottom w:val="none" w:sz="0" w:space="0" w:color="auto"/>
                <w:right w:val="none" w:sz="0" w:space="0" w:color="auto"/>
              </w:divBdr>
            </w:div>
            <w:div w:id="1556089491">
              <w:marLeft w:val="0"/>
              <w:marRight w:val="0"/>
              <w:marTop w:val="0"/>
              <w:marBottom w:val="0"/>
              <w:divBdr>
                <w:top w:val="none" w:sz="0" w:space="0" w:color="auto"/>
                <w:left w:val="none" w:sz="0" w:space="0" w:color="auto"/>
                <w:bottom w:val="none" w:sz="0" w:space="0" w:color="auto"/>
                <w:right w:val="none" w:sz="0" w:space="0" w:color="auto"/>
              </w:divBdr>
            </w:div>
            <w:div w:id="1792898964">
              <w:marLeft w:val="0"/>
              <w:marRight w:val="0"/>
              <w:marTop w:val="0"/>
              <w:marBottom w:val="0"/>
              <w:divBdr>
                <w:top w:val="none" w:sz="0" w:space="0" w:color="auto"/>
                <w:left w:val="none" w:sz="0" w:space="0" w:color="auto"/>
                <w:bottom w:val="none" w:sz="0" w:space="0" w:color="auto"/>
                <w:right w:val="none" w:sz="0" w:space="0" w:color="auto"/>
              </w:divBdr>
            </w:div>
            <w:div w:id="180395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03926">
      <w:bodyDiv w:val="1"/>
      <w:marLeft w:val="0"/>
      <w:marRight w:val="0"/>
      <w:marTop w:val="0"/>
      <w:marBottom w:val="0"/>
      <w:divBdr>
        <w:top w:val="none" w:sz="0" w:space="0" w:color="auto"/>
        <w:left w:val="none" w:sz="0" w:space="0" w:color="auto"/>
        <w:bottom w:val="none" w:sz="0" w:space="0" w:color="auto"/>
        <w:right w:val="none" w:sz="0" w:space="0" w:color="auto"/>
      </w:divBdr>
      <w:divsChild>
        <w:div w:id="647320641">
          <w:marLeft w:val="0"/>
          <w:marRight w:val="0"/>
          <w:marTop w:val="0"/>
          <w:marBottom w:val="0"/>
          <w:divBdr>
            <w:top w:val="none" w:sz="0" w:space="0" w:color="auto"/>
            <w:left w:val="none" w:sz="0" w:space="0" w:color="auto"/>
            <w:bottom w:val="none" w:sz="0" w:space="0" w:color="auto"/>
            <w:right w:val="none" w:sz="0" w:space="0" w:color="auto"/>
          </w:divBdr>
          <w:divsChild>
            <w:div w:id="110832237">
              <w:marLeft w:val="0"/>
              <w:marRight w:val="0"/>
              <w:marTop w:val="0"/>
              <w:marBottom w:val="0"/>
              <w:divBdr>
                <w:top w:val="none" w:sz="0" w:space="0" w:color="auto"/>
                <w:left w:val="none" w:sz="0" w:space="0" w:color="auto"/>
                <w:bottom w:val="none" w:sz="0" w:space="0" w:color="auto"/>
                <w:right w:val="none" w:sz="0" w:space="0" w:color="auto"/>
              </w:divBdr>
            </w:div>
            <w:div w:id="871847151">
              <w:marLeft w:val="0"/>
              <w:marRight w:val="0"/>
              <w:marTop w:val="0"/>
              <w:marBottom w:val="0"/>
              <w:divBdr>
                <w:top w:val="none" w:sz="0" w:space="0" w:color="auto"/>
                <w:left w:val="none" w:sz="0" w:space="0" w:color="auto"/>
                <w:bottom w:val="none" w:sz="0" w:space="0" w:color="auto"/>
                <w:right w:val="none" w:sz="0" w:space="0" w:color="auto"/>
              </w:divBdr>
            </w:div>
            <w:div w:id="1445730049">
              <w:marLeft w:val="0"/>
              <w:marRight w:val="0"/>
              <w:marTop w:val="0"/>
              <w:marBottom w:val="0"/>
              <w:divBdr>
                <w:top w:val="none" w:sz="0" w:space="0" w:color="auto"/>
                <w:left w:val="none" w:sz="0" w:space="0" w:color="auto"/>
                <w:bottom w:val="none" w:sz="0" w:space="0" w:color="auto"/>
                <w:right w:val="none" w:sz="0" w:space="0" w:color="auto"/>
              </w:divBdr>
            </w:div>
            <w:div w:id="1903561510">
              <w:marLeft w:val="0"/>
              <w:marRight w:val="0"/>
              <w:marTop w:val="0"/>
              <w:marBottom w:val="0"/>
              <w:divBdr>
                <w:top w:val="none" w:sz="0" w:space="0" w:color="auto"/>
                <w:left w:val="none" w:sz="0" w:space="0" w:color="auto"/>
                <w:bottom w:val="none" w:sz="0" w:space="0" w:color="auto"/>
                <w:right w:val="none" w:sz="0" w:space="0" w:color="auto"/>
              </w:divBdr>
            </w:div>
            <w:div w:id="1986548858">
              <w:marLeft w:val="0"/>
              <w:marRight w:val="0"/>
              <w:marTop w:val="0"/>
              <w:marBottom w:val="0"/>
              <w:divBdr>
                <w:top w:val="none" w:sz="0" w:space="0" w:color="auto"/>
                <w:left w:val="none" w:sz="0" w:space="0" w:color="auto"/>
                <w:bottom w:val="none" w:sz="0" w:space="0" w:color="auto"/>
                <w:right w:val="none" w:sz="0" w:space="0" w:color="auto"/>
              </w:divBdr>
            </w:div>
            <w:div w:id="2023774831">
              <w:marLeft w:val="0"/>
              <w:marRight w:val="0"/>
              <w:marTop w:val="0"/>
              <w:marBottom w:val="0"/>
              <w:divBdr>
                <w:top w:val="none" w:sz="0" w:space="0" w:color="auto"/>
                <w:left w:val="none" w:sz="0" w:space="0" w:color="auto"/>
                <w:bottom w:val="none" w:sz="0" w:space="0" w:color="auto"/>
                <w:right w:val="none" w:sz="0" w:space="0" w:color="auto"/>
              </w:divBdr>
            </w:div>
            <w:div w:id="2120681497">
              <w:marLeft w:val="0"/>
              <w:marRight w:val="0"/>
              <w:marTop w:val="0"/>
              <w:marBottom w:val="0"/>
              <w:divBdr>
                <w:top w:val="none" w:sz="0" w:space="0" w:color="auto"/>
                <w:left w:val="none" w:sz="0" w:space="0" w:color="auto"/>
                <w:bottom w:val="none" w:sz="0" w:space="0" w:color="auto"/>
                <w:right w:val="none" w:sz="0" w:space="0" w:color="auto"/>
              </w:divBdr>
            </w:div>
          </w:divsChild>
        </w:div>
        <w:div w:id="687145387">
          <w:marLeft w:val="0"/>
          <w:marRight w:val="0"/>
          <w:marTop w:val="0"/>
          <w:marBottom w:val="0"/>
          <w:divBdr>
            <w:top w:val="none" w:sz="0" w:space="0" w:color="auto"/>
            <w:left w:val="none" w:sz="0" w:space="0" w:color="auto"/>
            <w:bottom w:val="none" w:sz="0" w:space="0" w:color="auto"/>
            <w:right w:val="none" w:sz="0" w:space="0" w:color="auto"/>
          </w:divBdr>
        </w:div>
        <w:div w:id="1315378550">
          <w:marLeft w:val="0"/>
          <w:marRight w:val="0"/>
          <w:marTop w:val="0"/>
          <w:marBottom w:val="0"/>
          <w:divBdr>
            <w:top w:val="none" w:sz="0" w:space="0" w:color="auto"/>
            <w:left w:val="none" w:sz="0" w:space="0" w:color="auto"/>
            <w:bottom w:val="none" w:sz="0" w:space="0" w:color="auto"/>
            <w:right w:val="none" w:sz="0" w:space="0" w:color="auto"/>
          </w:divBdr>
        </w:div>
        <w:div w:id="1780486600">
          <w:marLeft w:val="0"/>
          <w:marRight w:val="0"/>
          <w:marTop w:val="0"/>
          <w:marBottom w:val="0"/>
          <w:divBdr>
            <w:top w:val="none" w:sz="0" w:space="0" w:color="auto"/>
            <w:left w:val="none" w:sz="0" w:space="0" w:color="auto"/>
            <w:bottom w:val="none" w:sz="0" w:space="0" w:color="auto"/>
            <w:right w:val="none" w:sz="0" w:space="0" w:color="auto"/>
          </w:divBdr>
          <w:divsChild>
            <w:div w:id="1468619511">
              <w:marLeft w:val="-75"/>
              <w:marRight w:val="0"/>
              <w:marTop w:val="30"/>
              <w:marBottom w:val="30"/>
              <w:divBdr>
                <w:top w:val="none" w:sz="0" w:space="0" w:color="auto"/>
                <w:left w:val="none" w:sz="0" w:space="0" w:color="auto"/>
                <w:bottom w:val="none" w:sz="0" w:space="0" w:color="auto"/>
                <w:right w:val="none" w:sz="0" w:space="0" w:color="auto"/>
              </w:divBdr>
              <w:divsChild>
                <w:div w:id="32464589">
                  <w:marLeft w:val="0"/>
                  <w:marRight w:val="0"/>
                  <w:marTop w:val="0"/>
                  <w:marBottom w:val="0"/>
                  <w:divBdr>
                    <w:top w:val="none" w:sz="0" w:space="0" w:color="auto"/>
                    <w:left w:val="none" w:sz="0" w:space="0" w:color="auto"/>
                    <w:bottom w:val="none" w:sz="0" w:space="0" w:color="auto"/>
                    <w:right w:val="none" w:sz="0" w:space="0" w:color="auto"/>
                  </w:divBdr>
                  <w:divsChild>
                    <w:div w:id="1026062681">
                      <w:marLeft w:val="0"/>
                      <w:marRight w:val="0"/>
                      <w:marTop w:val="0"/>
                      <w:marBottom w:val="0"/>
                      <w:divBdr>
                        <w:top w:val="none" w:sz="0" w:space="0" w:color="auto"/>
                        <w:left w:val="none" w:sz="0" w:space="0" w:color="auto"/>
                        <w:bottom w:val="none" w:sz="0" w:space="0" w:color="auto"/>
                        <w:right w:val="none" w:sz="0" w:space="0" w:color="auto"/>
                      </w:divBdr>
                    </w:div>
                    <w:div w:id="1323005987">
                      <w:marLeft w:val="0"/>
                      <w:marRight w:val="0"/>
                      <w:marTop w:val="0"/>
                      <w:marBottom w:val="0"/>
                      <w:divBdr>
                        <w:top w:val="none" w:sz="0" w:space="0" w:color="auto"/>
                        <w:left w:val="none" w:sz="0" w:space="0" w:color="auto"/>
                        <w:bottom w:val="none" w:sz="0" w:space="0" w:color="auto"/>
                        <w:right w:val="none" w:sz="0" w:space="0" w:color="auto"/>
                      </w:divBdr>
                    </w:div>
                    <w:div w:id="1514758658">
                      <w:marLeft w:val="0"/>
                      <w:marRight w:val="0"/>
                      <w:marTop w:val="0"/>
                      <w:marBottom w:val="0"/>
                      <w:divBdr>
                        <w:top w:val="none" w:sz="0" w:space="0" w:color="auto"/>
                        <w:left w:val="none" w:sz="0" w:space="0" w:color="auto"/>
                        <w:bottom w:val="none" w:sz="0" w:space="0" w:color="auto"/>
                        <w:right w:val="none" w:sz="0" w:space="0" w:color="auto"/>
                      </w:divBdr>
                    </w:div>
                  </w:divsChild>
                </w:div>
                <w:div w:id="207953488">
                  <w:marLeft w:val="0"/>
                  <w:marRight w:val="0"/>
                  <w:marTop w:val="0"/>
                  <w:marBottom w:val="0"/>
                  <w:divBdr>
                    <w:top w:val="none" w:sz="0" w:space="0" w:color="auto"/>
                    <w:left w:val="none" w:sz="0" w:space="0" w:color="auto"/>
                    <w:bottom w:val="none" w:sz="0" w:space="0" w:color="auto"/>
                    <w:right w:val="none" w:sz="0" w:space="0" w:color="auto"/>
                  </w:divBdr>
                  <w:divsChild>
                    <w:div w:id="844438735">
                      <w:marLeft w:val="0"/>
                      <w:marRight w:val="0"/>
                      <w:marTop w:val="0"/>
                      <w:marBottom w:val="0"/>
                      <w:divBdr>
                        <w:top w:val="none" w:sz="0" w:space="0" w:color="auto"/>
                        <w:left w:val="none" w:sz="0" w:space="0" w:color="auto"/>
                        <w:bottom w:val="none" w:sz="0" w:space="0" w:color="auto"/>
                        <w:right w:val="none" w:sz="0" w:space="0" w:color="auto"/>
                      </w:divBdr>
                    </w:div>
                    <w:div w:id="1315794158">
                      <w:marLeft w:val="0"/>
                      <w:marRight w:val="0"/>
                      <w:marTop w:val="0"/>
                      <w:marBottom w:val="0"/>
                      <w:divBdr>
                        <w:top w:val="none" w:sz="0" w:space="0" w:color="auto"/>
                        <w:left w:val="none" w:sz="0" w:space="0" w:color="auto"/>
                        <w:bottom w:val="none" w:sz="0" w:space="0" w:color="auto"/>
                        <w:right w:val="none" w:sz="0" w:space="0" w:color="auto"/>
                      </w:divBdr>
                    </w:div>
                  </w:divsChild>
                </w:div>
                <w:div w:id="273751515">
                  <w:marLeft w:val="0"/>
                  <w:marRight w:val="0"/>
                  <w:marTop w:val="0"/>
                  <w:marBottom w:val="0"/>
                  <w:divBdr>
                    <w:top w:val="none" w:sz="0" w:space="0" w:color="auto"/>
                    <w:left w:val="none" w:sz="0" w:space="0" w:color="auto"/>
                    <w:bottom w:val="none" w:sz="0" w:space="0" w:color="auto"/>
                    <w:right w:val="none" w:sz="0" w:space="0" w:color="auto"/>
                  </w:divBdr>
                  <w:divsChild>
                    <w:div w:id="1333026693">
                      <w:marLeft w:val="0"/>
                      <w:marRight w:val="0"/>
                      <w:marTop w:val="0"/>
                      <w:marBottom w:val="0"/>
                      <w:divBdr>
                        <w:top w:val="none" w:sz="0" w:space="0" w:color="auto"/>
                        <w:left w:val="none" w:sz="0" w:space="0" w:color="auto"/>
                        <w:bottom w:val="none" w:sz="0" w:space="0" w:color="auto"/>
                        <w:right w:val="none" w:sz="0" w:space="0" w:color="auto"/>
                      </w:divBdr>
                    </w:div>
                  </w:divsChild>
                </w:div>
                <w:div w:id="332223505">
                  <w:marLeft w:val="0"/>
                  <w:marRight w:val="0"/>
                  <w:marTop w:val="0"/>
                  <w:marBottom w:val="0"/>
                  <w:divBdr>
                    <w:top w:val="none" w:sz="0" w:space="0" w:color="auto"/>
                    <w:left w:val="none" w:sz="0" w:space="0" w:color="auto"/>
                    <w:bottom w:val="none" w:sz="0" w:space="0" w:color="auto"/>
                    <w:right w:val="none" w:sz="0" w:space="0" w:color="auto"/>
                  </w:divBdr>
                  <w:divsChild>
                    <w:div w:id="354619421">
                      <w:marLeft w:val="0"/>
                      <w:marRight w:val="0"/>
                      <w:marTop w:val="0"/>
                      <w:marBottom w:val="0"/>
                      <w:divBdr>
                        <w:top w:val="none" w:sz="0" w:space="0" w:color="auto"/>
                        <w:left w:val="none" w:sz="0" w:space="0" w:color="auto"/>
                        <w:bottom w:val="none" w:sz="0" w:space="0" w:color="auto"/>
                        <w:right w:val="none" w:sz="0" w:space="0" w:color="auto"/>
                      </w:divBdr>
                    </w:div>
                    <w:div w:id="985163458">
                      <w:marLeft w:val="0"/>
                      <w:marRight w:val="0"/>
                      <w:marTop w:val="0"/>
                      <w:marBottom w:val="0"/>
                      <w:divBdr>
                        <w:top w:val="none" w:sz="0" w:space="0" w:color="auto"/>
                        <w:left w:val="none" w:sz="0" w:space="0" w:color="auto"/>
                        <w:bottom w:val="none" w:sz="0" w:space="0" w:color="auto"/>
                        <w:right w:val="none" w:sz="0" w:space="0" w:color="auto"/>
                      </w:divBdr>
                    </w:div>
                    <w:div w:id="1146237350">
                      <w:marLeft w:val="0"/>
                      <w:marRight w:val="0"/>
                      <w:marTop w:val="0"/>
                      <w:marBottom w:val="0"/>
                      <w:divBdr>
                        <w:top w:val="none" w:sz="0" w:space="0" w:color="auto"/>
                        <w:left w:val="none" w:sz="0" w:space="0" w:color="auto"/>
                        <w:bottom w:val="none" w:sz="0" w:space="0" w:color="auto"/>
                        <w:right w:val="none" w:sz="0" w:space="0" w:color="auto"/>
                      </w:divBdr>
                    </w:div>
                    <w:div w:id="1482304075">
                      <w:marLeft w:val="0"/>
                      <w:marRight w:val="0"/>
                      <w:marTop w:val="0"/>
                      <w:marBottom w:val="0"/>
                      <w:divBdr>
                        <w:top w:val="none" w:sz="0" w:space="0" w:color="auto"/>
                        <w:left w:val="none" w:sz="0" w:space="0" w:color="auto"/>
                        <w:bottom w:val="none" w:sz="0" w:space="0" w:color="auto"/>
                        <w:right w:val="none" w:sz="0" w:space="0" w:color="auto"/>
                      </w:divBdr>
                    </w:div>
                    <w:div w:id="1695810249">
                      <w:marLeft w:val="0"/>
                      <w:marRight w:val="0"/>
                      <w:marTop w:val="0"/>
                      <w:marBottom w:val="0"/>
                      <w:divBdr>
                        <w:top w:val="none" w:sz="0" w:space="0" w:color="auto"/>
                        <w:left w:val="none" w:sz="0" w:space="0" w:color="auto"/>
                        <w:bottom w:val="none" w:sz="0" w:space="0" w:color="auto"/>
                        <w:right w:val="none" w:sz="0" w:space="0" w:color="auto"/>
                      </w:divBdr>
                    </w:div>
                    <w:div w:id="1955212887">
                      <w:marLeft w:val="0"/>
                      <w:marRight w:val="0"/>
                      <w:marTop w:val="0"/>
                      <w:marBottom w:val="0"/>
                      <w:divBdr>
                        <w:top w:val="none" w:sz="0" w:space="0" w:color="auto"/>
                        <w:left w:val="none" w:sz="0" w:space="0" w:color="auto"/>
                        <w:bottom w:val="none" w:sz="0" w:space="0" w:color="auto"/>
                        <w:right w:val="none" w:sz="0" w:space="0" w:color="auto"/>
                      </w:divBdr>
                    </w:div>
                  </w:divsChild>
                </w:div>
                <w:div w:id="419956968">
                  <w:marLeft w:val="0"/>
                  <w:marRight w:val="0"/>
                  <w:marTop w:val="0"/>
                  <w:marBottom w:val="0"/>
                  <w:divBdr>
                    <w:top w:val="none" w:sz="0" w:space="0" w:color="auto"/>
                    <w:left w:val="none" w:sz="0" w:space="0" w:color="auto"/>
                    <w:bottom w:val="none" w:sz="0" w:space="0" w:color="auto"/>
                    <w:right w:val="none" w:sz="0" w:space="0" w:color="auto"/>
                  </w:divBdr>
                  <w:divsChild>
                    <w:div w:id="1827625420">
                      <w:marLeft w:val="0"/>
                      <w:marRight w:val="0"/>
                      <w:marTop w:val="0"/>
                      <w:marBottom w:val="0"/>
                      <w:divBdr>
                        <w:top w:val="none" w:sz="0" w:space="0" w:color="auto"/>
                        <w:left w:val="none" w:sz="0" w:space="0" w:color="auto"/>
                        <w:bottom w:val="none" w:sz="0" w:space="0" w:color="auto"/>
                        <w:right w:val="none" w:sz="0" w:space="0" w:color="auto"/>
                      </w:divBdr>
                    </w:div>
                  </w:divsChild>
                </w:div>
                <w:div w:id="598951445">
                  <w:marLeft w:val="0"/>
                  <w:marRight w:val="0"/>
                  <w:marTop w:val="0"/>
                  <w:marBottom w:val="0"/>
                  <w:divBdr>
                    <w:top w:val="none" w:sz="0" w:space="0" w:color="auto"/>
                    <w:left w:val="none" w:sz="0" w:space="0" w:color="auto"/>
                    <w:bottom w:val="none" w:sz="0" w:space="0" w:color="auto"/>
                    <w:right w:val="none" w:sz="0" w:space="0" w:color="auto"/>
                  </w:divBdr>
                  <w:divsChild>
                    <w:div w:id="1621112913">
                      <w:marLeft w:val="0"/>
                      <w:marRight w:val="0"/>
                      <w:marTop w:val="0"/>
                      <w:marBottom w:val="0"/>
                      <w:divBdr>
                        <w:top w:val="none" w:sz="0" w:space="0" w:color="auto"/>
                        <w:left w:val="none" w:sz="0" w:space="0" w:color="auto"/>
                        <w:bottom w:val="none" w:sz="0" w:space="0" w:color="auto"/>
                        <w:right w:val="none" w:sz="0" w:space="0" w:color="auto"/>
                      </w:divBdr>
                    </w:div>
                  </w:divsChild>
                </w:div>
                <w:div w:id="980234782">
                  <w:marLeft w:val="0"/>
                  <w:marRight w:val="0"/>
                  <w:marTop w:val="0"/>
                  <w:marBottom w:val="0"/>
                  <w:divBdr>
                    <w:top w:val="none" w:sz="0" w:space="0" w:color="auto"/>
                    <w:left w:val="none" w:sz="0" w:space="0" w:color="auto"/>
                    <w:bottom w:val="none" w:sz="0" w:space="0" w:color="auto"/>
                    <w:right w:val="none" w:sz="0" w:space="0" w:color="auto"/>
                  </w:divBdr>
                  <w:divsChild>
                    <w:div w:id="668679269">
                      <w:marLeft w:val="0"/>
                      <w:marRight w:val="0"/>
                      <w:marTop w:val="0"/>
                      <w:marBottom w:val="0"/>
                      <w:divBdr>
                        <w:top w:val="none" w:sz="0" w:space="0" w:color="auto"/>
                        <w:left w:val="none" w:sz="0" w:space="0" w:color="auto"/>
                        <w:bottom w:val="none" w:sz="0" w:space="0" w:color="auto"/>
                        <w:right w:val="none" w:sz="0" w:space="0" w:color="auto"/>
                      </w:divBdr>
                    </w:div>
                    <w:div w:id="1550724821">
                      <w:marLeft w:val="0"/>
                      <w:marRight w:val="0"/>
                      <w:marTop w:val="0"/>
                      <w:marBottom w:val="0"/>
                      <w:divBdr>
                        <w:top w:val="none" w:sz="0" w:space="0" w:color="auto"/>
                        <w:left w:val="none" w:sz="0" w:space="0" w:color="auto"/>
                        <w:bottom w:val="none" w:sz="0" w:space="0" w:color="auto"/>
                        <w:right w:val="none" w:sz="0" w:space="0" w:color="auto"/>
                      </w:divBdr>
                    </w:div>
                    <w:div w:id="1651444537">
                      <w:marLeft w:val="0"/>
                      <w:marRight w:val="0"/>
                      <w:marTop w:val="0"/>
                      <w:marBottom w:val="0"/>
                      <w:divBdr>
                        <w:top w:val="none" w:sz="0" w:space="0" w:color="auto"/>
                        <w:left w:val="none" w:sz="0" w:space="0" w:color="auto"/>
                        <w:bottom w:val="none" w:sz="0" w:space="0" w:color="auto"/>
                        <w:right w:val="none" w:sz="0" w:space="0" w:color="auto"/>
                      </w:divBdr>
                    </w:div>
                    <w:div w:id="1662658729">
                      <w:marLeft w:val="0"/>
                      <w:marRight w:val="0"/>
                      <w:marTop w:val="0"/>
                      <w:marBottom w:val="0"/>
                      <w:divBdr>
                        <w:top w:val="none" w:sz="0" w:space="0" w:color="auto"/>
                        <w:left w:val="none" w:sz="0" w:space="0" w:color="auto"/>
                        <w:bottom w:val="none" w:sz="0" w:space="0" w:color="auto"/>
                        <w:right w:val="none" w:sz="0" w:space="0" w:color="auto"/>
                      </w:divBdr>
                    </w:div>
                  </w:divsChild>
                </w:div>
                <w:div w:id="1037239617">
                  <w:marLeft w:val="0"/>
                  <w:marRight w:val="0"/>
                  <w:marTop w:val="0"/>
                  <w:marBottom w:val="0"/>
                  <w:divBdr>
                    <w:top w:val="none" w:sz="0" w:space="0" w:color="auto"/>
                    <w:left w:val="none" w:sz="0" w:space="0" w:color="auto"/>
                    <w:bottom w:val="none" w:sz="0" w:space="0" w:color="auto"/>
                    <w:right w:val="none" w:sz="0" w:space="0" w:color="auto"/>
                  </w:divBdr>
                  <w:divsChild>
                    <w:div w:id="1325164359">
                      <w:marLeft w:val="0"/>
                      <w:marRight w:val="0"/>
                      <w:marTop w:val="0"/>
                      <w:marBottom w:val="0"/>
                      <w:divBdr>
                        <w:top w:val="none" w:sz="0" w:space="0" w:color="auto"/>
                        <w:left w:val="none" w:sz="0" w:space="0" w:color="auto"/>
                        <w:bottom w:val="none" w:sz="0" w:space="0" w:color="auto"/>
                        <w:right w:val="none" w:sz="0" w:space="0" w:color="auto"/>
                      </w:divBdr>
                    </w:div>
                  </w:divsChild>
                </w:div>
                <w:div w:id="1055086433">
                  <w:marLeft w:val="0"/>
                  <w:marRight w:val="0"/>
                  <w:marTop w:val="0"/>
                  <w:marBottom w:val="0"/>
                  <w:divBdr>
                    <w:top w:val="none" w:sz="0" w:space="0" w:color="auto"/>
                    <w:left w:val="none" w:sz="0" w:space="0" w:color="auto"/>
                    <w:bottom w:val="none" w:sz="0" w:space="0" w:color="auto"/>
                    <w:right w:val="none" w:sz="0" w:space="0" w:color="auto"/>
                  </w:divBdr>
                  <w:divsChild>
                    <w:div w:id="1274558159">
                      <w:marLeft w:val="0"/>
                      <w:marRight w:val="0"/>
                      <w:marTop w:val="0"/>
                      <w:marBottom w:val="0"/>
                      <w:divBdr>
                        <w:top w:val="none" w:sz="0" w:space="0" w:color="auto"/>
                        <w:left w:val="none" w:sz="0" w:space="0" w:color="auto"/>
                        <w:bottom w:val="none" w:sz="0" w:space="0" w:color="auto"/>
                        <w:right w:val="none" w:sz="0" w:space="0" w:color="auto"/>
                      </w:divBdr>
                    </w:div>
                  </w:divsChild>
                </w:div>
                <w:div w:id="1311404476">
                  <w:marLeft w:val="0"/>
                  <w:marRight w:val="0"/>
                  <w:marTop w:val="0"/>
                  <w:marBottom w:val="0"/>
                  <w:divBdr>
                    <w:top w:val="none" w:sz="0" w:space="0" w:color="auto"/>
                    <w:left w:val="none" w:sz="0" w:space="0" w:color="auto"/>
                    <w:bottom w:val="none" w:sz="0" w:space="0" w:color="auto"/>
                    <w:right w:val="none" w:sz="0" w:space="0" w:color="auto"/>
                  </w:divBdr>
                  <w:divsChild>
                    <w:div w:id="1005521189">
                      <w:marLeft w:val="0"/>
                      <w:marRight w:val="0"/>
                      <w:marTop w:val="0"/>
                      <w:marBottom w:val="0"/>
                      <w:divBdr>
                        <w:top w:val="none" w:sz="0" w:space="0" w:color="auto"/>
                        <w:left w:val="none" w:sz="0" w:space="0" w:color="auto"/>
                        <w:bottom w:val="none" w:sz="0" w:space="0" w:color="auto"/>
                        <w:right w:val="none" w:sz="0" w:space="0" w:color="auto"/>
                      </w:divBdr>
                    </w:div>
                  </w:divsChild>
                </w:div>
                <w:div w:id="1318997059">
                  <w:marLeft w:val="0"/>
                  <w:marRight w:val="0"/>
                  <w:marTop w:val="0"/>
                  <w:marBottom w:val="0"/>
                  <w:divBdr>
                    <w:top w:val="none" w:sz="0" w:space="0" w:color="auto"/>
                    <w:left w:val="none" w:sz="0" w:space="0" w:color="auto"/>
                    <w:bottom w:val="none" w:sz="0" w:space="0" w:color="auto"/>
                    <w:right w:val="none" w:sz="0" w:space="0" w:color="auto"/>
                  </w:divBdr>
                  <w:divsChild>
                    <w:div w:id="60637360">
                      <w:marLeft w:val="0"/>
                      <w:marRight w:val="0"/>
                      <w:marTop w:val="0"/>
                      <w:marBottom w:val="0"/>
                      <w:divBdr>
                        <w:top w:val="none" w:sz="0" w:space="0" w:color="auto"/>
                        <w:left w:val="none" w:sz="0" w:space="0" w:color="auto"/>
                        <w:bottom w:val="none" w:sz="0" w:space="0" w:color="auto"/>
                        <w:right w:val="none" w:sz="0" w:space="0" w:color="auto"/>
                      </w:divBdr>
                    </w:div>
                    <w:div w:id="291138719">
                      <w:marLeft w:val="0"/>
                      <w:marRight w:val="0"/>
                      <w:marTop w:val="0"/>
                      <w:marBottom w:val="0"/>
                      <w:divBdr>
                        <w:top w:val="none" w:sz="0" w:space="0" w:color="auto"/>
                        <w:left w:val="none" w:sz="0" w:space="0" w:color="auto"/>
                        <w:bottom w:val="none" w:sz="0" w:space="0" w:color="auto"/>
                        <w:right w:val="none" w:sz="0" w:space="0" w:color="auto"/>
                      </w:divBdr>
                    </w:div>
                    <w:div w:id="1517384049">
                      <w:marLeft w:val="0"/>
                      <w:marRight w:val="0"/>
                      <w:marTop w:val="0"/>
                      <w:marBottom w:val="0"/>
                      <w:divBdr>
                        <w:top w:val="none" w:sz="0" w:space="0" w:color="auto"/>
                        <w:left w:val="none" w:sz="0" w:space="0" w:color="auto"/>
                        <w:bottom w:val="none" w:sz="0" w:space="0" w:color="auto"/>
                        <w:right w:val="none" w:sz="0" w:space="0" w:color="auto"/>
                      </w:divBdr>
                    </w:div>
                    <w:div w:id="1829981201">
                      <w:marLeft w:val="0"/>
                      <w:marRight w:val="0"/>
                      <w:marTop w:val="0"/>
                      <w:marBottom w:val="0"/>
                      <w:divBdr>
                        <w:top w:val="none" w:sz="0" w:space="0" w:color="auto"/>
                        <w:left w:val="none" w:sz="0" w:space="0" w:color="auto"/>
                        <w:bottom w:val="none" w:sz="0" w:space="0" w:color="auto"/>
                        <w:right w:val="none" w:sz="0" w:space="0" w:color="auto"/>
                      </w:divBdr>
                    </w:div>
                  </w:divsChild>
                </w:div>
                <w:div w:id="1583678405">
                  <w:marLeft w:val="0"/>
                  <w:marRight w:val="0"/>
                  <w:marTop w:val="0"/>
                  <w:marBottom w:val="0"/>
                  <w:divBdr>
                    <w:top w:val="none" w:sz="0" w:space="0" w:color="auto"/>
                    <w:left w:val="none" w:sz="0" w:space="0" w:color="auto"/>
                    <w:bottom w:val="none" w:sz="0" w:space="0" w:color="auto"/>
                    <w:right w:val="none" w:sz="0" w:space="0" w:color="auto"/>
                  </w:divBdr>
                  <w:divsChild>
                    <w:div w:id="15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55530">
          <w:marLeft w:val="0"/>
          <w:marRight w:val="0"/>
          <w:marTop w:val="0"/>
          <w:marBottom w:val="0"/>
          <w:divBdr>
            <w:top w:val="none" w:sz="0" w:space="0" w:color="auto"/>
            <w:left w:val="none" w:sz="0" w:space="0" w:color="auto"/>
            <w:bottom w:val="none" w:sz="0" w:space="0" w:color="auto"/>
            <w:right w:val="none" w:sz="0" w:space="0" w:color="auto"/>
          </w:divBdr>
          <w:divsChild>
            <w:div w:id="995109527">
              <w:marLeft w:val="-75"/>
              <w:marRight w:val="0"/>
              <w:marTop w:val="30"/>
              <w:marBottom w:val="30"/>
              <w:divBdr>
                <w:top w:val="none" w:sz="0" w:space="0" w:color="auto"/>
                <w:left w:val="none" w:sz="0" w:space="0" w:color="auto"/>
                <w:bottom w:val="none" w:sz="0" w:space="0" w:color="auto"/>
                <w:right w:val="none" w:sz="0" w:space="0" w:color="auto"/>
              </w:divBdr>
              <w:divsChild>
                <w:div w:id="744184983">
                  <w:marLeft w:val="0"/>
                  <w:marRight w:val="0"/>
                  <w:marTop w:val="0"/>
                  <w:marBottom w:val="0"/>
                  <w:divBdr>
                    <w:top w:val="none" w:sz="0" w:space="0" w:color="auto"/>
                    <w:left w:val="none" w:sz="0" w:space="0" w:color="auto"/>
                    <w:bottom w:val="none" w:sz="0" w:space="0" w:color="auto"/>
                    <w:right w:val="none" w:sz="0" w:space="0" w:color="auto"/>
                  </w:divBdr>
                  <w:divsChild>
                    <w:div w:id="275214111">
                      <w:marLeft w:val="0"/>
                      <w:marRight w:val="0"/>
                      <w:marTop w:val="0"/>
                      <w:marBottom w:val="0"/>
                      <w:divBdr>
                        <w:top w:val="none" w:sz="0" w:space="0" w:color="auto"/>
                        <w:left w:val="none" w:sz="0" w:space="0" w:color="auto"/>
                        <w:bottom w:val="none" w:sz="0" w:space="0" w:color="auto"/>
                        <w:right w:val="none" w:sz="0" w:space="0" w:color="auto"/>
                      </w:divBdr>
                    </w:div>
                  </w:divsChild>
                </w:div>
                <w:div w:id="766386775">
                  <w:marLeft w:val="0"/>
                  <w:marRight w:val="0"/>
                  <w:marTop w:val="0"/>
                  <w:marBottom w:val="0"/>
                  <w:divBdr>
                    <w:top w:val="none" w:sz="0" w:space="0" w:color="auto"/>
                    <w:left w:val="none" w:sz="0" w:space="0" w:color="auto"/>
                    <w:bottom w:val="none" w:sz="0" w:space="0" w:color="auto"/>
                    <w:right w:val="none" w:sz="0" w:space="0" w:color="auto"/>
                  </w:divBdr>
                  <w:divsChild>
                    <w:div w:id="8835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159727">
      <w:bodyDiv w:val="1"/>
      <w:marLeft w:val="0"/>
      <w:marRight w:val="0"/>
      <w:marTop w:val="0"/>
      <w:marBottom w:val="0"/>
      <w:divBdr>
        <w:top w:val="none" w:sz="0" w:space="0" w:color="auto"/>
        <w:left w:val="none" w:sz="0" w:space="0" w:color="auto"/>
        <w:bottom w:val="none" w:sz="0" w:space="0" w:color="auto"/>
        <w:right w:val="none" w:sz="0" w:space="0" w:color="auto"/>
      </w:divBdr>
      <w:divsChild>
        <w:div w:id="77556868">
          <w:marLeft w:val="0"/>
          <w:marRight w:val="0"/>
          <w:marTop w:val="0"/>
          <w:marBottom w:val="0"/>
          <w:divBdr>
            <w:top w:val="none" w:sz="0" w:space="0" w:color="auto"/>
            <w:left w:val="none" w:sz="0" w:space="0" w:color="auto"/>
            <w:bottom w:val="none" w:sz="0" w:space="0" w:color="auto"/>
            <w:right w:val="none" w:sz="0" w:space="0" w:color="auto"/>
          </w:divBdr>
        </w:div>
        <w:div w:id="617294075">
          <w:marLeft w:val="0"/>
          <w:marRight w:val="0"/>
          <w:marTop w:val="0"/>
          <w:marBottom w:val="0"/>
          <w:divBdr>
            <w:top w:val="none" w:sz="0" w:space="0" w:color="auto"/>
            <w:left w:val="none" w:sz="0" w:space="0" w:color="auto"/>
            <w:bottom w:val="none" w:sz="0" w:space="0" w:color="auto"/>
            <w:right w:val="none" w:sz="0" w:space="0" w:color="auto"/>
          </w:divBdr>
          <w:divsChild>
            <w:div w:id="614871047">
              <w:marLeft w:val="0"/>
              <w:marRight w:val="0"/>
              <w:marTop w:val="0"/>
              <w:marBottom w:val="0"/>
              <w:divBdr>
                <w:top w:val="none" w:sz="0" w:space="0" w:color="auto"/>
                <w:left w:val="none" w:sz="0" w:space="0" w:color="auto"/>
                <w:bottom w:val="none" w:sz="0" w:space="0" w:color="auto"/>
                <w:right w:val="none" w:sz="0" w:space="0" w:color="auto"/>
              </w:divBdr>
            </w:div>
            <w:div w:id="795560581">
              <w:marLeft w:val="0"/>
              <w:marRight w:val="0"/>
              <w:marTop w:val="0"/>
              <w:marBottom w:val="0"/>
              <w:divBdr>
                <w:top w:val="none" w:sz="0" w:space="0" w:color="auto"/>
                <w:left w:val="none" w:sz="0" w:space="0" w:color="auto"/>
                <w:bottom w:val="none" w:sz="0" w:space="0" w:color="auto"/>
                <w:right w:val="none" w:sz="0" w:space="0" w:color="auto"/>
              </w:divBdr>
            </w:div>
            <w:div w:id="1438137754">
              <w:marLeft w:val="0"/>
              <w:marRight w:val="0"/>
              <w:marTop w:val="0"/>
              <w:marBottom w:val="0"/>
              <w:divBdr>
                <w:top w:val="none" w:sz="0" w:space="0" w:color="auto"/>
                <w:left w:val="none" w:sz="0" w:space="0" w:color="auto"/>
                <w:bottom w:val="none" w:sz="0" w:space="0" w:color="auto"/>
                <w:right w:val="none" w:sz="0" w:space="0" w:color="auto"/>
              </w:divBdr>
            </w:div>
            <w:div w:id="1637685406">
              <w:marLeft w:val="0"/>
              <w:marRight w:val="0"/>
              <w:marTop w:val="0"/>
              <w:marBottom w:val="0"/>
              <w:divBdr>
                <w:top w:val="none" w:sz="0" w:space="0" w:color="auto"/>
                <w:left w:val="none" w:sz="0" w:space="0" w:color="auto"/>
                <w:bottom w:val="none" w:sz="0" w:space="0" w:color="auto"/>
                <w:right w:val="none" w:sz="0" w:space="0" w:color="auto"/>
              </w:divBdr>
            </w:div>
            <w:div w:id="1788887073">
              <w:marLeft w:val="0"/>
              <w:marRight w:val="0"/>
              <w:marTop w:val="0"/>
              <w:marBottom w:val="0"/>
              <w:divBdr>
                <w:top w:val="none" w:sz="0" w:space="0" w:color="auto"/>
                <w:left w:val="none" w:sz="0" w:space="0" w:color="auto"/>
                <w:bottom w:val="none" w:sz="0" w:space="0" w:color="auto"/>
                <w:right w:val="none" w:sz="0" w:space="0" w:color="auto"/>
              </w:divBdr>
            </w:div>
            <w:div w:id="1910799755">
              <w:marLeft w:val="0"/>
              <w:marRight w:val="0"/>
              <w:marTop w:val="0"/>
              <w:marBottom w:val="0"/>
              <w:divBdr>
                <w:top w:val="none" w:sz="0" w:space="0" w:color="auto"/>
                <w:left w:val="none" w:sz="0" w:space="0" w:color="auto"/>
                <w:bottom w:val="none" w:sz="0" w:space="0" w:color="auto"/>
                <w:right w:val="none" w:sz="0" w:space="0" w:color="auto"/>
              </w:divBdr>
            </w:div>
            <w:div w:id="2073578439">
              <w:marLeft w:val="0"/>
              <w:marRight w:val="0"/>
              <w:marTop w:val="0"/>
              <w:marBottom w:val="0"/>
              <w:divBdr>
                <w:top w:val="none" w:sz="0" w:space="0" w:color="auto"/>
                <w:left w:val="none" w:sz="0" w:space="0" w:color="auto"/>
                <w:bottom w:val="none" w:sz="0" w:space="0" w:color="auto"/>
                <w:right w:val="none" w:sz="0" w:space="0" w:color="auto"/>
              </w:divBdr>
            </w:div>
          </w:divsChild>
        </w:div>
        <w:div w:id="714240090">
          <w:marLeft w:val="0"/>
          <w:marRight w:val="0"/>
          <w:marTop w:val="0"/>
          <w:marBottom w:val="0"/>
          <w:divBdr>
            <w:top w:val="none" w:sz="0" w:space="0" w:color="auto"/>
            <w:left w:val="none" w:sz="0" w:space="0" w:color="auto"/>
            <w:bottom w:val="none" w:sz="0" w:space="0" w:color="auto"/>
            <w:right w:val="none" w:sz="0" w:space="0" w:color="auto"/>
          </w:divBdr>
        </w:div>
        <w:div w:id="1415005363">
          <w:marLeft w:val="0"/>
          <w:marRight w:val="0"/>
          <w:marTop w:val="0"/>
          <w:marBottom w:val="0"/>
          <w:divBdr>
            <w:top w:val="none" w:sz="0" w:space="0" w:color="auto"/>
            <w:left w:val="none" w:sz="0" w:space="0" w:color="auto"/>
            <w:bottom w:val="none" w:sz="0" w:space="0" w:color="auto"/>
            <w:right w:val="none" w:sz="0" w:space="0" w:color="auto"/>
          </w:divBdr>
          <w:divsChild>
            <w:div w:id="1171600713">
              <w:marLeft w:val="-75"/>
              <w:marRight w:val="0"/>
              <w:marTop w:val="30"/>
              <w:marBottom w:val="30"/>
              <w:divBdr>
                <w:top w:val="none" w:sz="0" w:space="0" w:color="auto"/>
                <w:left w:val="none" w:sz="0" w:space="0" w:color="auto"/>
                <w:bottom w:val="none" w:sz="0" w:space="0" w:color="auto"/>
                <w:right w:val="none" w:sz="0" w:space="0" w:color="auto"/>
              </w:divBdr>
              <w:divsChild>
                <w:div w:id="608390936">
                  <w:marLeft w:val="0"/>
                  <w:marRight w:val="0"/>
                  <w:marTop w:val="0"/>
                  <w:marBottom w:val="0"/>
                  <w:divBdr>
                    <w:top w:val="none" w:sz="0" w:space="0" w:color="auto"/>
                    <w:left w:val="none" w:sz="0" w:space="0" w:color="auto"/>
                    <w:bottom w:val="none" w:sz="0" w:space="0" w:color="auto"/>
                    <w:right w:val="none" w:sz="0" w:space="0" w:color="auto"/>
                  </w:divBdr>
                  <w:divsChild>
                    <w:div w:id="960647168">
                      <w:marLeft w:val="0"/>
                      <w:marRight w:val="0"/>
                      <w:marTop w:val="0"/>
                      <w:marBottom w:val="0"/>
                      <w:divBdr>
                        <w:top w:val="none" w:sz="0" w:space="0" w:color="auto"/>
                        <w:left w:val="none" w:sz="0" w:space="0" w:color="auto"/>
                        <w:bottom w:val="none" w:sz="0" w:space="0" w:color="auto"/>
                        <w:right w:val="none" w:sz="0" w:space="0" w:color="auto"/>
                      </w:divBdr>
                    </w:div>
                  </w:divsChild>
                </w:div>
                <w:div w:id="1259370879">
                  <w:marLeft w:val="0"/>
                  <w:marRight w:val="0"/>
                  <w:marTop w:val="0"/>
                  <w:marBottom w:val="0"/>
                  <w:divBdr>
                    <w:top w:val="none" w:sz="0" w:space="0" w:color="auto"/>
                    <w:left w:val="none" w:sz="0" w:space="0" w:color="auto"/>
                    <w:bottom w:val="none" w:sz="0" w:space="0" w:color="auto"/>
                    <w:right w:val="none" w:sz="0" w:space="0" w:color="auto"/>
                  </w:divBdr>
                  <w:divsChild>
                    <w:div w:id="172028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20948">
          <w:marLeft w:val="0"/>
          <w:marRight w:val="0"/>
          <w:marTop w:val="0"/>
          <w:marBottom w:val="0"/>
          <w:divBdr>
            <w:top w:val="none" w:sz="0" w:space="0" w:color="auto"/>
            <w:left w:val="none" w:sz="0" w:space="0" w:color="auto"/>
            <w:bottom w:val="none" w:sz="0" w:space="0" w:color="auto"/>
            <w:right w:val="none" w:sz="0" w:space="0" w:color="auto"/>
          </w:divBdr>
          <w:divsChild>
            <w:div w:id="704671471">
              <w:marLeft w:val="-75"/>
              <w:marRight w:val="0"/>
              <w:marTop w:val="30"/>
              <w:marBottom w:val="30"/>
              <w:divBdr>
                <w:top w:val="none" w:sz="0" w:space="0" w:color="auto"/>
                <w:left w:val="none" w:sz="0" w:space="0" w:color="auto"/>
                <w:bottom w:val="none" w:sz="0" w:space="0" w:color="auto"/>
                <w:right w:val="none" w:sz="0" w:space="0" w:color="auto"/>
              </w:divBdr>
              <w:divsChild>
                <w:div w:id="348944989">
                  <w:marLeft w:val="0"/>
                  <w:marRight w:val="0"/>
                  <w:marTop w:val="0"/>
                  <w:marBottom w:val="0"/>
                  <w:divBdr>
                    <w:top w:val="none" w:sz="0" w:space="0" w:color="auto"/>
                    <w:left w:val="none" w:sz="0" w:space="0" w:color="auto"/>
                    <w:bottom w:val="none" w:sz="0" w:space="0" w:color="auto"/>
                    <w:right w:val="none" w:sz="0" w:space="0" w:color="auto"/>
                  </w:divBdr>
                  <w:divsChild>
                    <w:div w:id="252083292">
                      <w:marLeft w:val="0"/>
                      <w:marRight w:val="0"/>
                      <w:marTop w:val="0"/>
                      <w:marBottom w:val="0"/>
                      <w:divBdr>
                        <w:top w:val="none" w:sz="0" w:space="0" w:color="auto"/>
                        <w:left w:val="none" w:sz="0" w:space="0" w:color="auto"/>
                        <w:bottom w:val="none" w:sz="0" w:space="0" w:color="auto"/>
                        <w:right w:val="none" w:sz="0" w:space="0" w:color="auto"/>
                      </w:divBdr>
                    </w:div>
                    <w:div w:id="544563534">
                      <w:marLeft w:val="0"/>
                      <w:marRight w:val="0"/>
                      <w:marTop w:val="0"/>
                      <w:marBottom w:val="0"/>
                      <w:divBdr>
                        <w:top w:val="none" w:sz="0" w:space="0" w:color="auto"/>
                        <w:left w:val="none" w:sz="0" w:space="0" w:color="auto"/>
                        <w:bottom w:val="none" w:sz="0" w:space="0" w:color="auto"/>
                        <w:right w:val="none" w:sz="0" w:space="0" w:color="auto"/>
                      </w:divBdr>
                    </w:div>
                    <w:div w:id="675614284">
                      <w:marLeft w:val="0"/>
                      <w:marRight w:val="0"/>
                      <w:marTop w:val="0"/>
                      <w:marBottom w:val="0"/>
                      <w:divBdr>
                        <w:top w:val="none" w:sz="0" w:space="0" w:color="auto"/>
                        <w:left w:val="none" w:sz="0" w:space="0" w:color="auto"/>
                        <w:bottom w:val="none" w:sz="0" w:space="0" w:color="auto"/>
                        <w:right w:val="none" w:sz="0" w:space="0" w:color="auto"/>
                      </w:divBdr>
                    </w:div>
                    <w:div w:id="690495590">
                      <w:marLeft w:val="0"/>
                      <w:marRight w:val="0"/>
                      <w:marTop w:val="0"/>
                      <w:marBottom w:val="0"/>
                      <w:divBdr>
                        <w:top w:val="none" w:sz="0" w:space="0" w:color="auto"/>
                        <w:left w:val="none" w:sz="0" w:space="0" w:color="auto"/>
                        <w:bottom w:val="none" w:sz="0" w:space="0" w:color="auto"/>
                        <w:right w:val="none" w:sz="0" w:space="0" w:color="auto"/>
                      </w:divBdr>
                    </w:div>
                    <w:div w:id="1582175903">
                      <w:marLeft w:val="0"/>
                      <w:marRight w:val="0"/>
                      <w:marTop w:val="0"/>
                      <w:marBottom w:val="0"/>
                      <w:divBdr>
                        <w:top w:val="none" w:sz="0" w:space="0" w:color="auto"/>
                        <w:left w:val="none" w:sz="0" w:space="0" w:color="auto"/>
                        <w:bottom w:val="none" w:sz="0" w:space="0" w:color="auto"/>
                        <w:right w:val="none" w:sz="0" w:space="0" w:color="auto"/>
                      </w:divBdr>
                    </w:div>
                    <w:div w:id="1851482011">
                      <w:marLeft w:val="0"/>
                      <w:marRight w:val="0"/>
                      <w:marTop w:val="0"/>
                      <w:marBottom w:val="0"/>
                      <w:divBdr>
                        <w:top w:val="none" w:sz="0" w:space="0" w:color="auto"/>
                        <w:left w:val="none" w:sz="0" w:space="0" w:color="auto"/>
                        <w:bottom w:val="none" w:sz="0" w:space="0" w:color="auto"/>
                        <w:right w:val="none" w:sz="0" w:space="0" w:color="auto"/>
                      </w:divBdr>
                    </w:div>
                  </w:divsChild>
                </w:div>
                <w:div w:id="432362783">
                  <w:marLeft w:val="0"/>
                  <w:marRight w:val="0"/>
                  <w:marTop w:val="0"/>
                  <w:marBottom w:val="0"/>
                  <w:divBdr>
                    <w:top w:val="none" w:sz="0" w:space="0" w:color="auto"/>
                    <w:left w:val="none" w:sz="0" w:space="0" w:color="auto"/>
                    <w:bottom w:val="none" w:sz="0" w:space="0" w:color="auto"/>
                    <w:right w:val="none" w:sz="0" w:space="0" w:color="auto"/>
                  </w:divBdr>
                  <w:divsChild>
                    <w:div w:id="41831797">
                      <w:marLeft w:val="0"/>
                      <w:marRight w:val="0"/>
                      <w:marTop w:val="0"/>
                      <w:marBottom w:val="0"/>
                      <w:divBdr>
                        <w:top w:val="none" w:sz="0" w:space="0" w:color="auto"/>
                        <w:left w:val="none" w:sz="0" w:space="0" w:color="auto"/>
                        <w:bottom w:val="none" w:sz="0" w:space="0" w:color="auto"/>
                        <w:right w:val="none" w:sz="0" w:space="0" w:color="auto"/>
                      </w:divBdr>
                    </w:div>
                  </w:divsChild>
                </w:div>
                <w:div w:id="519009764">
                  <w:marLeft w:val="0"/>
                  <w:marRight w:val="0"/>
                  <w:marTop w:val="0"/>
                  <w:marBottom w:val="0"/>
                  <w:divBdr>
                    <w:top w:val="none" w:sz="0" w:space="0" w:color="auto"/>
                    <w:left w:val="none" w:sz="0" w:space="0" w:color="auto"/>
                    <w:bottom w:val="none" w:sz="0" w:space="0" w:color="auto"/>
                    <w:right w:val="none" w:sz="0" w:space="0" w:color="auto"/>
                  </w:divBdr>
                  <w:divsChild>
                    <w:div w:id="734353588">
                      <w:marLeft w:val="0"/>
                      <w:marRight w:val="0"/>
                      <w:marTop w:val="0"/>
                      <w:marBottom w:val="0"/>
                      <w:divBdr>
                        <w:top w:val="none" w:sz="0" w:space="0" w:color="auto"/>
                        <w:left w:val="none" w:sz="0" w:space="0" w:color="auto"/>
                        <w:bottom w:val="none" w:sz="0" w:space="0" w:color="auto"/>
                        <w:right w:val="none" w:sz="0" w:space="0" w:color="auto"/>
                      </w:divBdr>
                    </w:div>
                  </w:divsChild>
                </w:div>
                <w:div w:id="538054317">
                  <w:marLeft w:val="0"/>
                  <w:marRight w:val="0"/>
                  <w:marTop w:val="0"/>
                  <w:marBottom w:val="0"/>
                  <w:divBdr>
                    <w:top w:val="none" w:sz="0" w:space="0" w:color="auto"/>
                    <w:left w:val="none" w:sz="0" w:space="0" w:color="auto"/>
                    <w:bottom w:val="none" w:sz="0" w:space="0" w:color="auto"/>
                    <w:right w:val="none" w:sz="0" w:space="0" w:color="auto"/>
                  </w:divBdr>
                  <w:divsChild>
                    <w:div w:id="894314713">
                      <w:marLeft w:val="0"/>
                      <w:marRight w:val="0"/>
                      <w:marTop w:val="0"/>
                      <w:marBottom w:val="0"/>
                      <w:divBdr>
                        <w:top w:val="none" w:sz="0" w:space="0" w:color="auto"/>
                        <w:left w:val="none" w:sz="0" w:space="0" w:color="auto"/>
                        <w:bottom w:val="none" w:sz="0" w:space="0" w:color="auto"/>
                        <w:right w:val="none" w:sz="0" w:space="0" w:color="auto"/>
                      </w:divBdr>
                    </w:div>
                    <w:div w:id="927688029">
                      <w:marLeft w:val="0"/>
                      <w:marRight w:val="0"/>
                      <w:marTop w:val="0"/>
                      <w:marBottom w:val="0"/>
                      <w:divBdr>
                        <w:top w:val="none" w:sz="0" w:space="0" w:color="auto"/>
                        <w:left w:val="none" w:sz="0" w:space="0" w:color="auto"/>
                        <w:bottom w:val="none" w:sz="0" w:space="0" w:color="auto"/>
                        <w:right w:val="none" w:sz="0" w:space="0" w:color="auto"/>
                      </w:divBdr>
                    </w:div>
                    <w:div w:id="1783381061">
                      <w:marLeft w:val="0"/>
                      <w:marRight w:val="0"/>
                      <w:marTop w:val="0"/>
                      <w:marBottom w:val="0"/>
                      <w:divBdr>
                        <w:top w:val="none" w:sz="0" w:space="0" w:color="auto"/>
                        <w:left w:val="none" w:sz="0" w:space="0" w:color="auto"/>
                        <w:bottom w:val="none" w:sz="0" w:space="0" w:color="auto"/>
                        <w:right w:val="none" w:sz="0" w:space="0" w:color="auto"/>
                      </w:divBdr>
                    </w:div>
                    <w:div w:id="1974872454">
                      <w:marLeft w:val="0"/>
                      <w:marRight w:val="0"/>
                      <w:marTop w:val="0"/>
                      <w:marBottom w:val="0"/>
                      <w:divBdr>
                        <w:top w:val="none" w:sz="0" w:space="0" w:color="auto"/>
                        <w:left w:val="none" w:sz="0" w:space="0" w:color="auto"/>
                        <w:bottom w:val="none" w:sz="0" w:space="0" w:color="auto"/>
                        <w:right w:val="none" w:sz="0" w:space="0" w:color="auto"/>
                      </w:divBdr>
                    </w:div>
                  </w:divsChild>
                </w:div>
                <w:div w:id="839467331">
                  <w:marLeft w:val="0"/>
                  <w:marRight w:val="0"/>
                  <w:marTop w:val="0"/>
                  <w:marBottom w:val="0"/>
                  <w:divBdr>
                    <w:top w:val="none" w:sz="0" w:space="0" w:color="auto"/>
                    <w:left w:val="none" w:sz="0" w:space="0" w:color="auto"/>
                    <w:bottom w:val="none" w:sz="0" w:space="0" w:color="auto"/>
                    <w:right w:val="none" w:sz="0" w:space="0" w:color="auto"/>
                  </w:divBdr>
                  <w:divsChild>
                    <w:div w:id="1451390322">
                      <w:marLeft w:val="0"/>
                      <w:marRight w:val="0"/>
                      <w:marTop w:val="0"/>
                      <w:marBottom w:val="0"/>
                      <w:divBdr>
                        <w:top w:val="none" w:sz="0" w:space="0" w:color="auto"/>
                        <w:left w:val="none" w:sz="0" w:space="0" w:color="auto"/>
                        <w:bottom w:val="none" w:sz="0" w:space="0" w:color="auto"/>
                        <w:right w:val="none" w:sz="0" w:space="0" w:color="auto"/>
                      </w:divBdr>
                    </w:div>
                  </w:divsChild>
                </w:div>
                <w:div w:id="922177124">
                  <w:marLeft w:val="0"/>
                  <w:marRight w:val="0"/>
                  <w:marTop w:val="0"/>
                  <w:marBottom w:val="0"/>
                  <w:divBdr>
                    <w:top w:val="none" w:sz="0" w:space="0" w:color="auto"/>
                    <w:left w:val="none" w:sz="0" w:space="0" w:color="auto"/>
                    <w:bottom w:val="none" w:sz="0" w:space="0" w:color="auto"/>
                    <w:right w:val="none" w:sz="0" w:space="0" w:color="auto"/>
                  </w:divBdr>
                  <w:divsChild>
                    <w:div w:id="158664052">
                      <w:marLeft w:val="0"/>
                      <w:marRight w:val="0"/>
                      <w:marTop w:val="0"/>
                      <w:marBottom w:val="0"/>
                      <w:divBdr>
                        <w:top w:val="none" w:sz="0" w:space="0" w:color="auto"/>
                        <w:left w:val="none" w:sz="0" w:space="0" w:color="auto"/>
                        <w:bottom w:val="none" w:sz="0" w:space="0" w:color="auto"/>
                        <w:right w:val="none" w:sz="0" w:space="0" w:color="auto"/>
                      </w:divBdr>
                    </w:div>
                    <w:div w:id="1677726442">
                      <w:marLeft w:val="0"/>
                      <w:marRight w:val="0"/>
                      <w:marTop w:val="0"/>
                      <w:marBottom w:val="0"/>
                      <w:divBdr>
                        <w:top w:val="none" w:sz="0" w:space="0" w:color="auto"/>
                        <w:left w:val="none" w:sz="0" w:space="0" w:color="auto"/>
                        <w:bottom w:val="none" w:sz="0" w:space="0" w:color="auto"/>
                        <w:right w:val="none" w:sz="0" w:space="0" w:color="auto"/>
                      </w:divBdr>
                    </w:div>
                    <w:div w:id="1801344067">
                      <w:marLeft w:val="0"/>
                      <w:marRight w:val="0"/>
                      <w:marTop w:val="0"/>
                      <w:marBottom w:val="0"/>
                      <w:divBdr>
                        <w:top w:val="none" w:sz="0" w:space="0" w:color="auto"/>
                        <w:left w:val="none" w:sz="0" w:space="0" w:color="auto"/>
                        <w:bottom w:val="none" w:sz="0" w:space="0" w:color="auto"/>
                        <w:right w:val="none" w:sz="0" w:space="0" w:color="auto"/>
                      </w:divBdr>
                    </w:div>
                  </w:divsChild>
                </w:div>
                <w:div w:id="1051349953">
                  <w:marLeft w:val="0"/>
                  <w:marRight w:val="0"/>
                  <w:marTop w:val="0"/>
                  <w:marBottom w:val="0"/>
                  <w:divBdr>
                    <w:top w:val="none" w:sz="0" w:space="0" w:color="auto"/>
                    <w:left w:val="none" w:sz="0" w:space="0" w:color="auto"/>
                    <w:bottom w:val="none" w:sz="0" w:space="0" w:color="auto"/>
                    <w:right w:val="none" w:sz="0" w:space="0" w:color="auto"/>
                  </w:divBdr>
                  <w:divsChild>
                    <w:div w:id="967591575">
                      <w:marLeft w:val="0"/>
                      <w:marRight w:val="0"/>
                      <w:marTop w:val="0"/>
                      <w:marBottom w:val="0"/>
                      <w:divBdr>
                        <w:top w:val="none" w:sz="0" w:space="0" w:color="auto"/>
                        <w:left w:val="none" w:sz="0" w:space="0" w:color="auto"/>
                        <w:bottom w:val="none" w:sz="0" w:space="0" w:color="auto"/>
                        <w:right w:val="none" w:sz="0" w:space="0" w:color="auto"/>
                      </w:divBdr>
                    </w:div>
                  </w:divsChild>
                </w:div>
                <w:div w:id="1350566293">
                  <w:marLeft w:val="0"/>
                  <w:marRight w:val="0"/>
                  <w:marTop w:val="0"/>
                  <w:marBottom w:val="0"/>
                  <w:divBdr>
                    <w:top w:val="none" w:sz="0" w:space="0" w:color="auto"/>
                    <w:left w:val="none" w:sz="0" w:space="0" w:color="auto"/>
                    <w:bottom w:val="none" w:sz="0" w:space="0" w:color="auto"/>
                    <w:right w:val="none" w:sz="0" w:space="0" w:color="auto"/>
                  </w:divBdr>
                  <w:divsChild>
                    <w:div w:id="552930821">
                      <w:marLeft w:val="0"/>
                      <w:marRight w:val="0"/>
                      <w:marTop w:val="0"/>
                      <w:marBottom w:val="0"/>
                      <w:divBdr>
                        <w:top w:val="none" w:sz="0" w:space="0" w:color="auto"/>
                        <w:left w:val="none" w:sz="0" w:space="0" w:color="auto"/>
                        <w:bottom w:val="none" w:sz="0" w:space="0" w:color="auto"/>
                        <w:right w:val="none" w:sz="0" w:space="0" w:color="auto"/>
                      </w:divBdr>
                    </w:div>
                  </w:divsChild>
                </w:div>
                <w:div w:id="1395860827">
                  <w:marLeft w:val="0"/>
                  <w:marRight w:val="0"/>
                  <w:marTop w:val="0"/>
                  <w:marBottom w:val="0"/>
                  <w:divBdr>
                    <w:top w:val="none" w:sz="0" w:space="0" w:color="auto"/>
                    <w:left w:val="none" w:sz="0" w:space="0" w:color="auto"/>
                    <w:bottom w:val="none" w:sz="0" w:space="0" w:color="auto"/>
                    <w:right w:val="none" w:sz="0" w:space="0" w:color="auto"/>
                  </w:divBdr>
                  <w:divsChild>
                    <w:div w:id="76679191">
                      <w:marLeft w:val="0"/>
                      <w:marRight w:val="0"/>
                      <w:marTop w:val="0"/>
                      <w:marBottom w:val="0"/>
                      <w:divBdr>
                        <w:top w:val="none" w:sz="0" w:space="0" w:color="auto"/>
                        <w:left w:val="none" w:sz="0" w:space="0" w:color="auto"/>
                        <w:bottom w:val="none" w:sz="0" w:space="0" w:color="auto"/>
                        <w:right w:val="none" w:sz="0" w:space="0" w:color="auto"/>
                      </w:divBdr>
                    </w:div>
                  </w:divsChild>
                </w:div>
                <w:div w:id="1424719679">
                  <w:marLeft w:val="0"/>
                  <w:marRight w:val="0"/>
                  <w:marTop w:val="0"/>
                  <w:marBottom w:val="0"/>
                  <w:divBdr>
                    <w:top w:val="none" w:sz="0" w:space="0" w:color="auto"/>
                    <w:left w:val="none" w:sz="0" w:space="0" w:color="auto"/>
                    <w:bottom w:val="none" w:sz="0" w:space="0" w:color="auto"/>
                    <w:right w:val="none" w:sz="0" w:space="0" w:color="auto"/>
                  </w:divBdr>
                  <w:divsChild>
                    <w:div w:id="964194357">
                      <w:marLeft w:val="0"/>
                      <w:marRight w:val="0"/>
                      <w:marTop w:val="0"/>
                      <w:marBottom w:val="0"/>
                      <w:divBdr>
                        <w:top w:val="none" w:sz="0" w:space="0" w:color="auto"/>
                        <w:left w:val="none" w:sz="0" w:space="0" w:color="auto"/>
                        <w:bottom w:val="none" w:sz="0" w:space="0" w:color="auto"/>
                        <w:right w:val="none" w:sz="0" w:space="0" w:color="auto"/>
                      </w:divBdr>
                    </w:div>
                  </w:divsChild>
                </w:div>
                <w:div w:id="1617788473">
                  <w:marLeft w:val="0"/>
                  <w:marRight w:val="0"/>
                  <w:marTop w:val="0"/>
                  <w:marBottom w:val="0"/>
                  <w:divBdr>
                    <w:top w:val="none" w:sz="0" w:space="0" w:color="auto"/>
                    <w:left w:val="none" w:sz="0" w:space="0" w:color="auto"/>
                    <w:bottom w:val="none" w:sz="0" w:space="0" w:color="auto"/>
                    <w:right w:val="none" w:sz="0" w:space="0" w:color="auto"/>
                  </w:divBdr>
                  <w:divsChild>
                    <w:div w:id="105663393">
                      <w:marLeft w:val="0"/>
                      <w:marRight w:val="0"/>
                      <w:marTop w:val="0"/>
                      <w:marBottom w:val="0"/>
                      <w:divBdr>
                        <w:top w:val="none" w:sz="0" w:space="0" w:color="auto"/>
                        <w:left w:val="none" w:sz="0" w:space="0" w:color="auto"/>
                        <w:bottom w:val="none" w:sz="0" w:space="0" w:color="auto"/>
                        <w:right w:val="none" w:sz="0" w:space="0" w:color="auto"/>
                      </w:divBdr>
                    </w:div>
                    <w:div w:id="502477820">
                      <w:marLeft w:val="0"/>
                      <w:marRight w:val="0"/>
                      <w:marTop w:val="0"/>
                      <w:marBottom w:val="0"/>
                      <w:divBdr>
                        <w:top w:val="none" w:sz="0" w:space="0" w:color="auto"/>
                        <w:left w:val="none" w:sz="0" w:space="0" w:color="auto"/>
                        <w:bottom w:val="none" w:sz="0" w:space="0" w:color="auto"/>
                        <w:right w:val="none" w:sz="0" w:space="0" w:color="auto"/>
                      </w:divBdr>
                    </w:div>
                    <w:div w:id="850531795">
                      <w:marLeft w:val="0"/>
                      <w:marRight w:val="0"/>
                      <w:marTop w:val="0"/>
                      <w:marBottom w:val="0"/>
                      <w:divBdr>
                        <w:top w:val="none" w:sz="0" w:space="0" w:color="auto"/>
                        <w:left w:val="none" w:sz="0" w:space="0" w:color="auto"/>
                        <w:bottom w:val="none" w:sz="0" w:space="0" w:color="auto"/>
                        <w:right w:val="none" w:sz="0" w:space="0" w:color="auto"/>
                      </w:divBdr>
                    </w:div>
                    <w:div w:id="1848669415">
                      <w:marLeft w:val="0"/>
                      <w:marRight w:val="0"/>
                      <w:marTop w:val="0"/>
                      <w:marBottom w:val="0"/>
                      <w:divBdr>
                        <w:top w:val="none" w:sz="0" w:space="0" w:color="auto"/>
                        <w:left w:val="none" w:sz="0" w:space="0" w:color="auto"/>
                        <w:bottom w:val="none" w:sz="0" w:space="0" w:color="auto"/>
                        <w:right w:val="none" w:sz="0" w:space="0" w:color="auto"/>
                      </w:divBdr>
                    </w:div>
                  </w:divsChild>
                </w:div>
                <w:div w:id="1710494831">
                  <w:marLeft w:val="0"/>
                  <w:marRight w:val="0"/>
                  <w:marTop w:val="0"/>
                  <w:marBottom w:val="0"/>
                  <w:divBdr>
                    <w:top w:val="none" w:sz="0" w:space="0" w:color="auto"/>
                    <w:left w:val="none" w:sz="0" w:space="0" w:color="auto"/>
                    <w:bottom w:val="none" w:sz="0" w:space="0" w:color="auto"/>
                    <w:right w:val="none" w:sz="0" w:space="0" w:color="auto"/>
                  </w:divBdr>
                  <w:divsChild>
                    <w:div w:id="750157245">
                      <w:marLeft w:val="0"/>
                      <w:marRight w:val="0"/>
                      <w:marTop w:val="0"/>
                      <w:marBottom w:val="0"/>
                      <w:divBdr>
                        <w:top w:val="none" w:sz="0" w:space="0" w:color="auto"/>
                        <w:left w:val="none" w:sz="0" w:space="0" w:color="auto"/>
                        <w:bottom w:val="none" w:sz="0" w:space="0" w:color="auto"/>
                        <w:right w:val="none" w:sz="0" w:space="0" w:color="auto"/>
                      </w:divBdr>
                    </w:div>
                    <w:div w:id="21381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067235">
      <w:bodyDiv w:val="1"/>
      <w:marLeft w:val="0"/>
      <w:marRight w:val="0"/>
      <w:marTop w:val="0"/>
      <w:marBottom w:val="0"/>
      <w:divBdr>
        <w:top w:val="none" w:sz="0" w:space="0" w:color="auto"/>
        <w:left w:val="none" w:sz="0" w:space="0" w:color="auto"/>
        <w:bottom w:val="none" w:sz="0" w:space="0" w:color="auto"/>
        <w:right w:val="none" w:sz="0" w:space="0" w:color="auto"/>
      </w:divBdr>
      <w:divsChild>
        <w:div w:id="1284070602">
          <w:marLeft w:val="0"/>
          <w:marRight w:val="0"/>
          <w:marTop w:val="0"/>
          <w:marBottom w:val="0"/>
          <w:divBdr>
            <w:top w:val="none" w:sz="0" w:space="0" w:color="auto"/>
            <w:left w:val="none" w:sz="0" w:space="0" w:color="auto"/>
            <w:bottom w:val="none" w:sz="0" w:space="0" w:color="auto"/>
            <w:right w:val="none" w:sz="0" w:space="0" w:color="auto"/>
          </w:divBdr>
          <w:divsChild>
            <w:div w:id="161161378">
              <w:marLeft w:val="0"/>
              <w:marRight w:val="0"/>
              <w:marTop w:val="0"/>
              <w:marBottom w:val="0"/>
              <w:divBdr>
                <w:top w:val="none" w:sz="0" w:space="0" w:color="auto"/>
                <w:left w:val="none" w:sz="0" w:space="0" w:color="auto"/>
                <w:bottom w:val="none" w:sz="0" w:space="0" w:color="auto"/>
                <w:right w:val="none" w:sz="0" w:space="0" w:color="auto"/>
              </w:divBdr>
            </w:div>
            <w:div w:id="202448431">
              <w:marLeft w:val="0"/>
              <w:marRight w:val="0"/>
              <w:marTop w:val="0"/>
              <w:marBottom w:val="0"/>
              <w:divBdr>
                <w:top w:val="none" w:sz="0" w:space="0" w:color="auto"/>
                <w:left w:val="none" w:sz="0" w:space="0" w:color="auto"/>
                <w:bottom w:val="none" w:sz="0" w:space="0" w:color="auto"/>
                <w:right w:val="none" w:sz="0" w:space="0" w:color="auto"/>
              </w:divBdr>
            </w:div>
            <w:div w:id="283313503">
              <w:marLeft w:val="0"/>
              <w:marRight w:val="0"/>
              <w:marTop w:val="0"/>
              <w:marBottom w:val="0"/>
              <w:divBdr>
                <w:top w:val="none" w:sz="0" w:space="0" w:color="auto"/>
                <w:left w:val="none" w:sz="0" w:space="0" w:color="auto"/>
                <w:bottom w:val="none" w:sz="0" w:space="0" w:color="auto"/>
                <w:right w:val="none" w:sz="0" w:space="0" w:color="auto"/>
              </w:divBdr>
            </w:div>
            <w:div w:id="662660729">
              <w:marLeft w:val="0"/>
              <w:marRight w:val="0"/>
              <w:marTop w:val="0"/>
              <w:marBottom w:val="0"/>
              <w:divBdr>
                <w:top w:val="none" w:sz="0" w:space="0" w:color="auto"/>
                <w:left w:val="none" w:sz="0" w:space="0" w:color="auto"/>
                <w:bottom w:val="none" w:sz="0" w:space="0" w:color="auto"/>
                <w:right w:val="none" w:sz="0" w:space="0" w:color="auto"/>
              </w:divBdr>
            </w:div>
            <w:div w:id="858588179">
              <w:marLeft w:val="0"/>
              <w:marRight w:val="0"/>
              <w:marTop w:val="0"/>
              <w:marBottom w:val="0"/>
              <w:divBdr>
                <w:top w:val="none" w:sz="0" w:space="0" w:color="auto"/>
                <w:left w:val="none" w:sz="0" w:space="0" w:color="auto"/>
                <w:bottom w:val="none" w:sz="0" w:space="0" w:color="auto"/>
                <w:right w:val="none" w:sz="0" w:space="0" w:color="auto"/>
              </w:divBdr>
            </w:div>
            <w:div w:id="1898321226">
              <w:marLeft w:val="0"/>
              <w:marRight w:val="0"/>
              <w:marTop w:val="0"/>
              <w:marBottom w:val="0"/>
              <w:divBdr>
                <w:top w:val="none" w:sz="0" w:space="0" w:color="auto"/>
                <w:left w:val="none" w:sz="0" w:space="0" w:color="auto"/>
                <w:bottom w:val="none" w:sz="0" w:space="0" w:color="auto"/>
                <w:right w:val="none" w:sz="0" w:space="0" w:color="auto"/>
              </w:divBdr>
            </w:div>
            <w:div w:id="2080009051">
              <w:marLeft w:val="0"/>
              <w:marRight w:val="0"/>
              <w:marTop w:val="0"/>
              <w:marBottom w:val="0"/>
              <w:divBdr>
                <w:top w:val="none" w:sz="0" w:space="0" w:color="auto"/>
                <w:left w:val="none" w:sz="0" w:space="0" w:color="auto"/>
                <w:bottom w:val="none" w:sz="0" w:space="0" w:color="auto"/>
                <w:right w:val="none" w:sz="0" w:space="0" w:color="auto"/>
              </w:divBdr>
            </w:div>
          </w:divsChild>
        </w:div>
        <w:div w:id="1554464082">
          <w:marLeft w:val="0"/>
          <w:marRight w:val="0"/>
          <w:marTop w:val="0"/>
          <w:marBottom w:val="0"/>
          <w:divBdr>
            <w:top w:val="none" w:sz="0" w:space="0" w:color="auto"/>
            <w:left w:val="none" w:sz="0" w:space="0" w:color="auto"/>
            <w:bottom w:val="none" w:sz="0" w:space="0" w:color="auto"/>
            <w:right w:val="none" w:sz="0" w:space="0" w:color="auto"/>
          </w:divBdr>
          <w:divsChild>
            <w:div w:id="1170170649">
              <w:marLeft w:val="-75"/>
              <w:marRight w:val="0"/>
              <w:marTop w:val="30"/>
              <w:marBottom w:val="30"/>
              <w:divBdr>
                <w:top w:val="none" w:sz="0" w:space="0" w:color="auto"/>
                <w:left w:val="none" w:sz="0" w:space="0" w:color="auto"/>
                <w:bottom w:val="none" w:sz="0" w:space="0" w:color="auto"/>
                <w:right w:val="none" w:sz="0" w:space="0" w:color="auto"/>
              </w:divBdr>
              <w:divsChild>
                <w:div w:id="1555308600">
                  <w:marLeft w:val="0"/>
                  <w:marRight w:val="0"/>
                  <w:marTop w:val="0"/>
                  <w:marBottom w:val="0"/>
                  <w:divBdr>
                    <w:top w:val="none" w:sz="0" w:space="0" w:color="auto"/>
                    <w:left w:val="none" w:sz="0" w:space="0" w:color="auto"/>
                    <w:bottom w:val="none" w:sz="0" w:space="0" w:color="auto"/>
                    <w:right w:val="none" w:sz="0" w:space="0" w:color="auto"/>
                  </w:divBdr>
                  <w:divsChild>
                    <w:div w:id="1966109219">
                      <w:marLeft w:val="0"/>
                      <w:marRight w:val="0"/>
                      <w:marTop w:val="0"/>
                      <w:marBottom w:val="0"/>
                      <w:divBdr>
                        <w:top w:val="none" w:sz="0" w:space="0" w:color="auto"/>
                        <w:left w:val="none" w:sz="0" w:space="0" w:color="auto"/>
                        <w:bottom w:val="none" w:sz="0" w:space="0" w:color="auto"/>
                        <w:right w:val="none" w:sz="0" w:space="0" w:color="auto"/>
                      </w:divBdr>
                    </w:div>
                  </w:divsChild>
                </w:div>
                <w:div w:id="1665936538">
                  <w:marLeft w:val="0"/>
                  <w:marRight w:val="0"/>
                  <w:marTop w:val="0"/>
                  <w:marBottom w:val="0"/>
                  <w:divBdr>
                    <w:top w:val="none" w:sz="0" w:space="0" w:color="auto"/>
                    <w:left w:val="none" w:sz="0" w:space="0" w:color="auto"/>
                    <w:bottom w:val="none" w:sz="0" w:space="0" w:color="auto"/>
                    <w:right w:val="none" w:sz="0" w:space="0" w:color="auto"/>
                  </w:divBdr>
                  <w:divsChild>
                    <w:div w:id="12130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7066">
          <w:marLeft w:val="0"/>
          <w:marRight w:val="0"/>
          <w:marTop w:val="0"/>
          <w:marBottom w:val="0"/>
          <w:divBdr>
            <w:top w:val="none" w:sz="0" w:space="0" w:color="auto"/>
            <w:left w:val="none" w:sz="0" w:space="0" w:color="auto"/>
            <w:bottom w:val="none" w:sz="0" w:space="0" w:color="auto"/>
            <w:right w:val="none" w:sz="0" w:space="0" w:color="auto"/>
          </w:divBdr>
        </w:div>
        <w:div w:id="2013682173">
          <w:marLeft w:val="0"/>
          <w:marRight w:val="0"/>
          <w:marTop w:val="0"/>
          <w:marBottom w:val="0"/>
          <w:divBdr>
            <w:top w:val="none" w:sz="0" w:space="0" w:color="auto"/>
            <w:left w:val="none" w:sz="0" w:space="0" w:color="auto"/>
            <w:bottom w:val="none" w:sz="0" w:space="0" w:color="auto"/>
            <w:right w:val="none" w:sz="0" w:space="0" w:color="auto"/>
          </w:divBdr>
          <w:divsChild>
            <w:div w:id="442187927">
              <w:marLeft w:val="-75"/>
              <w:marRight w:val="0"/>
              <w:marTop w:val="30"/>
              <w:marBottom w:val="30"/>
              <w:divBdr>
                <w:top w:val="none" w:sz="0" w:space="0" w:color="auto"/>
                <w:left w:val="none" w:sz="0" w:space="0" w:color="auto"/>
                <w:bottom w:val="none" w:sz="0" w:space="0" w:color="auto"/>
                <w:right w:val="none" w:sz="0" w:space="0" w:color="auto"/>
              </w:divBdr>
              <w:divsChild>
                <w:div w:id="181939749">
                  <w:marLeft w:val="0"/>
                  <w:marRight w:val="0"/>
                  <w:marTop w:val="0"/>
                  <w:marBottom w:val="0"/>
                  <w:divBdr>
                    <w:top w:val="none" w:sz="0" w:space="0" w:color="auto"/>
                    <w:left w:val="none" w:sz="0" w:space="0" w:color="auto"/>
                    <w:bottom w:val="none" w:sz="0" w:space="0" w:color="auto"/>
                    <w:right w:val="none" w:sz="0" w:space="0" w:color="auto"/>
                  </w:divBdr>
                  <w:divsChild>
                    <w:div w:id="1602372506">
                      <w:marLeft w:val="0"/>
                      <w:marRight w:val="0"/>
                      <w:marTop w:val="0"/>
                      <w:marBottom w:val="0"/>
                      <w:divBdr>
                        <w:top w:val="none" w:sz="0" w:space="0" w:color="auto"/>
                        <w:left w:val="none" w:sz="0" w:space="0" w:color="auto"/>
                        <w:bottom w:val="none" w:sz="0" w:space="0" w:color="auto"/>
                        <w:right w:val="none" w:sz="0" w:space="0" w:color="auto"/>
                      </w:divBdr>
                    </w:div>
                  </w:divsChild>
                </w:div>
                <w:div w:id="717120345">
                  <w:marLeft w:val="0"/>
                  <w:marRight w:val="0"/>
                  <w:marTop w:val="0"/>
                  <w:marBottom w:val="0"/>
                  <w:divBdr>
                    <w:top w:val="none" w:sz="0" w:space="0" w:color="auto"/>
                    <w:left w:val="none" w:sz="0" w:space="0" w:color="auto"/>
                    <w:bottom w:val="none" w:sz="0" w:space="0" w:color="auto"/>
                    <w:right w:val="none" w:sz="0" w:space="0" w:color="auto"/>
                  </w:divBdr>
                  <w:divsChild>
                    <w:div w:id="360742768">
                      <w:marLeft w:val="0"/>
                      <w:marRight w:val="0"/>
                      <w:marTop w:val="0"/>
                      <w:marBottom w:val="0"/>
                      <w:divBdr>
                        <w:top w:val="none" w:sz="0" w:space="0" w:color="auto"/>
                        <w:left w:val="none" w:sz="0" w:space="0" w:color="auto"/>
                        <w:bottom w:val="none" w:sz="0" w:space="0" w:color="auto"/>
                        <w:right w:val="none" w:sz="0" w:space="0" w:color="auto"/>
                      </w:divBdr>
                    </w:div>
                    <w:div w:id="697048252">
                      <w:marLeft w:val="0"/>
                      <w:marRight w:val="0"/>
                      <w:marTop w:val="0"/>
                      <w:marBottom w:val="0"/>
                      <w:divBdr>
                        <w:top w:val="none" w:sz="0" w:space="0" w:color="auto"/>
                        <w:left w:val="none" w:sz="0" w:space="0" w:color="auto"/>
                        <w:bottom w:val="none" w:sz="0" w:space="0" w:color="auto"/>
                        <w:right w:val="none" w:sz="0" w:space="0" w:color="auto"/>
                      </w:divBdr>
                    </w:div>
                  </w:divsChild>
                </w:div>
                <w:div w:id="993728383">
                  <w:marLeft w:val="0"/>
                  <w:marRight w:val="0"/>
                  <w:marTop w:val="0"/>
                  <w:marBottom w:val="0"/>
                  <w:divBdr>
                    <w:top w:val="none" w:sz="0" w:space="0" w:color="auto"/>
                    <w:left w:val="none" w:sz="0" w:space="0" w:color="auto"/>
                    <w:bottom w:val="none" w:sz="0" w:space="0" w:color="auto"/>
                    <w:right w:val="none" w:sz="0" w:space="0" w:color="auto"/>
                  </w:divBdr>
                  <w:divsChild>
                    <w:div w:id="1875189737">
                      <w:marLeft w:val="0"/>
                      <w:marRight w:val="0"/>
                      <w:marTop w:val="0"/>
                      <w:marBottom w:val="0"/>
                      <w:divBdr>
                        <w:top w:val="none" w:sz="0" w:space="0" w:color="auto"/>
                        <w:left w:val="none" w:sz="0" w:space="0" w:color="auto"/>
                        <w:bottom w:val="none" w:sz="0" w:space="0" w:color="auto"/>
                        <w:right w:val="none" w:sz="0" w:space="0" w:color="auto"/>
                      </w:divBdr>
                    </w:div>
                  </w:divsChild>
                </w:div>
                <w:div w:id="1049063310">
                  <w:marLeft w:val="0"/>
                  <w:marRight w:val="0"/>
                  <w:marTop w:val="0"/>
                  <w:marBottom w:val="0"/>
                  <w:divBdr>
                    <w:top w:val="none" w:sz="0" w:space="0" w:color="auto"/>
                    <w:left w:val="none" w:sz="0" w:space="0" w:color="auto"/>
                    <w:bottom w:val="none" w:sz="0" w:space="0" w:color="auto"/>
                    <w:right w:val="none" w:sz="0" w:space="0" w:color="auto"/>
                  </w:divBdr>
                  <w:divsChild>
                    <w:div w:id="1137794423">
                      <w:marLeft w:val="0"/>
                      <w:marRight w:val="0"/>
                      <w:marTop w:val="0"/>
                      <w:marBottom w:val="0"/>
                      <w:divBdr>
                        <w:top w:val="none" w:sz="0" w:space="0" w:color="auto"/>
                        <w:left w:val="none" w:sz="0" w:space="0" w:color="auto"/>
                        <w:bottom w:val="none" w:sz="0" w:space="0" w:color="auto"/>
                        <w:right w:val="none" w:sz="0" w:space="0" w:color="auto"/>
                      </w:divBdr>
                    </w:div>
                  </w:divsChild>
                </w:div>
                <w:div w:id="1242449163">
                  <w:marLeft w:val="0"/>
                  <w:marRight w:val="0"/>
                  <w:marTop w:val="0"/>
                  <w:marBottom w:val="0"/>
                  <w:divBdr>
                    <w:top w:val="none" w:sz="0" w:space="0" w:color="auto"/>
                    <w:left w:val="none" w:sz="0" w:space="0" w:color="auto"/>
                    <w:bottom w:val="none" w:sz="0" w:space="0" w:color="auto"/>
                    <w:right w:val="none" w:sz="0" w:space="0" w:color="auto"/>
                  </w:divBdr>
                  <w:divsChild>
                    <w:div w:id="1286346535">
                      <w:marLeft w:val="0"/>
                      <w:marRight w:val="0"/>
                      <w:marTop w:val="0"/>
                      <w:marBottom w:val="0"/>
                      <w:divBdr>
                        <w:top w:val="none" w:sz="0" w:space="0" w:color="auto"/>
                        <w:left w:val="none" w:sz="0" w:space="0" w:color="auto"/>
                        <w:bottom w:val="none" w:sz="0" w:space="0" w:color="auto"/>
                        <w:right w:val="none" w:sz="0" w:space="0" w:color="auto"/>
                      </w:divBdr>
                    </w:div>
                  </w:divsChild>
                </w:div>
                <w:div w:id="1252735989">
                  <w:marLeft w:val="0"/>
                  <w:marRight w:val="0"/>
                  <w:marTop w:val="0"/>
                  <w:marBottom w:val="0"/>
                  <w:divBdr>
                    <w:top w:val="none" w:sz="0" w:space="0" w:color="auto"/>
                    <w:left w:val="none" w:sz="0" w:space="0" w:color="auto"/>
                    <w:bottom w:val="none" w:sz="0" w:space="0" w:color="auto"/>
                    <w:right w:val="none" w:sz="0" w:space="0" w:color="auto"/>
                  </w:divBdr>
                  <w:divsChild>
                    <w:div w:id="368649608">
                      <w:marLeft w:val="0"/>
                      <w:marRight w:val="0"/>
                      <w:marTop w:val="0"/>
                      <w:marBottom w:val="0"/>
                      <w:divBdr>
                        <w:top w:val="none" w:sz="0" w:space="0" w:color="auto"/>
                        <w:left w:val="none" w:sz="0" w:space="0" w:color="auto"/>
                        <w:bottom w:val="none" w:sz="0" w:space="0" w:color="auto"/>
                        <w:right w:val="none" w:sz="0" w:space="0" w:color="auto"/>
                      </w:divBdr>
                    </w:div>
                    <w:div w:id="660735752">
                      <w:marLeft w:val="0"/>
                      <w:marRight w:val="0"/>
                      <w:marTop w:val="0"/>
                      <w:marBottom w:val="0"/>
                      <w:divBdr>
                        <w:top w:val="none" w:sz="0" w:space="0" w:color="auto"/>
                        <w:left w:val="none" w:sz="0" w:space="0" w:color="auto"/>
                        <w:bottom w:val="none" w:sz="0" w:space="0" w:color="auto"/>
                        <w:right w:val="none" w:sz="0" w:space="0" w:color="auto"/>
                      </w:divBdr>
                    </w:div>
                    <w:div w:id="1010983355">
                      <w:marLeft w:val="0"/>
                      <w:marRight w:val="0"/>
                      <w:marTop w:val="0"/>
                      <w:marBottom w:val="0"/>
                      <w:divBdr>
                        <w:top w:val="none" w:sz="0" w:space="0" w:color="auto"/>
                        <w:left w:val="none" w:sz="0" w:space="0" w:color="auto"/>
                        <w:bottom w:val="none" w:sz="0" w:space="0" w:color="auto"/>
                        <w:right w:val="none" w:sz="0" w:space="0" w:color="auto"/>
                      </w:divBdr>
                    </w:div>
                    <w:div w:id="1687487849">
                      <w:marLeft w:val="0"/>
                      <w:marRight w:val="0"/>
                      <w:marTop w:val="0"/>
                      <w:marBottom w:val="0"/>
                      <w:divBdr>
                        <w:top w:val="none" w:sz="0" w:space="0" w:color="auto"/>
                        <w:left w:val="none" w:sz="0" w:space="0" w:color="auto"/>
                        <w:bottom w:val="none" w:sz="0" w:space="0" w:color="auto"/>
                        <w:right w:val="none" w:sz="0" w:space="0" w:color="auto"/>
                      </w:divBdr>
                    </w:div>
                  </w:divsChild>
                </w:div>
                <w:div w:id="1423337086">
                  <w:marLeft w:val="0"/>
                  <w:marRight w:val="0"/>
                  <w:marTop w:val="0"/>
                  <w:marBottom w:val="0"/>
                  <w:divBdr>
                    <w:top w:val="none" w:sz="0" w:space="0" w:color="auto"/>
                    <w:left w:val="none" w:sz="0" w:space="0" w:color="auto"/>
                    <w:bottom w:val="none" w:sz="0" w:space="0" w:color="auto"/>
                    <w:right w:val="none" w:sz="0" w:space="0" w:color="auto"/>
                  </w:divBdr>
                  <w:divsChild>
                    <w:div w:id="1558398022">
                      <w:marLeft w:val="0"/>
                      <w:marRight w:val="0"/>
                      <w:marTop w:val="0"/>
                      <w:marBottom w:val="0"/>
                      <w:divBdr>
                        <w:top w:val="none" w:sz="0" w:space="0" w:color="auto"/>
                        <w:left w:val="none" w:sz="0" w:space="0" w:color="auto"/>
                        <w:bottom w:val="none" w:sz="0" w:space="0" w:color="auto"/>
                        <w:right w:val="none" w:sz="0" w:space="0" w:color="auto"/>
                      </w:divBdr>
                    </w:div>
                  </w:divsChild>
                </w:div>
                <w:div w:id="1459950779">
                  <w:marLeft w:val="0"/>
                  <w:marRight w:val="0"/>
                  <w:marTop w:val="0"/>
                  <w:marBottom w:val="0"/>
                  <w:divBdr>
                    <w:top w:val="none" w:sz="0" w:space="0" w:color="auto"/>
                    <w:left w:val="none" w:sz="0" w:space="0" w:color="auto"/>
                    <w:bottom w:val="none" w:sz="0" w:space="0" w:color="auto"/>
                    <w:right w:val="none" w:sz="0" w:space="0" w:color="auto"/>
                  </w:divBdr>
                  <w:divsChild>
                    <w:div w:id="1605377599">
                      <w:marLeft w:val="0"/>
                      <w:marRight w:val="0"/>
                      <w:marTop w:val="0"/>
                      <w:marBottom w:val="0"/>
                      <w:divBdr>
                        <w:top w:val="none" w:sz="0" w:space="0" w:color="auto"/>
                        <w:left w:val="none" w:sz="0" w:space="0" w:color="auto"/>
                        <w:bottom w:val="none" w:sz="0" w:space="0" w:color="auto"/>
                        <w:right w:val="none" w:sz="0" w:space="0" w:color="auto"/>
                      </w:divBdr>
                    </w:div>
                  </w:divsChild>
                </w:div>
                <w:div w:id="1463307885">
                  <w:marLeft w:val="0"/>
                  <w:marRight w:val="0"/>
                  <w:marTop w:val="0"/>
                  <w:marBottom w:val="0"/>
                  <w:divBdr>
                    <w:top w:val="none" w:sz="0" w:space="0" w:color="auto"/>
                    <w:left w:val="none" w:sz="0" w:space="0" w:color="auto"/>
                    <w:bottom w:val="none" w:sz="0" w:space="0" w:color="auto"/>
                    <w:right w:val="none" w:sz="0" w:space="0" w:color="auto"/>
                  </w:divBdr>
                  <w:divsChild>
                    <w:div w:id="191040532">
                      <w:marLeft w:val="0"/>
                      <w:marRight w:val="0"/>
                      <w:marTop w:val="0"/>
                      <w:marBottom w:val="0"/>
                      <w:divBdr>
                        <w:top w:val="none" w:sz="0" w:space="0" w:color="auto"/>
                        <w:left w:val="none" w:sz="0" w:space="0" w:color="auto"/>
                        <w:bottom w:val="none" w:sz="0" w:space="0" w:color="auto"/>
                        <w:right w:val="none" w:sz="0" w:space="0" w:color="auto"/>
                      </w:divBdr>
                    </w:div>
                    <w:div w:id="608123691">
                      <w:marLeft w:val="0"/>
                      <w:marRight w:val="0"/>
                      <w:marTop w:val="0"/>
                      <w:marBottom w:val="0"/>
                      <w:divBdr>
                        <w:top w:val="none" w:sz="0" w:space="0" w:color="auto"/>
                        <w:left w:val="none" w:sz="0" w:space="0" w:color="auto"/>
                        <w:bottom w:val="none" w:sz="0" w:space="0" w:color="auto"/>
                        <w:right w:val="none" w:sz="0" w:space="0" w:color="auto"/>
                      </w:divBdr>
                    </w:div>
                    <w:div w:id="1374111027">
                      <w:marLeft w:val="0"/>
                      <w:marRight w:val="0"/>
                      <w:marTop w:val="0"/>
                      <w:marBottom w:val="0"/>
                      <w:divBdr>
                        <w:top w:val="none" w:sz="0" w:space="0" w:color="auto"/>
                        <w:left w:val="none" w:sz="0" w:space="0" w:color="auto"/>
                        <w:bottom w:val="none" w:sz="0" w:space="0" w:color="auto"/>
                        <w:right w:val="none" w:sz="0" w:space="0" w:color="auto"/>
                      </w:divBdr>
                    </w:div>
                    <w:div w:id="2082823082">
                      <w:marLeft w:val="0"/>
                      <w:marRight w:val="0"/>
                      <w:marTop w:val="0"/>
                      <w:marBottom w:val="0"/>
                      <w:divBdr>
                        <w:top w:val="none" w:sz="0" w:space="0" w:color="auto"/>
                        <w:left w:val="none" w:sz="0" w:space="0" w:color="auto"/>
                        <w:bottom w:val="none" w:sz="0" w:space="0" w:color="auto"/>
                        <w:right w:val="none" w:sz="0" w:space="0" w:color="auto"/>
                      </w:divBdr>
                    </w:div>
                  </w:divsChild>
                </w:div>
                <w:div w:id="1523974577">
                  <w:marLeft w:val="0"/>
                  <w:marRight w:val="0"/>
                  <w:marTop w:val="0"/>
                  <w:marBottom w:val="0"/>
                  <w:divBdr>
                    <w:top w:val="none" w:sz="0" w:space="0" w:color="auto"/>
                    <w:left w:val="none" w:sz="0" w:space="0" w:color="auto"/>
                    <w:bottom w:val="none" w:sz="0" w:space="0" w:color="auto"/>
                    <w:right w:val="none" w:sz="0" w:space="0" w:color="auto"/>
                  </w:divBdr>
                  <w:divsChild>
                    <w:div w:id="2014189161">
                      <w:marLeft w:val="0"/>
                      <w:marRight w:val="0"/>
                      <w:marTop w:val="0"/>
                      <w:marBottom w:val="0"/>
                      <w:divBdr>
                        <w:top w:val="none" w:sz="0" w:space="0" w:color="auto"/>
                        <w:left w:val="none" w:sz="0" w:space="0" w:color="auto"/>
                        <w:bottom w:val="none" w:sz="0" w:space="0" w:color="auto"/>
                        <w:right w:val="none" w:sz="0" w:space="0" w:color="auto"/>
                      </w:divBdr>
                    </w:div>
                  </w:divsChild>
                </w:div>
                <w:div w:id="1524510425">
                  <w:marLeft w:val="0"/>
                  <w:marRight w:val="0"/>
                  <w:marTop w:val="0"/>
                  <w:marBottom w:val="0"/>
                  <w:divBdr>
                    <w:top w:val="none" w:sz="0" w:space="0" w:color="auto"/>
                    <w:left w:val="none" w:sz="0" w:space="0" w:color="auto"/>
                    <w:bottom w:val="none" w:sz="0" w:space="0" w:color="auto"/>
                    <w:right w:val="none" w:sz="0" w:space="0" w:color="auto"/>
                  </w:divBdr>
                  <w:divsChild>
                    <w:div w:id="235018117">
                      <w:marLeft w:val="0"/>
                      <w:marRight w:val="0"/>
                      <w:marTop w:val="0"/>
                      <w:marBottom w:val="0"/>
                      <w:divBdr>
                        <w:top w:val="none" w:sz="0" w:space="0" w:color="auto"/>
                        <w:left w:val="none" w:sz="0" w:space="0" w:color="auto"/>
                        <w:bottom w:val="none" w:sz="0" w:space="0" w:color="auto"/>
                        <w:right w:val="none" w:sz="0" w:space="0" w:color="auto"/>
                      </w:divBdr>
                    </w:div>
                    <w:div w:id="378087925">
                      <w:marLeft w:val="0"/>
                      <w:marRight w:val="0"/>
                      <w:marTop w:val="0"/>
                      <w:marBottom w:val="0"/>
                      <w:divBdr>
                        <w:top w:val="none" w:sz="0" w:space="0" w:color="auto"/>
                        <w:left w:val="none" w:sz="0" w:space="0" w:color="auto"/>
                        <w:bottom w:val="none" w:sz="0" w:space="0" w:color="auto"/>
                        <w:right w:val="none" w:sz="0" w:space="0" w:color="auto"/>
                      </w:divBdr>
                    </w:div>
                    <w:div w:id="542910811">
                      <w:marLeft w:val="0"/>
                      <w:marRight w:val="0"/>
                      <w:marTop w:val="0"/>
                      <w:marBottom w:val="0"/>
                      <w:divBdr>
                        <w:top w:val="none" w:sz="0" w:space="0" w:color="auto"/>
                        <w:left w:val="none" w:sz="0" w:space="0" w:color="auto"/>
                        <w:bottom w:val="none" w:sz="0" w:space="0" w:color="auto"/>
                        <w:right w:val="none" w:sz="0" w:space="0" w:color="auto"/>
                      </w:divBdr>
                    </w:div>
                    <w:div w:id="725106735">
                      <w:marLeft w:val="0"/>
                      <w:marRight w:val="0"/>
                      <w:marTop w:val="0"/>
                      <w:marBottom w:val="0"/>
                      <w:divBdr>
                        <w:top w:val="none" w:sz="0" w:space="0" w:color="auto"/>
                        <w:left w:val="none" w:sz="0" w:space="0" w:color="auto"/>
                        <w:bottom w:val="none" w:sz="0" w:space="0" w:color="auto"/>
                        <w:right w:val="none" w:sz="0" w:space="0" w:color="auto"/>
                      </w:divBdr>
                    </w:div>
                    <w:div w:id="1501505423">
                      <w:marLeft w:val="0"/>
                      <w:marRight w:val="0"/>
                      <w:marTop w:val="0"/>
                      <w:marBottom w:val="0"/>
                      <w:divBdr>
                        <w:top w:val="none" w:sz="0" w:space="0" w:color="auto"/>
                        <w:left w:val="none" w:sz="0" w:space="0" w:color="auto"/>
                        <w:bottom w:val="none" w:sz="0" w:space="0" w:color="auto"/>
                        <w:right w:val="none" w:sz="0" w:space="0" w:color="auto"/>
                      </w:divBdr>
                    </w:div>
                    <w:div w:id="2028866384">
                      <w:marLeft w:val="0"/>
                      <w:marRight w:val="0"/>
                      <w:marTop w:val="0"/>
                      <w:marBottom w:val="0"/>
                      <w:divBdr>
                        <w:top w:val="none" w:sz="0" w:space="0" w:color="auto"/>
                        <w:left w:val="none" w:sz="0" w:space="0" w:color="auto"/>
                        <w:bottom w:val="none" w:sz="0" w:space="0" w:color="auto"/>
                        <w:right w:val="none" w:sz="0" w:space="0" w:color="auto"/>
                      </w:divBdr>
                    </w:div>
                  </w:divsChild>
                </w:div>
                <w:div w:id="1948803174">
                  <w:marLeft w:val="0"/>
                  <w:marRight w:val="0"/>
                  <w:marTop w:val="0"/>
                  <w:marBottom w:val="0"/>
                  <w:divBdr>
                    <w:top w:val="none" w:sz="0" w:space="0" w:color="auto"/>
                    <w:left w:val="none" w:sz="0" w:space="0" w:color="auto"/>
                    <w:bottom w:val="none" w:sz="0" w:space="0" w:color="auto"/>
                    <w:right w:val="none" w:sz="0" w:space="0" w:color="auto"/>
                  </w:divBdr>
                  <w:divsChild>
                    <w:div w:id="649134127">
                      <w:marLeft w:val="0"/>
                      <w:marRight w:val="0"/>
                      <w:marTop w:val="0"/>
                      <w:marBottom w:val="0"/>
                      <w:divBdr>
                        <w:top w:val="none" w:sz="0" w:space="0" w:color="auto"/>
                        <w:left w:val="none" w:sz="0" w:space="0" w:color="auto"/>
                        <w:bottom w:val="none" w:sz="0" w:space="0" w:color="auto"/>
                        <w:right w:val="none" w:sz="0" w:space="0" w:color="auto"/>
                      </w:divBdr>
                    </w:div>
                    <w:div w:id="1787314971">
                      <w:marLeft w:val="0"/>
                      <w:marRight w:val="0"/>
                      <w:marTop w:val="0"/>
                      <w:marBottom w:val="0"/>
                      <w:divBdr>
                        <w:top w:val="none" w:sz="0" w:space="0" w:color="auto"/>
                        <w:left w:val="none" w:sz="0" w:space="0" w:color="auto"/>
                        <w:bottom w:val="none" w:sz="0" w:space="0" w:color="auto"/>
                        <w:right w:val="none" w:sz="0" w:space="0" w:color="auto"/>
                      </w:divBdr>
                    </w:div>
                    <w:div w:id="19848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38891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footer" Target="footer7.xml"/><Relationship Id="rId21" Type="http://schemas.openxmlformats.org/officeDocument/2006/relationships/image" Target="media/image5.png"/><Relationship Id="rId34" Type="http://schemas.openxmlformats.org/officeDocument/2006/relationships/footer" Target="footer4.xml"/><Relationship Id="rId42" Type="http://schemas.openxmlformats.org/officeDocument/2006/relationships/image" Target="media/image16.png"/><Relationship Id="rId47" Type="http://schemas.openxmlformats.org/officeDocument/2006/relationships/header" Target="header9.xml"/><Relationship Id="rId50" Type="http://schemas.openxmlformats.org/officeDocument/2006/relationships/footer" Target="footer10.xml"/><Relationship Id="rId55" Type="http://schemas.openxmlformats.org/officeDocument/2006/relationships/chart" Target="charts/chart2.xml"/><Relationship Id="rId63" Type="http://schemas.openxmlformats.org/officeDocument/2006/relationships/header" Target="header16.xml"/><Relationship Id="rId68" Type="http://schemas.openxmlformats.org/officeDocument/2006/relationships/footer" Target="footer18.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8.png"/><Relationship Id="rId32" Type="http://schemas.openxmlformats.org/officeDocument/2006/relationships/header" Target="header4.xml"/><Relationship Id="rId37" Type="http://schemas.openxmlformats.org/officeDocument/2006/relationships/footer" Target="footer6.xml"/><Relationship Id="rId40" Type="http://schemas.openxmlformats.org/officeDocument/2006/relationships/header" Target="header8.xml"/><Relationship Id="rId45" Type="http://schemas.openxmlformats.org/officeDocument/2006/relationships/image" Target="media/image18.png"/><Relationship Id="rId53" Type="http://schemas.openxmlformats.org/officeDocument/2006/relationships/header" Target="header12.xml"/><Relationship Id="rId58" Type="http://schemas.openxmlformats.org/officeDocument/2006/relationships/header" Target="header14.xml"/><Relationship Id="rId66" Type="http://schemas.openxmlformats.org/officeDocument/2006/relationships/footer" Target="footer1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header" Target="header6.xml"/><Relationship Id="rId49" Type="http://schemas.openxmlformats.org/officeDocument/2006/relationships/header" Target="header10.xml"/><Relationship Id="rId57" Type="http://schemas.openxmlformats.org/officeDocument/2006/relationships/header" Target="header13.xml"/><Relationship Id="rId61" Type="http://schemas.openxmlformats.org/officeDocument/2006/relationships/header" Target="header15.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15.png"/><Relationship Id="rId44" Type="http://schemas.openxmlformats.org/officeDocument/2006/relationships/chart" Target="charts/chart1.xml"/><Relationship Id="rId52" Type="http://schemas.openxmlformats.org/officeDocument/2006/relationships/footer" Target="footer11.xml"/><Relationship Id="rId60" Type="http://schemas.openxmlformats.org/officeDocument/2006/relationships/footer" Target="footer14.xml"/><Relationship Id="rId65" Type="http://schemas.openxmlformats.org/officeDocument/2006/relationships/footer" Target="footer1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footer" Target="footer5.xml"/><Relationship Id="rId43" Type="http://schemas.openxmlformats.org/officeDocument/2006/relationships/image" Target="media/image17.png"/><Relationship Id="rId48" Type="http://schemas.openxmlformats.org/officeDocument/2006/relationships/footer" Target="footer9.xml"/><Relationship Id="rId56" Type="http://schemas.openxmlformats.org/officeDocument/2006/relationships/chart" Target="charts/chart3.xml"/><Relationship Id="rId64" Type="http://schemas.openxmlformats.org/officeDocument/2006/relationships/header" Target="header17.xm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1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9.png"/><Relationship Id="rId33" Type="http://schemas.openxmlformats.org/officeDocument/2006/relationships/header" Target="header5.xml"/><Relationship Id="rId38" Type="http://schemas.openxmlformats.org/officeDocument/2006/relationships/header" Target="header7.xml"/><Relationship Id="rId46" Type="http://schemas.openxmlformats.org/officeDocument/2006/relationships/image" Target="media/image19.png"/><Relationship Id="rId59" Type="http://schemas.openxmlformats.org/officeDocument/2006/relationships/footer" Target="footer13.xml"/><Relationship Id="rId67" Type="http://schemas.openxmlformats.org/officeDocument/2006/relationships/header" Target="header18.xml"/><Relationship Id="rId20" Type="http://schemas.openxmlformats.org/officeDocument/2006/relationships/image" Target="media/image4.png"/><Relationship Id="rId41" Type="http://schemas.openxmlformats.org/officeDocument/2006/relationships/footer" Target="footer8.xml"/><Relationship Id="rId54" Type="http://schemas.openxmlformats.org/officeDocument/2006/relationships/footer" Target="footer12.xml"/><Relationship Id="rId62" Type="http://schemas.openxmlformats.org/officeDocument/2006/relationships/footer" Target="footer15.xml"/><Relationship Id="rId70"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s://www.eca.europa.eu/en/publications/SR-2025-12" TargetMode="External"/><Relationship Id="rId21" Type="http://schemas.openxmlformats.org/officeDocument/2006/relationships/hyperlink" Target="https://finance.yahoo.com/news/asml-holding-q4-earnings-investors-124600373.html?utm" TargetMode="External"/><Relationship Id="rId42" Type="http://schemas.openxmlformats.org/officeDocument/2006/relationships/hyperlink" Target="https://www.interface-eu.org/publications/chip-productions-ecological-footprint" TargetMode="External"/><Relationship Id="rId47" Type="http://schemas.openxmlformats.org/officeDocument/2006/relationships/hyperlink" Target="https://www.interface-eu.org/publications/chip-productions-ecological-footprint" TargetMode="External"/><Relationship Id="rId63" Type="http://schemas.openxmlformats.org/officeDocument/2006/relationships/hyperlink" Target="https://www.nxp.com/company/about-nxp/sustainability/environment-health-and-safety/waste:ENVIRONMENT-WASTE" TargetMode="External"/><Relationship Id="rId68" Type="http://schemas.openxmlformats.org/officeDocument/2006/relationships/hyperlink" Target="https://netzero.imec-int.com/die" TargetMode="External"/><Relationship Id="rId84" Type="http://schemas.openxmlformats.org/officeDocument/2006/relationships/hyperlink" Target="https://netzero.imec-int.com/die" TargetMode="External"/><Relationship Id="rId89" Type="http://schemas.openxmlformats.org/officeDocument/2006/relationships/hyperlink" Target="https://www.interface-eu.org/publications/chip-productions-ecological-footprint" TargetMode="External"/><Relationship Id="rId7" Type="http://schemas.openxmlformats.org/officeDocument/2006/relationships/hyperlink" Target="https://www.reuters.com/technology/tsmc-begins-producing-4-nanometer-chips-arizona-raimondo-says-2025-01-10/" TargetMode="External"/><Relationship Id="rId71" Type="http://schemas.openxmlformats.org/officeDocument/2006/relationships/hyperlink" Target="https://netzero.imec-int.com/die" TargetMode="External"/><Relationship Id="rId92" Type="http://schemas.openxmlformats.org/officeDocument/2006/relationships/hyperlink" Target="https://netzero.imec-int.com/die" TargetMode="External"/><Relationship Id="rId2" Type="http://schemas.openxmlformats.org/officeDocument/2006/relationships/hyperlink" Target="https://www.csis.org/analysis/streamlining-permitting-process-fab-construction" TargetMode="External"/><Relationship Id="rId16" Type="http://schemas.openxmlformats.org/officeDocument/2006/relationships/hyperlink" Target="https://www.trade.gov/country-commercial-guides/japan-semiconductors" TargetMode="External"/><Relationship Id="rId29" Type="http://schemas.openxmlformats.org/officeDocument/2006/relationships/hyperlink" Target="https://data.europa.eu/doi/10.2760/6302476" TargetMode="External"/><Relationship Id="rId107" Type="http://schemas.openxmlformats.org/officeDocument/2006/relationships/hyperlink" Target="https://ec.europa.eu/docsroom/documents/63274" TargetMode="External"/><Relationship Id="rId11" Type="http://schemas.openxmlformats.org/officeDocument/2006/relationships/hyperlink" Target="https://doi.org/10.2760/038299" TargetMode="External"/><Relationship Id="rId24" Type="http://schemas.openxmlformats.org/officeDocument/2006/relationships/hyperlink" Target="https://www.ajinomoto.com/innovation/our_innovation/buildupfilm" TargetMode="External"/><Relationship Id="rId32" Type="http://schemas.openxmlformats.org/officeDocument/2006/relationships/hyperlink" Target="https://stats.oecd.org/Index.aspx?DataSetCode=REV" TargetMode="External"/><Relationship Id="rId37" Type="http://schemas.openxmlformats.org/officeDocument/2006/relationships/hyperlink" Target="https://www.interface-eu.org/publications/chip-productions-ecological-footprint" TargetMode="External"/><Relationship Id="rId40" Type="http://schemas.openxmlformats.org/officeDocument/2006/relationships/hyperlink" Target="https://ec.europa.eu/clima/document/download/9013881e-8d5d-429e-9112-c908f127c833_en?filename=f-gases_impact_assessment_en.pdf" TargetMode="External"/><Relationship Id="rId45" Type="http://schemas.openxmlformats.org/officeDocument/2006/relationships/hyperlink" Target="https://ghgprotocol.org/sites/default/files/2023-03/Scope%202%20Guidance.pdf" TargetMode="External"/><Relationship Id="rId53" Type="http://schemas.openxmlformats.org/officeDocument/2006/relationships/hyperlink" Target="https://gf.com/wp-content/uploads/2024/10/CDP_-GlobalFoundries-Inc.-09-10-2024-CORPORATE_public_version.pdf" TargetMode="External"/><Relationship Id="rId58" Type="http://schemas.openxmlformats.org/officeDocument/2006/relationships/hyperlink" Target="https://gf.com/wp-content/uploads/2024/10/CDP_-GlobalFoundries-Inc.-09-10-2024-CORPORATE_public_version.pdf" TargetMode="External"/><Relationship Id="rId66" Type="http://schemas.openxmlformats.org/officeDocument/2006/relationships/hyperlink" Target="https://www.interface-eu.org/publications/chip-productions-ecological-footprint" TargetMode="External"/><Relationship Id="rId74" Type="http://schemas.openxmlformats.org/officeDocument/2006/relationships/hyperlink" Target="https://netzero.imec-int.com/die" TargetMode="External"/><Relationship Id="rId79" Type="http://schemas.openxmlformats.org/officeDocument/2006/relationships/hyperlink" Target="https://netzero.imec-int.com/die" TargetMode="External"/><Relationship Id="rId87" Type="http://schemas.openxmlformats.org/officeDocument/2006/relationships/hyperlink" Target="https://lowcarbonpower.org/region/Republic_of_China_(Taiwan)" TargetMode="External"/><Relationship Id="rId102" Type="http://schemas.openxmlformats.org/officeDocument/2006/relationships/hyperlink" Target="https://bits-chips.com/article/tsmc-to-raise-advanced-process-prices-by-up-to-10-percent/?utm" TargetMode="External"/><Relationship Id="rId5" Type="http://schemas.openxmlformats.org/officeDocument/2006/relationships/hyperlink" Target="https://www.interface-eu.org/publications/chip-productions-ecological-footprint" TargetMode="External"/><Relationship Id="rId61" Type="http://schemas.openxmlformats.org/officeDocument/2006/relationships/hyperlink" Target="https://www.interface-eu.org/publications/chip-productions-ecological-footprint" TargetMode="External"/><Relationship Id="rId82" Type="http://schemas.openxmlformats.org/officeDocument/2006/relationships/hyperlink" Target="https://netzero.imec-int.com/die" TargetMode="External"/><Relationship Id="rId90" Type="http://schemas.openxmlformats.org/officeDocument/2006/relationships/hyperlink" Target="https://netzero.imec-int.com/die" TargetMode="External"/><Relationship Id="rId95" Type="http://schemas.openxmlformats.org/officeDocument/2006/relationships/hyperlink" Target="https://www.mckinsey.com/industries/semiconductors/our-insights/semiconductors-have-a-big-opportunity-but-barriers-to-scale-remain" TargetMode="External"/><Relationship Id="rId19" Type="http://schemas.openxmlformats.org/officeDocument/2006/relationships/hyperlink" Target="https://www.semiconductor-digest.com/the-outlook-for-the-precursor-market-remains-strong/" TargetMode="External"/><Relationship Id="rId14" Type="http://schemas.openxmlformats.org/officeDocument/2006/relationships/hyperlink" Target="https://www.oecd.org/content/dam/oecd/en/publications/reports/2014/09/chemicals-used-in-the-electronics-industry_g1g48552/9789264221062-en.pdf" TargetMode="External"/><Relationship Id="rId22" Type="http://schemas.openxmlformats.org/officeDocument/2006/relationships/hyperlink" Target="https://www.wsj.com/tech/a-critical-ai-niche-is-dominated-by-one-little-known-japanese-company-d9101853" TargetMode="External"/><Relationship Id="rId27" Type="http://schemas.openxmlformats.org/officeDocument/2006/relationships/hyperlink" Target="https://doi.org/10.2760/038299" TargetMode="External"/><Relationship Id="rId30" Type="http://schemas.openxmlformats.org/officeDocument/2006/relationships/hyperlink" Target="https://data.europa.eu/doi/10.2760/6302476" TargetMode="External"/><Relationship Id="rId35" Type="http://schemas.openxmlformats.org/officeDocument/2006/relationships/hyperlink" Target="https://doi.org/10.2760/6302476" TargetMode="External"/><Relationship Id="rId43" Type="http://schemas.openxmlformats.org/officeDocument/2006/relationships/hyperlink" Target="https://www.interface-eu.org/publications/semiconductor-emission-explorer" TargetMode="External"/><Relationship Id="rId48" Type="http://schemas.openxmlformats.org/officeDocument/2006/relationships/hyperlink" Target="https://netzero.imec-int.com/die" TargetMode="External"/><Relationship Id="rId56" Type="http://schemas.openxmlformats.org/officeDocument/2006/relationships/hyperlink" Target="https://netzero.imec-int.com/die" TargetMode="External"/><Relationship Id="rId64" Type="http://schemas.openxmlformats.org/officeDocument/2006/relationships/hyperlink" Target="https://www.interface-eu.org/publications/chip-productions-ecological-footprint" TargetMode="External"/><Relationship Id="rId69" Type="http://schemas.openxmlformats.org/officeDocument/2006/relationships/hyperlink" Target="https://netzero.imec-int.com/die" TargetMode="External"/><Relationship Id="rId77" Type="http://schemas.openxmlformats.org/officeDocument/2006/relationships/hyperlink" Target="https://netzero.imec-int.com/die" TargetMode="External"/><Relationship Id="rId100" Type="http://schemas.openxmlformats.org/officeDocument/2006/relationships/hyperlink" Target="https://www.imec-int.com/en/press/rapidus-japans-newly-founded-chip-manufacturer-joins-imecs-core-partner-program" TargetMode="External"/><Relationship Id="rId105" Type="http://schemas.openxmlformats.org/officeDocument/2006/relationships/hyperlink" Target="https://doi.org/10.1093/scipol/scz026" TargetMode="External"/><Relationship Id="rId8" Type="http://schemas.openxmlformats.org/officeDocument/2006/relationships/hyperlink" Target="https://www.rapidus.inc/news_topics/news-info/rapidus-achieves-significant-milestone-at-its-state-of-the-art-foundry-with-prototyping-of-leading-edge-2nm-gaa-transistors-2/" TargetMode="External"/><Relationship Id="rId51" Type="http://schemas.openxmlformats.org/officeDocument/2006/relationships/hyperlink" Target="https://netzero.imec-int.com/die" TargetMode="External"/><Relationship Id="rId72" Type="http://schemas.openxmlformats.org/officeDocument/2006/relationships/hyperlink" Target="https://netzero.imec-int.com/die" TargetMode="External"/><Relationship Id="rId80" Type="http://schemas.openxmlformats.org/officeDocument/2006/relationships/hyperlink" Target="https://netzero.imec-int.com/die" TargetMode="External"/><Relationship Id="rId85" Type="http://schemas.openxmlformats.org/officeDocument/2006/relationships/hyperlink" Target="https://netzero.imec-int.com/die" TargetMode="External"/><Relationship Id="rId93" Type="http://schemas.openxmlformats.org/officeDocument/2006/relationships/hyperlink" Target="https://netzero.imec-int.com/die" TargetMode="External"/><Relationship Id="rId98" Type="http://schemas.openxmlformats.org/officeDocument/2006/relationships/hyperlink" Target="https://www.trueprice.org/monetisation-factors-for-true-pricing/" TargetMode="External"/><Relationship Id="rId3" Type="http://schemas.openxmlformats.org/officeDocument/2006/relationships/hyperlink" Target="https://www.eetimes.eu/the-recovery-base-is-fragile-future-horizons-penn-says/" TargetMode="External"/><Relationship Id="rId12" Type="http://schemas.openxmlformats.org/officeDocument/2006/relationships/hyperlink" Target="https://fuse.wikichip.org/news/3398/tsmc-details-5-nm/" TargetMode="External"/><Relationship Id="rId17" Type="http://schemas.openxmlformats.org/officeDocument/2006/relationships/hyperlink" Target="https://www.usitc.gov/publications/332/working_papers/the_south_korea-japan_trade_dispute_in_context_semiconductor_manufacturing_chemicals_and_concentrated_supply_chains.pdf" TargetMode="External"/><Relationship Id="rId25" Type="http://schemas.openxmlformats.org/officeDocument/2006/relationships/hyperlink" Target="https://doi.org/10.2760/6302476" TargetMode="External"/><Relationship Id="rId33" Type="http://schemas.openxmlformats.org/officeDocument/2006/relationships/hyperlink" Target="https://doi.org/10.2760/6302476" TargetMode="External"/><Relationship Id="rId38" Type="http://schemas.openxmlformats.org/officeDocument/2006/relationships/hyperlink" Target="https://www.interface-eu.org/publications/chip-productions-ecological-footprint" TargetMode="External"/><Relationship Id="rId46" Type="http://schemas.openxmlformats.org/officeDocument/2006/relationships/hyperlink" Target="https://ghgprotocol.org/sites/default/files/2023-03/Scope%202%20Guidance.pdf" TargetMode="External"/><Relationship Id="rId59" Type="http://schemas.openxmlformats.org/officeDocument/2006/relationships/hyperlink" Target="https://watereurope.eu/wp-content/uploads/2024/10/Water-Europe-Socio-Economic-Study-1.pdf" TargetMode="External"/><Relationship Id="rId67" Type="http://schemas.openxmlformats.org/officeDocument/2006/relationships/hyperlink" Target="https://netzero.imec-int.com/die" TargetMode="External"/><Relationship Id="rId103" Type="http://schemas.openxmlformats.org/officeDocument/2006/relationships/hyperlink" Target="https://stats.oecd.org/Index.aspx?DataSetCode=REV" TargetMode="External"/><Relationship Id="rId20" Type="http://schemas.openxmlformats.org/officeDocument/2006/relationships/hyperlink" Target="https://www.spiedigitallibrary.org/conference-proceedings-of-spie/13216/3037237/EUV-mask-technologies-evolution-and-ecosystem-for-devices/10.1117/12.3037237.full" TargetMode="External"/><Relationship Id="rId41" Type="http://schemas.openxmlformats.org/officeDocument/2006/relationships/hyperlink" Target="https://www.electronicspecifier.com/industries/alternative-energy/european-fluorinated-greenhouse-gas-emissions-cut-by-42" TargetMode="External"/><Relationship Id="rId54" Type="http://schemas.openxmlformats.org/officeDocument/2006/relationships/hyperlink" Target="https://gf.com/wp-content/uploads/2024/10/CDP_-GlobalFoundries-Inc.-09-10-2024-CORPORATE_public_version.pdf" TargetMode="External"/><Relationship Id="rId62" Type="http://schemas.openxmlformats.org/officeDocument/2006/relationships/hyperlink" Target="https://www.nxp.com/company/about-nxp/sustainability/environment-health-and-safety/waste:ENVIRONMENT-WASTE" TargetMode="External"/><Relationship Id="rId70" Type="http://schemas.openxmlformats.org/officeDocument/2006/relationships/hyperlink" Target="https://gf.com/wp-content/uploads/2024/10/CDP_-GlobalFoundries-Inc.-09-10-2024-CORPORATE_public_version.pdf" TargetMode="External"/><Relationship Id="rId75" Type="http://schemas.openxmlformats.org/officeDocument/2006/relationships/hyperlink" Target="https://netzero.imec-int.com/die" TargetMode="External"/><Relationship Id="rId83" Type="http://schemas.openxmlformats.org/officeDocument/2006/relationships/hyperlink" Target="https://esg.tsmc.com/en-US/file/public/2024-TSMC-Sustainability-Report-e.pdf" TargetMode="External"/><Relationship Id="rId88" Type="http://schemas.openxmlformats.org/officeDocument/2006/relationships/hyperlink" Target="https://ember-energy.org/latest-insights/global-electricity-review-2025/major-countries-and-regions/" TargetMode="External"/><Relationship Id="rId91" Type="http://schemas.openxmlformats.org/officeDocument/2006/relationships/hyperlink" Target="https://netzero.imec-int.com/die" TargetMode="External"/><Relationship Id="rId96" Type="http://schemas.openxmlformats.org/officeDocument/2006/relationships/hyperlink" Target="https://www.mckinsey.com/industries/semiconductors/our-insights/semiconductors-have-a-big-opportunity-but-barriers-to-scale-remain" TargetMode="External"/><Relationship Id="rId1" Type="http://schemas.openxmlformats.org/officeDocument/2006/relationships/hyperlink" Target="https://www.europarl.europa.eu/RegData/etudes/STUD/2025/773027/IUST_STU(2025)773027_EN.pdf" TargetMode="External"/><Relationship Id="rId6" Type="http://schemas.openxmlformats.org/officeDocument/2006/relationships/hyperlink" Target="https://www.oecd.org/content/dam/oecd/en/publications/reports/2025/12/the-chip-landscape_27ef5d87/02dbd028-en.pdf" TargetMode="External"/><Relationship Id="rId15" Type="http://schemas.openxmlformats.org/officeDocument/2006/relationships/hyperlink" Target="https://encyclopedia.airliquide.com/silane" TargetMode="External"/><Relationship Id="rId23" Type="http://schemas.openxmlformats.org/officeDocument/2006/relationships/hyperlink" Target="https://www.techradar.com/pro/japanese-firm-behind-ubiquitous-msg-is-ramping-up-production-of-key-material-in-semiconductor-packaging" TargetMode="External"/><Relationship Id="rId28" Type="http://schemas.openxmlformats.org/officeDocument/2006/relationships/hyperlink" Target="https://www.eca.europa.eu/en/publications/SR-2025-12" TargetMode="External"/><Relationship Id="rId36" Type="http://schemas.openxmlformats.org/officeDocument/2006/relationships/hyperlink" Target="https://www.bruegel.org/sites/default/files/2025-07/WP%2007%202025.pdf" TargetMode="External"/><Relationship Id="rId49" Type="http://schemas.openxmlformats.org/officeDocument/2006/relationships/hyperlink" Target="https://www.interface-eu.org/publications/chip-productions-ecological-footprint" TargetMode="External"/><Relationship Id="rId57" Type="http://schemas.openxmlformats.org/officeDocument/2006/relationships/hyperlink" Target="https://www.interface-eu.org/publications/chip-productions-ecological-footprint" TargetMode="External"/><Relationship Id="rId106" Type="http://schemas.openxmlformats.org/officeDocument/2006/relationships/hyperlink" Target="https://zymantasbudrys.com/wp-content/uploads/2022/10/ZymantasBudrys_JMP_LastConsumer.pdf" TargetMode="External"/><Relationship Id="rId10" Type="http://schemas.openxmlformats.org/officeDocument/2006/relationships/hyperlink" Target="https://www.zvei.org/fileadmin/user_upload/Presse_und_Medien/Publikationen/2021/November/Halbleiterindustrie_fuer_Deutschland_und_Europa/Semiconductor-Strategy-for-Germany-and-Europe.pdf" TargetMode="External"/><Relationship Id="rId31" Type="http://schemas.openxmlformats.org/officeDocument/2006/relationships/hyperlink" Target="https://doi.org/10.2760/6302476" TargetMode="External"/><Relationship Id="rId44" Type="http://schemas.openxmlformats.org/officeDocument/2006/relationships/hyperlink" Target="https://www.interface-eu.org/publications/semiconductor-emission-explorer" TargetMode="External"/><Relationship Id="rId52" Type="http://schemas.openxmlformats.org/officeDocument/2006/relationships/hyperlink" Target="https://gf.com/about-us/about-gf-in-europe/dresden-facts-figures-data/" TargetMode="External"/><Relationship Id="rId60" Type="http://schemas.openxmlformats.org/officeDocument/2006/relationships/hyperlink" Target="https://www.nxp.com/company/about-nxp/sustainability/environment-health-and-safety/waste:ENVIRONMENT-WASTE" TargetMode="External"/><Relationship Id="rId65" Type="http://schemas.openxmlformats.org/officeDocument/2006/relationships/hyperlink" Target="https://www.gasworld.com/story/industrys-first-neon-gas-recycling-technology-announced-by-sk-hynix-temc/2136766.article/" TargetMode="External"/><Relationship Id="rId73" Type="http://schemas.openxmlformats.org/officeDocument/2006/relationships/hyperlink" Target="https://netzero.imec-int.com/die" TargetMode="External"/><Relationship Id="rId78" Type="http://schemas.openxmlformats.org/officeDocument/2006/relationships/hyperlink" Target="https://esg.tsmc.com/en-US/file/public/2024-TSMC-Sustainability-Report-e.pdf" TargetMode="External"/><Relationship Id="rId81" Type="http://schemas.openxmlformats.org/officeDocument/2006/relationships/hyperlink" Target="https://netzero.imec-int.com/die" TargetMode="External"/><Relationship Id="rId86" Type="http://schemas.openxmlformats.org/officeDocument/2006/relationships/hyperlink" Target="https://netzero.imec-int.com/die" TargetMode="External"/><Relationship Id="rId94" Type="http://schemas.openxmlformats.org/officeDocument/2006/relationships/hyperlink" Target="https://www.interface-eu.org/publications/chip-productions-ecological-footprint" TargetMode="External"/><Relationship Id="rId99" Type="http://schemas.openxmlformats.org/officeDocument/2006/relationships/hyperlink" Target="https://www.electronicsweekly.com/news/business/rapidus-picks-hokkaido-for-36bn-2nm-fab-2023-02/" TargetMode="External"/><Relationship Id="rId101" Type="http://schemas.openxmlformats.org/officeDocument/2006/relationships/hyperlink" Target="https://www.digitimes.com/news/a20250718PD228/rapidus-production-2nm-2027-chips.html" TargetMode="External"/><Relationship Id="rId4" Type="http://schemas.openxmlformats.org/officeDocument/2006/relationships/hyperlink" Target="https://www.semi.org/en/news-media-press-releases/semi-press-releases/global-semiconductor-capacity-projected-to-reach-record-high-30-million-wafers-per-month-in-2024-semi-reports" TargetMode="External"/><Relationship Id="rId9" Type="http://schemas.openxmlformats.org/officeDocument/2006/relationships/hyperlink" Target="https://www.zvei.org/fileadmin/user_upload/Presse_und_Medien/Publikationen/2021/November/Halbleiterindustrie_fuer_Deutschland_und_Europa/Semiconductor-Strategy-for-Germany-and-Europe.pdf" TargetMode="External"/><Relationship Id="rId13" Type="http://schemas.openxmlformats.org/officeDocument/2006/relationships/hyperlink" Target="https://ec.europa.eu/commission/presscorner/detail/de/ip_25_2757" TargetMode="External"/><Relationship Id="rId18" Type="http://schemas.openxmlformats.org/officeDocument/2006/relationships/hyperlink" Target="https://www.reuters.com/markets/deals/shares-japans-jsr-untraded-surprise-possible-buyout-2023-06-26/?utm_source=chatgpt.com" TargetMode="External"/><Relationship Id="rId39" Type="http://schemas.openxmlformats.org/officeDocument/2006/relationships/hyperlink" Target="https://www.interface-eu.org/publications/chip-productions-ecological-footprint" TargetMode="External"/><Relationship Id="rId34" Type="http://schemas.openxmlformats.org/officeDocument/2006/relationships/hyperlink" Target="https://doi.org/10.2760/6302476" TargetMode="External"/><Relationship Id="rId50" Type="http://schemas.openxmlformats.org/officeDocument/2006/relationships/hyperlink" Target="https://netzero.imec-int.com/die" TargetMode="External"/><Relationship Id="rId55" Type="http://schemas.openxmlformats.org/officeDocument/2006/relationships/hyperlink" Target="https://gf.com/wp-content/uploads/2024/10/CDP_-GlobalFoundries-Inc.-09-10-2024-CORPORATE_public_version.pdf" TargetMode="External"/><Relationship Id="rId76" Type="http://schemas.openxmlformats.org/officeDocument/2006/relationships/hyperlink" Target="https://netzero.imec-int.com/die" TargetMode="External"/><Relationship Id="rId97" Type="http://schemas.openxmlformats.org/officeDocument/2006/relationships/hyperlink" Target="https://about.bnef.com/insights/commodities/eu-ets-market-outlook-1h-2024-prices-valley-before-rally/" TargetMode="External"/><Relationship Id="rId104" Type="http://schemas.openxmlformats.org/officeDocument/2006/relationships/hyperlink" Target="https://doi.org/10.1093/icc/dtaf004"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eceuropaeu-my.sharepoint.com/personal/barbara_hadrys_ec_europa_eu/Documents/Chips%20Act%202.0/Copy%20of%20wafers%20for%20env%20modelling_new_mx.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https://ppmigroup.sharepoint.com/sites/EvaluationoftheChipsAct710/Bendrai%20naudojami%20dokumentai/Evaluation%20of%20the%20Chips%20Act/foak%20cases%20+%20%20modelling.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noFill/>
              </a:ln>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1-350F-4981-8F70-D92D233B74A1}"/>
              </c:ext>
            </c:extLst>
          </c:dPt>
          <c:dPt>
            <c:idx val="1"/>
            <c:bubble3D val="0"/>
            <c:spPr>
              <a:solidFill>
                <a:schemeClr val="accent2"/>
              </a:solidFill>
              <a:ln w="19050">
                <a:noFill/>
              </a:ln>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3-350F-4981-8F70-D92D233B74A1}"/>
              </c:ext>
            </c:extLst>
          </c:dPt>
          <c:dPt>
            <c:idx val="2"/>
            <c:bubble3D val="0"/>
            <c:spPr>
              <a:solidFill>
                <a:schemeClr val="accent4"/>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5-350F-4981-8F70-D92D233B74A1}"/>
              </c:ext>
            </c:extLst>
          </c:dPt>
          <c:dPt>
            <c:idx val="3"/>
            <c:bubble3D val="0"/>
            <c:spPr>
              <a:solidFill>
                <a:schemeClr val="bg1">
                  <a:lumMod val="65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7-350F-4981-8F70-D92D233B74A1}"/>
              </c:ext>
            </c:extLst>
          </c:dPt>
          <c:dPt>
            <c:idx val="4"/>
            <c:bubble3D val="0"/>
            <c:spPr>
              <a:solidFill>
                <a:schemeClr val="accent5"/>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9-350F-4981-8F70-D92D233B74A1}"/>
              </c:ext>
            </c:extLst>
          </c:dPt>
          <c:dPt>
            <c:idx val="5"/>
            <c:bubble3D val="0"/>
            <c:spPr>
              <a:solidFill>
                <a:schemeClr val="accent6"/>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B-350F-4981-8F70-D92D233B74A1}"/>
              </c:ext>
            </c:extLst>
          </c:dPt>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extLst>
          </c:dLbls>
          <c:cat>
            <c:strRef>
              <c:f>Sheet1!$A$2:$A$7</c:f>
              <c:strCache>
                <c:ptCount val="6"/>
                <c:pt idx="0">
                  <c:v>Synopsys (US)</c:v>
                </c:pt>
                <c:pt idx="1">
                  <c:v>ANSYS (US)</c:v>
                </c:pt>
                <c:pt idx="2">
                  <c:v>Cadence (US)</c:v>
                </c:pt>
                <c:pt idx="3">
                  <c:v>Other</c:v>
                </c:pt>
                <c:pt idx="4">
                  <c:v>Siemens EDA (EU)</c:v>
                </c:pt>
                <c:pt idx="5">
                  <c:v>Empyrean (PRC)</c:v>
                </c:pt>
              </c:strCache>
            </c:strRef>
          </c:cat>
          <c:val>
            <c:numRef>
              <c:f>Sheet1!$B$2:$B$7</c:f>
              <c:numCache>
                <c:formatCode>_(* #,##0_);_(* \(#,##0\);_(* "-"??_);_(@_)</c:formatCode>
                <c:ptCount val="6"/>
                <c:pt idx="0">
                  <c:v>2768.1660312825575</c:v>
                </c:pt>
                <c:pt idx="1">
                  <c:v>405.8842033484724</c:v>
                </c:pt>
                <c:pt idx="2">
                  <c:v>2516.8804818206745</c:v>
                </c:pt>
                <c:pt idx="3">
                  <c:v>1490.792068351926</c:v>
                </c:pt>
                <c:pt idx="4">
                  <c:v>1250.8701381185406</c:v>
                </c:pt>
                <c:pt idx="5">
                  <c:v>108.26049003960169</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C-350F-4981-8F70-D92D233B74A1}"/>
            </c:ext>
          </c:extLst>
        </c:ser>
        <c:dLbls>
          <c:showLegendKey val="0"/>
          <c:showVal val="1"/>
          <c:showCatName val="0"/>
          <c:showSerName val="0"/>
          <c:showPercent val="0"/>
          <c:showBubbleSize val="0"/>
          <c:showLeaderLines val="1"/>
        </c:dLbls>
        <c:firstSliceAng val="222"/>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28671248357666"/>
          <c:y val="5.2198516459027525E-2"/>
          <c:w val="0.6968635006766476"/>
          <c:h val="0.84262856856572677"/>
        </c:manualLayout>
      </c:layout>
      <c:lineChart>
        <c:grouping val="standard"/>
        <c:varyColors val="0"/>
        <c:ser>
          <c:idx val="0"/>
          <c:order val="0"/>
          <c:tx>
            <c:v>BAU</c:v>
          </c:tx>
          <c:spPr>
            <a:ln w="28575" cap="rnd">
              <a:solidFill>
                <a:schemeClr val="accent1"/>
              </a:solidFill>
              <a:round/>
            </a:ln>
            <a:effectLst/>
          </c:spPr>
          <c:marker>
            <c:symbol val="none"/>
          </c:marker>
          <c:cat>
            <c:numLit>
              <c:formatCode>General</c:formatCode>
              <c:ptCount val="13"/>
              <c:pt idx="0">
                <c:v>2023</c:v>
              </c:pt>
              <c:pt idx="1">
                <c:v>2024</c:v>
              </c:pt>
              <c:pt idx="2">
                <c:v>2025</c:v>
              </c:pt>
              <c:pt idx="3">
                <c:v>2026</c:v>
              </c:pt>
              <c:pt idx="4">
                <c:v>2027</c:v>
              </c:pt>
              <c:pt idx="5">
                <c:v>2028</c:v>
              </c:pt>
              <c:pt idx="6">
                <c:v>2029</c:v>
              </c:pt>
              <c:pt idx="7">
                <c:v>2030</c:v>
              </c:pt>
              <c:pt idx="8">
                <c:v>2031</c:v>
              </c:pt>
              <c:pt idx="9">
                <c:v>2032</c:v>
              </c:pt>
              <c:pt idx="10">
                <c:v>2033</c:v>
              </c:pt>
              <c:pt idx="11">
                <c:v>2034</c:v>
              </c:pt>
              <c:pt idx="12">
                <c:v>2035</c:v>
              </c:pt>
            </c:numLit>
          </c:cat>
          <c:val>
            <c:numRef>
              <c:f>Sheet1!$B$16:$N$16</c:f>
              <c:numCache>
                <c:formatCode>_(* #,##0.00_);_(* \(#,##0.00\);_(* "-"??_);_(@_)</c:formatCode>
                <c:ptCount val="13"/>
                <c:pt idx="0">
                  <c:v>822178.98947368423</c:v>
                </c:pt>
                <c:pt idx="1">
                  <c:v>849072.69473684207</c:v>
                </c:pt>
                <c:pt idx="2">
                  <c:v>892640.49726315786</c:v>
                </c:pt>
                <c:pt idx="3">
                  <c:v>924682.42610526318</c:v>
                </c:pt>
                <c:pt idx="4">
                  <c:v>1005517.2202105264</c:v>
                </c:pt>
                <c:pt idx="5">
                  <c:v>1036252.8833684211</c:v>
                </c:pt>
                <c:pt idx="6">
                  <c:v>1036252.8833684211</c:v>
                </c:pt>
                <c:pt idx="7">
                  <c:v>1069216.8821052632</c:v>
                </c:pt>
                <c:pt idx="8">
                  <c:v>1101293.3885684211</c:v>
                </c:pt>
                <c:pt idx="9">
                  <c:v>1134332.1902254738</c:v>
                </c:pt>
                <c:pt idx="10">
                  <c:v>1168362.1559322381</c:v>
                </c:pt>
                <c:pt idx="11">
                  <c:v>1203413.0206102051</c:v>
                </c:pt>
                <c:pt idx="12">
                  <c:v>1239515.4112285112</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0-1E9A-4A30-A7E8-5367CD93E732}"/>
            </c:ext>
          </c:extLst>
        </c:ser>
        <c:ser>
          <c:idx val="1"/>
          <c:order val="1"/>
          <c:tx>
            <c:v>Scenario 1</c:v>
          </c:tx>
          <c:spPr>
            <a:ln w="28575" cap="rnd">
              <a:solidFill>
                <a:schemeClr val="accent2"/>
              </a:solidFill>
              <a:round/>
            </a:ln>
            <a:effectLst/>
          </c:spPr>
          <c:marker>
            <c:symbol val="none"/>
          </c:marker>
          <c:cat>
            <c:numLit>
              <c:formatCode>General</c:formatCode>
              <c:ptCount val="13"/>
              <c:pt idx="0">
                <c:v>2023</c:v>
              </c:pt>
              <c:pt idx="1">
                <c:v>2024</c:v>
              </c:pt>
              <c:pt idx="2">
                <c:v>2025</c:v>
              </c:pt>
              <c:pt idx="3">
                <c:v>2026</c:v>
              </c:pt>
              <c:pt idx="4">
                <c:v>2027</c:v>
              </c:pt>
              <c:pt idx="5">
                <c:v>2028</c:v>
              </c:pt>
              <c:pt idx="6">
                <c:v>2029</c:v>
              </c:pt>
              <c:pt idx="7">
                <c:v>2030</c:v>
              </c:pt>
              <c:pt idx="8">
                <c:v>2031</c:v>
              </c:pt>
              <c:pt idx="9">
                <c:v>2032</c:v>
              </c:pt>
              <c:pt idx="10">
                <c:v>2033</c:v>
              </c:pt>
              <c:pt idx="11">
                <c:v>2034</c:v>
              </c:pt>
              <c:pt idx="12">
                <c:v>2035</c:v>
              </c:pt>
            </c:numLit>
          </c:cat>
          <c:val>
            <c:numRef>
              <c:f>Sheet1!$B$20:$N$20</c:f>
              <c:numCache>
                <c:formatCode>_(* #,##0.00_);_(* \(#,##0.00\);_(* "-"??_);_(@_)</c:formatCode>
                <c:ptCount val="13"/>
                <c:pt idx="0">
                  <c:v>822178.98947368423</c:v>
                </c:pt>
                <c:pt idx="1">
                  <c:v>849072.69473684207</c:v>
                </c:pt>
                <c:pt idx="2">
                  <c:v>892640.49726315786</c:v>
                </c:pt>
                <c:pt idx="3">
                  <c:v>924682.42610526318</c:v>
                </c:pt>
                <c:pt idx="4">
                  <c:v>1005517.2202105264</c:v>
                </c:pt>
                <c:pt idx="5">
                  <c:v>1036252.8833684211</c:v>
                </c:pt>
                <c:pt idx="6">
                  <c:v>1036252.8833684211</c:v>
                </c:pt>
                <c:pt idx="7">
                  <c:v>1069216.8821052632</c:v>
                </c:pt>
                <c:pt idx="8">
                  <c:v>1101293.3885684211</c:v>
                </c:pt>
                <c:pt idx="9">
                  <c:v>1142849.0424865265</c:v>
                </c:pt>
                <c:pt idx="10">
                  <c:v>1202431.1017596065</c:v>
                </c:pt>
                <c:pt idx="11">
                  <c:v>1288584.6167870474</c:v>
                </c:pt>
                <c:pt idx="12">
                  <c:v>1409859.3719737744</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1-1E9A-4A30-A7E8-5367CD93E732}"/>
            </c:ext>
          </c:extLst>
        </c:ser>
        <c:ser>
          <c:idx val="2"/>
          <c:order val="2"/>
          <c:tx>
            <c:v>Scenario 2</c:v>
          </c:tx>
          <c:spPr>
            <a:ln w="28575" cap="rnd">
              <a:solidFill>
                <a:schemeClr val="accent3">
                  <a:lumMod val="40000"/>
                  <a:lumOff val="60000"/>
                </a:schemeClr>
              </a:solidFill>
              <a:round/>
            </a:ln>
            <a:effectLst/>
          </c:spPr>
          <c:marker>
            <c:symbol val="none"/>
          </c:marker>
          <c:cat>
            <c:numLit>
              <c:formatCode>General</c:formatCode>
              <c:ptCount val="13"/>
              <c:pt idx="0">
                <c:v>2023</c:v>
              </c:pt>
              <c:pt idx="1">
                <c:v>2024</c:v>
              </c:pt>
              <c:pt idx="2">
                <c:v>2025</c:v>
              </c:pt>
              <c:pt idx="3">
                <c:v>2026</c:v>
              </c:pt>
              <c:pt idx="4">
                <c:v>2027</c:v>
              </c:pt>
              <c:pt idx="5">
                <c:v>2028</c:v>
              </c:pt>
              <c:pt idx="6">
                <c:v>2029</c:v>
              </c:pt>
              <c:pt idx="7">
                <c:v>2030</c:v>
              </c:pt>
              <c:pt idx="8">
                <c:v>2031</c:v>
              </c:pt>
              <c:pt idx="9">
                <c:v>2032</c:v>
              </c:pt>
              <c:pt idx="10">
                <c:v>2033</c:v>
              </c:pt>
              <c:pt idx="11">
                <c:v>2034</c:v>
              </c:pt>
              <c:pt idx="12">
                <c:v>2035</c:v>
              </c:pt>
            </c:numLit>
          </c:cat>
          <c:val>
            <c:numRef>
              <c:f>Sheet1!$B$36:$N$36</c:f>
              <c:numCache>
                <c:formatCode>_(* #,##0.00_);_(* \(#,##0.00\);_(* "-"??_);_(@_)</c:formatCode>
                <c:ptCount val="13"/>
                <c:pt idx="0">
                  <c:v>822178.98947368423</c:v>
                </c:pt>
                <c:pt idx="1">
                  <c:v>849072.69473684207</c:v>
                </c:pt>
                <c:pt idx="2">
                  <c:v>892640.49726315786</c:v>
                </c:pt>
                <c:pt idx="3">
                  <c:v>924682.42610526318</c:v>
                </c:pt>
                <c:pt idx="4">
                  <c:v>1005517.2202105264</c:v>
                </c:pt>
                <c:pt idx="5">
                  <c:v>1036252.8833684211</c:v>
                </c:pt>
                <c:pt idx="6">
                  <c:v>1036252.8833684211</c:v>
                </c:pt>
                <c:pt idx="7">
                  <c:v>1069216.8821052632</c:v>
                </c:pt>
                <c:pt idx="8">
                  <c:v>1101293.3885684211</c:v>
                </c:pt>
                <c:pt idx="9">
                  <c:v>1140339.7546617086</c:v>
                </c:pt>
                <c:pt idx="10">
                  <c:v>1192391.6452855975</c:v>
                </c:pt>
                <c:pt idx="11">
                  <c:v>1263486.3597978144</c:v>
                </c:pt>
                <c:pt idx="12">
                  <c:v>1359661.3212121509</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2-1E9A-4A30-A7E8-5367CD93E732}"/>
            </c:ext>
          </c:extLst>
        </c:ser>
        <c:dLbls>
          <c:showLegendKey val="0"/>
          <c:showVal val="0"/>
          <c:showCatName val="0"/>
          <c:showSerName val="0"/>
          <c:showPercent val="0"/>
          <c:showBubbleSize val="0"/>
        </c:dLbls>
        <c:smooth val="0"/>
        <c:axId val="788234495"/>
        <c:axId val="788235455"/>
      </c:lineChart>
      <c:catAx>
        <c:axId val="788234495"/>
        <c:scaling>
          <c:orientation val="minMax"/>
        </c:scaling>
        <c:delete val="0"/>
        <c:axPos val="b"/>
        <c:majorGridlines>
          <c:spPr>
            <a:ln w="9525" cap="flat" cmpd="sng" algn="ctr">
              <a:noFill/>
              <a:round/>
            </a:ln>
            <a:effectLst/>
          </c:spPr>
        </c:majorGridlines>
        <c:numFmt formatCode="General" sourceLinked="1"/>
        <c:majorTickMark val="none"/>
        <c:minorTickMark val="none"/>
        <c:tickLblPos val="nextTo"/>
        <c:spPr>
          <a:noFill/>
          <a:ln w="9525" cap="flat" cmpd="sng" algn="ctr">
            <a:solidFill>
              <a:schemeClr val="accent1">
                <a:alpha val="81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8235455"/>
        <c:crosses val="autoZero"/>
        <c:auto val="1"/>
        <c:lblAlgn val="ctr"/>
        <c:lblOffset val="100"/>
        <c:noMultiLvlLbl val="0"/>
      </c:catAx>
      <c:valAx>
        <c:axId val="788235455"/>
        <c:scaling>
          <c:orientation val="minMax"/>
          <c:min val="800000"/>
        </c:scaling>
        <c:delete val="0"/>
        <c:axPos val="l"/>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8234495"/>
        <c:crosses val="autoZero"/>
        <c:crossBetween val="between"/>
        <c:dispUnits>
          <c:builtInUnit val="thousands"/>
          <c:dispUnitsLbl>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Scope</a:t>
                  </a:r>
                  <a:r>
                    <a:rPr lang="en-IE" baseline="0"/>
                    <a:t> 1 emissions; t</a:t>
                  </a:r>
                  <a:r>
                    <a:rPr lang="en-IE"/>
                    <a:t>housands tCO2e</a:t>
                  </a:r>
                </a:p>
              </c:rich>
            </c:tx>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legend>
      <c:legendPos val="r"/>
      <c:layout>
        <c:manualLayout>
          <c:xMode val="edge"/>
          <c:yMode val="edge"/>
          <c:x val="0.83277145261673913"/>
          <c:y val="0.23842713898483298"/>
          <c:w val="0.15322363621092017"/>
          <c:h val="0.4002112908329580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'revenue figures'!$A$5</c:f>
              <c:strCache>
                <c:ptCount val="1"/>
                <c:pt idx="0">
                  <c:v>BAU</c:v>
                </c:pt>
              </c:strCache>
            </c:strRef>
          </c:tx>
          <c:spPr>
            <a:ln w="28575" cap="rnd">
              <a:solidFill>
                <a:schemeClr val="accent1"/>
              </a:solidFill>
              <a:round/>
            </a:ln>
            <a:effectLst/>
          </c:spPr>
          <c:marker>
            <c:symbol val="none"/>
          </c:marker>
          <c:cat>
            <c:numRef>
              <c:f>'revenue figures'!$G$4:$N$4</c:f>
              <c:numCache>
                <c:formatCode>General</c:formatCode>
                <c:ptCount val="8"/>
                <c:pt idx="0">
                  <c:v>2028</c:v>
                </c:pt>
                <c:pt idx="1">
                  <c:v>2029</c:v>
                </c:pt>
                <c:pt idx="2">
                  <c:v>2030</c:v>
                </c:pt>
                <c:pt idx="3">
                  <c:v>2031</c:v>
                </c:pt>
                <c:pt idx="4">
                  <c:v>2032</c:v>
                </c:pt>
                <c:pt idx="5">
                  <c:v>2033</c:v>
                </c:pt>
                <c:pt idx="6">
                  <c:v>2034</c:v>
                </c:pt>
                <c:pt idx="7">
                  <c:v>2035</c:v>
                </c:pt>
              </c:numCache>
            </c:numRef>
          </c:cat>
          <c:val>
            <c:numRef>
              <c:f>'revenue figures'!$G$5:$N$5</c:f>
              <c:numCache>
                <c:formatCode>0.0</c:formatCode>
                <c:ptCount val="8"/>
                <c:pt idx="0">
                  <c:v>79.713999999999999</c:v>
                </c:pt>
                <c:pt idx="1">
                  <c:v>84.35</c:v>
                </c:pt>
                <c:pt idx="2">
                  <c:v>85.072999999999993</c:v>
                </c:pt>
                <c:pt idx="3">
                  <c:v>89.778399999999991</c:v>
                </c:pt>
                <c:pt idx="4">
                  <c:v>94.483799999999988</c:v>
                </c:pt>
                <c:pt idx="5">
                  <c:v>99.1892</c:v>
                </c:pt>
                <c:pt idx="6">
                  <c:v>103.8946</c:v>
                </c:pt>
                <c:pt idx="7">
                  <c:v>108.6</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0-8DEB-487F-8196-1B67124689CC}"/>
            </c:ext>
          </c:extLst>
        </c:ser>
        <c:ser>
          <c:idx val="1"/>
          <c:order val="1"/>
          <c:tx>
            <c:strRef>
              <c:f>'revenue figures'!$A$6</c:f>
              <c:strCache>
                <c:ptCount val="1"/>
                <c:pt idx="0">
                  <c:v>BAU + Strategic projects (scenario 1)</c:v>
                </c:pt>
              </c:strCache>
            </c:strRef>
          </c:tx>
          <c:spPr>
            <a:ln w="28575" cap="rnd">
              <a:solidFill>
                <a:schemeClr val="accent2"/>
              </a:solidFill>
              <a:round/>
            </a:ln>
            <a:effectLst/>
          </c:spPr>
          <c:marker>
            <c:symbol val="none"/>
          </c:marker>
          <c:cat>
            <c:numRef>
              <c:f>'revenue figures'!$G$4:$N$4</c:f>
              <c:numCache>
                <c:formatCode>General</c:formatCode>
                <c:ptCount val="8"/>
                <c:pt idx="0">
                  <c:v>2028</c:v>
                </c:pt>
                <c:pt idx="1">
                  <c:v>2029</c:v>
                </c:pt>
                <c:pt idx="2">
                  <c:v>2030</c:v>
                </c:pt>
                <c:pt idx="3">
                  <c:v>2031</c:v>
                </c:pt>
                <c:pt idx="4">
                  <c:v>2032</c:v>
                </c:pt>
                <c:pt idx="5">
                  <c:v>2033</c:v>
                </c:pt>
                <c:pt idx="6">
                  <c:v>2034</c:v>
                </c:pt>
                <c:pt idx="7">
                  <c:v>2035</c:v>
                </c:pt>
              </c:numCache>
            </c:numRef>
          </c:cat>
          <c:val>
            <c:numRef>
              <c:f>'revenue figures'!$G$6:$N$6</c:f>
              <c:numCache>
                <c:formatCode>0.0</c:formatCode>
                <c:ptCount val="8"/>
                <c:pt idx="0">
                  <c:v>79.713999999999999</c:v>
                </c:pt>
                <c:pt idx="1">
                  <c:v>84.35</c:v>
                </c:pt>
                <c:pt idx="2">
                  <c:v>85.072999999999993</c:v>
                </c:pt>
                <c:pt idx="3">
                  <c:v>89.778399999999991</c:v>
                </c:pt>
                <c:pt idx="4">
                  <c:v>94.813190059834355</c:v>
                </c:pt>
                <c:pt idx="5">
                  <c:v>100.5067602393375</c:v>
                </c:pt>
                <c:pt idx="6">
                  <c:v>107.18850059834372</c:v>
                </c:pt>
                <c:pt idx="7">
                  <c:v>115.18780119668745</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1-8DEB-487F-8196-1B67124689CC}"/>
            </c:ext>
          </c:extLst>
        </c:ser>
        <c:ser>
          <c:idx val="2"/>
          <c:order val="2"/>
          <c:tx>
            <c:strRef>
              <c:f>'revenue figures'!$A$8</c:f>
              <c:strCache>
                <c:ptCount val="1"/>
                <c:pt idx="0">
                  <c:v>BAU + Strategic projects (scenario 2)</c:v>
                </c:pt>
              </c:strCache>
            </c:strRef>
          </c:tx>
          <c:spPr>
            <a:ln w="28575" cap="rnd">
              <a:solidFill>
                <a:schemeClr val="accent3"/>
              </a:solidFill>
              <a:round/>
            </a:ln>
            <a:effectLst/>
          </c:spPr>
          <c:marker>
            <c:symbol val="none"/>
          </c:marker>
          <c:cat>
            <c:numRef>
              <c:f>'revenue figures'!$G$4:$N$4</c:f>
              <c:numCache>
                <c:formatCode>General</c:formatCode>
                <c:ptCount val="8"/>
                <c:pt idx="0">
                  <c:v>2028</c:v>
                </c:pt>
                <c:pt idx="1">
                  <c:v>2029</c:v>
                </c:pt>
                <c:pt idx="2">
                  <c:v>2030</c:v>
                </c:pt>
                <c:pt idx="3">
                  <c:v>2031</c:v>
                </c:pt>
                <c:pt idx="4">
                  <c:v>2032</c:v>
                </c:pt>
                <c:pt idx="5">
                  <c:v>2033</c:v>
                </c:pt>
                <c:pt idx="6">
                  <c:v>2034</c:v>
                </c:pt>
                <c:pt idx="7">
                  <c:v>2035</c:v>
                </c:pt>
              </c:numCache>
            </c:numRef>
          </c:cat>
          <c:val>
            <c:numRef>
              <c:f>'revenue figures'!$G$8:$N$8</c:f>
              <c:numCache>
                <c:formatCode>0.0</c:formatCode>
                <c:ptCount val="8"/>
                <c:pt idx="0">
                  <c:v>79.713999999999999</c:v>
                </c:pt>
                <c:pt idx="1">
                  <c:v>84.35</c:v>
                </c:pt>
                <c:pt idx="2">
                  <c:v>85.072999999999993</c:v>
                </c:pt>
                <c:pt idx="3">
                  <c:v>89.778399999999991</c:v>
                </c:pt>
                <c:pt idx="4">
                  <c:v>95.057321272437875</c:v>
                </c:pt>
                <c:pt idx="5">
                  <c:v>101.48328508975156</c:v>
                </c:pt>
                <c:pt idx="6">
                  <c:v>109.62981272437889</c:v>
                </c:pt>
                <c:pt idx="7">
                  <c:v>120.07042544875779</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2-8DEB-487F-8196-1B67124689CC}"/>
            </c:ext>
          </c:extLst>
        </c:ser>
        <c:dLbls>
          <c:showLegendKey val="0"/>
          <c:showVal val="0"/>
          <c:showCatName val="0"/>
          <c:showSerName val="0"/>
          <c:showPercent val="0"/>
          <c:showBubbleSize val="0"/>
        </c:dLbls>
        <c:smooth val="0"/>
        <c:axId val="1573967519"/>
        <c:axId val="1573968479"/>
      </c:lineChart>
      <c:catAx>
        <c:axId val="15739675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3968479"/>
        <c:crossesAt val="80"/>
        <c:auto val="1"/>
        <c:lblAlgn val="ctr"/>
        <c:lblOffset val="100"/>
        <c:noMultiLvlLbl val="0"/>
      </c:catAx>
      <c:valAx>
        <c:axId val="1573968479"/>
        <c:scaling>
          <c:orientation val="minMax"/>
          <c:max val="130"/>
          <c:min val="80"/>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39675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51534F60A5B448B6E4B19C6951FA3E" ma:contentTypeVersion="4" ma:contentTypeDescription="Create a new document." ma:contentTypeScope="" ma:versionID="f43f232a58218a375219e47803cac635">
  <xsd:schema xmlns:xsd="http://www.w3.org/2001/XMLSchema" xmlns:xs="http://www.w3.org/2001/XMLSchema" xmlns:p="http://schemas.microsoft.com/office/2006/metadata/properties" xmlns:ns2="9150c696-8d86-4c7a-9a74-12a0a9ada379" targetNamespace="http://schemas.microsoft.com/office/2006/metadata/properties" ma:root="true" ma:fieldsID="345a1cc19c1188813b19f3194b7a826f" ns2:_="">
    <xsd:import namespace="9150c696-8d86-4c7a-9a74-12a0a9ada3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50c696-8d86-4c7a-9a74-12a0a9ada3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19F37-FEC9-41A8-A047-3078B9EF9479}">
  <ds:schemaRefs>
    <ds:schemaRef ds:uri="http://schemas.microsoft.com/sharepoint/v3/contenttype/forms"/>
  </ds:schemaRefs>
</ds:datastoreItem>
</file>

<file path=customXml/itemProps2.xml><?xml version="1.0" encoding="utf-8"?>
<ds:datastoreItem xmlns:ds="http://schemas.openxmlformats.org/officeDocument/2006/customXml" ds:itemID="{4633AB5D-634E-404D-A512-ED3D425893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DFBD8A0-8FFA-42AE-939F-3202EF95AD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50c696-8d86-4c7a-9a74-12a0a9ada3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0A662A-5304-4CA7-9CDE-1EBB2AD5A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743</TotalTime>
  <Pages>10</Pages>
  <Words>58157</Words>
  <Characters>331497</Characters>
  <Application>Microsoft Office Word</Application>
  <DocSecurity>0</DocSecurity>
  <Lines>2762</Lines>
  <Paragraphs>777</Paragraphs>
  <ScaleCrop>false</ScaleCrop>
  <Manager/>
  <Company/>
  <LinksUpToDate>false</LinksUpToDate>
  <CharactersWithSpaces>388877</CharactersWithSpaces>
  <SharedDoc>false</SharedDoc>
  <HLinks>
    <vt:vector size="1428" baseType="variant">
      <vt:variant>
        <vt:i4>1835063</vt:i4>
      </vt:variant>
      <vt:variant>
        <vt:i4>782</vt:i4>
      </vt:variant>
      <vt:variant>
        <vt:i4>0</vt:i4>
      </vt:variant>
      <vt:variant>
        <vt:i4>5</vt:i4>
      </vt:variant>
      <vt:variant>
        <vt:lpwstr/>
      </vt:variant>
      <vt:variant>
        <vt:lpwstr>_Toc230010485</vt:lpwstr>
      </vt:variant>
      <vt:variant>
        <vt:i4>1835063</vt:i4>
      </vt:variant>
      <vt:variant>
        <vt:i4>776</vt:i4>
      </vt:variant>
      <vt:variant>
        <vt:i4>0</vt:i4>
      </vt:variant>
      <vt:variant>
        <vt:i4>5</vt:i4>
      </vt:variant>
      <vt:variant>
        <vt:lpwstr/>
      </vt:variant>
      <vt:variant>
        <vt:lpwstr>_Toc230010484</vt:lpwstr>
      </vt:variant>
      <vt:variant>
        <vt:i4>1835063</vt:i4>
      </vt:variant>
      <vt:variant>
        <vt:i4>770</vt:i4>
      </vt:variant>
      <vt:variant>
        <vt:i4>0</vt:i4>
      </vt:variant>
      <vt:variant>
        <vt:i4>5</vt:i4>
      </vt:variant>
      <vt:variant>
        <vt:lpwstr/>
      </vt:variant>
      <vt:variant>
        <vt:lpwstr>_Toc230010483</vt:lpwstr>
      </vt:variant>
      <vt:variant>
        <vt:i4>1835063</vt:i4>
      </vt:variant>
      <vt:variant>
        <vt:i4>764</vt:i4>
      </vt:variant>
      <vt:variant>
        <vt:i4>0</vt:i4>
      </vt:variant>
      <vt:variant>
        <vt:i4>5</vt:i4>
      </vt:variant>
      <vt:variant>
        <vt:lpwstr/>
      </vt:variant>
      <vt:variant>
        <vt:lpwstr>_Toc230010482</vt:lpwstr>
      </vt:variant>
      <vt:variant>
        <vt:i4>1835063</vt:i4>
      </vt:variant>
      <vt:variant>
        <vt:i4>758</vt:i4>
      </vt:variant>
      <vt:variant>
        <vt:i4>0</vt:i4>
      </vt:variant>
      <vt:variant>
        <vt:i4>5</vt:i4>
      </vt:variant>
      <vt:variant>
        <vt:lpwstr/>
      </vt:variant>
      <vt:variant>
        <vt:lpwstr>_Toc230010481</vt:lpwstr>
      </vt:variant>
      <vt:variant>
        <vt:i4>1835063</vt:i4>
      </vt:variant>
      <vt:variant>
        <vt:i4>752</vt:i4>
      </vt:variant>
      <vt:variant>
        <vt:i4>0</vt:i4>
      </vt:variant>
      <vt:variant>
        <vt:i4>5</vt:i4>
      </vt:variant>
      <vt:variant>
        <vt:lpwstr/>
      </vt:variant>
      <vt:variant>
        <vt:lpwstr>_Toc230010480</vt:lpwstr>
      </vt:variant>
      <vt:variant>
        <vt:i4>1245239</vt:i4>
      </vt:variant>
      <vt:variant>
        <vt:i4>746</vt:i4>
      </vt:variant>
      <vt:variant>
        <vt:i4>0</vt:i4>
      </vt:variant>
      <vt:variant>
        <vt:i4>5</vt:i4>
      </vt:variant>
      <vt:variant>
        <vt:lpwstr/>
      </vt:variant>
      <vt:variant>
        <vt:lpwstr>_Toc230010479</vt:lpwstr>
      </vt:variant>
      <vt:variant>
        <vt:i4>1245239</vt:i4>
      </vt:variant>
      <vt:variant>
        <vt:i4>740</vt:i4>
      </vt:variant>
      <vt:variant>
        <vt:i4>0</vt:i4>
      </vt:variant>
      <vt:variant>
        <vt:i4>5</vt:i4>
      </vt:variant>
      <vt:variant>
        <vt:lpwstr/>
      </vt:variant>
      <vt:variant>
        <vt:lpwstr>_Toc230010478</vt:lpwstr>
      </vt:variant>
      <vt:variant>
        <vt:i4>1245239</vt:i4>
      </vt:variant>
      <vt:variant>
        <vt:i4>734</vt:i4>
      </vt:variant>
      <vt:variant>
        <vt:i4>0</vt:i4>
      </vt:variant>
      <vt:variant>
        <vt:i4>5</vt:i4>
      </vt:variant>
      <vt:variant>
        <vt:lpwstr/>
      </vt:variant>
      <vt:variant>
        <vt:lpwstr>_Toc230010477</vt:lpwstr>
      </vt:variant>
      <vt:variant>
        <vt:i4>1245239</vt:i4>
      </vt:variant>
      <vt:variant>
        <vt:i4>728</vt:i4>
      </vt:variant>
      <vt:variant>
        <vt:i4>0</vt:i4>
      </vt:variant>
      <vt:variant>
        <vt:i4>5</vt:i4>
      </vt:variant>
      <vt:variant>
        <vt:lpwstr/>
      </vt:variant>
      <vt:variant>
        <vt:lpwstr>_Toc230010476</vt:lpwstr>
      </vt:variant>
      <vt:variant>
        <vt:i4>1245239</vt:i4>
      </vt:variant>
      <vt:variant>
        <vt:i4>722</vt:i4>
      </vt:variant>
      <vt:variant>
        <vt:i4>0</vt:i4>
      </vt:variant>
      <vt:variant>
        <vt:i4>5</vt:i4>
      </vt:variant>
      <vt:variant>
        <vt:lpwstr/>
      </vt:variant>
      <vt:variant>
        <vt:lpwstr>_Toc230010475</vt:lpwstr>
      </vt:variant>
      <vt:variant>
        <vt:i4>1245239</vt:i4>
      </vt:variant>
      <vt:variant>
        <vt:i4>716</vt:i4>
      </vt:variant>
      <vt:variant>
        <vt:i4>0</vt:i4>
      </vt:variant>
      <vt:variant>
        <vt:i4>5</vt:i4>
      </vt:variant>
      <vt:variant>
        <vt:lpwstr/>
      </vt:variant>
      <vt:variant>
        <vt:lpwstr>_Toc230010474</vt:lpwstr>
      </vt:variant>
      <vt:variant>
        <vt:i4>1245239</vt:i4>
      </vt:variant>
      <vt:variant>
        <vt:i4>710</vt:i4>
      </vt:variant>
      <vt:variant>
        <vt:i4>0</vt:i4>
      </vt:variant>
      <vt:variant>
        <vt:i4>5</vt:i4>
      </vt:variant>
      <vt:variant>
        <vt:lpwstr/>
      </vt:variant>
      <vt:variant>
        <vt:lpwstr>_Toc230010473</vt:lpwstr>
      </vt:variant>
      <vt:variant>
        <vt:i4>1245239</vt:i4>
      </vt:variant>
      <vt:variant>
        <vt:i4>704</vt:i4>
      </vt:variant>
      <vt:variant>
        <vt:i4>0</vt:i4>
      </vt:variant>
      <vt:variant>
        <vt:i4>5</vt:i4>
      </vt:variant>
      <vt:variant>
        <vt:lpwstr/>
      </vt:variant>
      <vt:variant>
        <vt:lpwstr>_Toc230010472</vt:lpwstr>
      </vt:variant>
      <vt:variant>
        <vt:i4>1245239</vt:i4>
      </vt:variant>
      <vt:variant>
        <vt:i4>698</vt:i4>
      </vt:variant>
      <vt:variant>
        <vt:i4>0</vt:i4>
      </vt:variant>
      <vt:variant>
        <vt:i4>5</vt:i4>
      </vt:variant>
      <vt:variant>
        <vt:lpwstr/>
      </vt:variant>
      <vt:variant>
        <vt:lpwstr>_Toc230010471</vt:lpwstr>
      </vt:variant>
      <vt:variant>
        <vt:i4>1245239</vt:i4>
      </vt:variant>
      <vt:variant>
        <vt:i4>692</vt:i4>
      </vt:variant>
      <vt:variant>
        <vt:i4>0</vt:i4>
      </vt:variant>
      <vt:variant>
        <vt:i4>5</vt:i4>
      </vt:variant>
      <vt:variant>
        <vt:lpwstr/>
      </vt:variant>
      <vt:variant>
        <vt:lpwstr>_Toc230010470</vt:lpwstr>
      </vt:variant>
      <vt:variant>
        <vt:i4>1179703</vt:i4>
      </vt:variant>
      <vt:variant>
        <vt:i4>686</vt:i4>
      </vt:variant>
      <vt:variant>
        <vt:i4>0</vt:i4>
      </vt:variant>
      <vt:variant>
        <vt:i4>5</vt:i4>
      </vt:variant>
      <vt:variant>
        <vt:lpwstr/>
      </vt:variant>
      <vt:variant>
        <vt:lpwstr>_Toc230010469</vt:lpwstr>
      </vt:variant>
      <vt:variant>
        <vt:i4>1179703</vt:i4>
      </vt:variant>
      <vt:variant>
        <vt:i4>680</vt:i4>
      </vt:variant>
      <vt:variant>
        <vt:i4>0</vt:i4>
      </vt:variant>
      <vt:variant>
        <vt:i4>5</vt:i4>
      </vt:variant>
      <vt:variant>
        <vt:lpwstr/>
      </vt:variant>
      <vt:variant>
        <vt:lpwstr>_Toc230010468</vt:lpwstr>
      </vt:variant>
      <vt:variant>
        <vt:i4>1179703</vt:i4>
      </vt:variant>
      <vt:variant>
        <vt:i4>674</vt:i4>
      </vt:variant>
      <vt:variant>
        <vt:i4>0</vt:i4>
      </vt:variant>
      <vt:variant>
        <vt:i4>5</vt:i4>
      </vt:variant>
      <vt:variant>
        <vt:lpwstr/>
      </vt:variant>
      <vt:variant>
        <vt:lpwstr>_Toc230010467</vt:lpwstr>
      </vt:variant>
      <vt:variant>
        <vt:i4>1179703</vt:i4>
      </vt:variant>
      <vt:variant>
        <vt:i4>668</vt:i4>
      </vt:variant>
      <vt:variant>
        <vt:i4>0</vt:i4>
      </vt:variant>
      <vt:variant>
        <vt:i4>5</vt:i4>
      </vt:variant>
      <vt:variant>
        <vt:lpwstr/>
      </vt:variant>
      <vt:variant>
        <vt:lpwstr>_Toc230010466</vt:lpwstr>
      </vt:variant>
      <vt:variant>
        <vt:i4>1179703</vt:i4>
      </vt:variant>
      <vt:variant>
        <vt:i4>662</vt:i4>
      </vt:variant>
      <vt:variant>
        <vt:i4>0</vt:i4>
      </vt:variant>
      <vt:variant>
        <vt:i4>5</vt:i4>
      </vt:variant>
      <vt:variant>
        <vt:lpwstr/>
      </vt:variant>
      <vt:variant>
        <vt:lpwstr>_Toc230010465</vt:lpwstr>
      </vt:variant>
      <vt:variant>
        <vt:i4>1179703</vt:i4>
      </vt:variant>
      <vt:variant>
        <vt:i4>656</vt:i4>
      </vt:variant>
      <vt:variant>
        <vt:i4>0</vt:i4>
      </vt:variant>
      <vt:variant>
        <vt:i4>5</vt:i4>
      </vt:variant>
      <vt:variant>
        <vt:lpwstr/>
      </vt:variant>
      <vt:variant>
        <vt:lpwstr>_Toc230010464</vt:lpwstr>
      </vt:variant>
      <vt:variant>
        <vt:i4>1179703</vt:i4>
      </vt:variant>
      <vt:variant>
        <vt:i4>650</vt:i4>
      </vt:variant>
      <vt:variant>
        <vt:i4>0</vt:i4>
      </vt:variant>
      <vt:variant>
        <vt:i4>5</vt:i4>
      </vt:variant>
      <vt:variant>
        <vt:lpwstr/>
      </vt:variant>
      <vt:variant>
        <vt:lpwstr>_Toc230010463</vt:lpwstr>
      </vt:variant>
      <vt:variant>
        <vt:i4>1179703</vt:i4>
      </vt:variant>
      <vt:variant>
        <vt:i4>644</vt:i4>
      </vt:variant>
      <vt:variant>
        <vt:i4>0</vt:i4>
      </vt:variant>
      <vt:variant>
        <vt:i4>5</vt:i4>
      </vt:variant>
      <vt:variant>
        <vt:lpwstr/>
      </vt:variant>
      <vt:variant>
        <vt:lpwstr>_Toc230010462</vt:lpwstr>
      </vt:variant>
      <vt:variant>
        <vt:i4>1179703</vt:i4>
      </vt:variant>
      <vt:variant>
        <vt:i4>638</vt:i4>
      </vt:variant>
      <vt:variant>
        <vt:i4>0</vt:i4>
      </vt:variant>
      <vt:variant>
        <vt:i4>5</vt:i4>
      </vt:variant>
      <vt:variant>
        <vt:lpwstr/>
      </vt:variant>
      <vt:variant>
        <vt:lpwstr>_Toc230010461</vt:lpwstr>
      </vt:variant>
      <vt:variant>
        <vt:i4>1179703</vt:i4>
      </vt:variant>
      <vt:variant>
        <vt:i4>632</vt:i4>
      </vt:variant>
      <vt:variant>
        <vt:i4>0</vt:i4>
      </vt:variant>
      <vt:variant>
        <vt:i4>5</vt:i4>
      </vt:variant>
      <vt:variant>
        <vt:lpwstr/>
      </vt:variant>
      <vt:variant>
        <vt:lpwstr>_Toc230010460</vt:lpwstr>
      </vt:variant>
      <vt:variant>
        <vt:i4>1114167</vt:i4>
      </vt:variant>
      <vt:variant>
        <vt:i4>626</vt:i4>
      </vt:variant>
      <vt:variant>
        <vt:i4>0</vt:i4>
      </vt:variant>
      <vt:variant>
        <vt:i4>5</vt:i4>
      </vt:variant>
      <vt:variant>
        <vt:lpwstr/>
      </vt:variant>
      <vt:variant>
        <vt:lpwstr>_Toc230010459</vt:lpwstr>
      </vt:variant>
      <vt:variant>
        <vt:i4>1114167</vt:i4>
      </vt:variant>
      <vt:variant>
        <vt:i4>620</vt:i4>
      </vt:variant>
      <vt:variant>
        <vt:i4>0</vt:i4>
      </vt:variant>
      <vt:variant>
        <vt:i4>5</vt:i4>
      </vt:variant>
      <vt:variant>
        <vt:lpwstr/>
      </vt:variant>
      <vt:variant>
        <vt:lpwstr>_Toc230010458</vt:lpwstr>
      </vt:variant>
      <vt:variant>
        <vt:i4>1114167</vt:i4>
      </vt:variant>
      <vt:variant>
        <vt:i4>614</vt:i4>
      </vt:variant>
      <vt:variant>
        <vt:i4>0</vt:i4>
      </vt:variant>
      <vt:variant>
        <vt:i4>5</vt:i4>
      </vt:variant>
      <vt:variant>
        <vt:lpwstr/>
      </vt:variant>
      <vt:variant>
        <vt:lpwstr>_Toc230010457</vt:lpwstr>
      </vt:variant>
      <vt:variant>
        <vt:i4>1114167</vt:i4>
      </vt:variant>
      <vt:variant>
        <vt:i4>608</vt:i4>
      </vt:variant>
      <vt:variant>
        <vt:i4>0</vt:i4>
      </vt:variant>
      <vt:variant>
        <vt:i4>5</vt:i4>
      </vt:variant>
      <vt:variant>
        <vt:lpwstr/>
      </vt:variant>
      <vt:variant>
        <vt:lpwstr>_Toc230010456</vt:lpwstr>
      </vt:variant>
      <vt:variant>
        <vt:i4>1114167</vt:i4>
      </vt:variant>
      <vt:variant>
        <vt:i4>602</vt:i4>
      </vt:variant>
      <vt:variant>
        <vt:i4>0</vt:i4>
      </vt:variant>
      <vt:variant>
        <vt:i4>5</vt:i4>
      </vt:variant>
      <vt:variant>
        <vt:lpwstr/>
      </vt:variant>
      <vt:variant>
        <vt:lpwstr>_Toc230010455</vt:lpwstr>
      </vt:variant>
      <vt:variant>
        <vt:i4>1114167</vt:i4>
      </vt:variant>
      <vt:variant>
        <vt:i4>596</vt:i4>
      </vt:variant>
      <vt:variant>
        <vt:i4>0</vt:i4>
      </vt:variant>
      <vt:variant>
        <vt:i4>5</vt:i4>
      </vt:variant>
      <vt:variant>
        <vt:lpwstr/>
      </vt:variant>
      <vt:variant>
        <vt:lpwstr>_Toc230010454</vt:lpwstr>
      </vt:variant>
      <vt:variant>
        <vt:i4>1114167</vt:i4>
      </vt:variant>
      <vt:variant>
        <vt:i4>590</vt:i4>
      </vt:variant>
      <vt:variant>
        <vt:i4>0</vt:i4>
      </vt:variant>
      <vt:variant>
        <vt:i4>5</vt:i4>
      </vt:variant>
      <vt:variant>
        <vt:lpwstr/>
      </vt:variant>
      <vt:variant>
        <vt:lpwstr>_Toc230010453</vt:lpwstr>
      </vt:variant>
      <vt:variant>
        <vt:i4>1114167</vt:i4>
      </vt:variant>
      <vt:variant>
        <vt:i4>584</vt:i4>
      </vt:variant>
      <vt:variant>
        <vt:i4>0</vt:i4>
      </vt:variant>
      <vt:variant>
        <vt:i4>5</vt:i4>
      </vt:variant>
      <vt:variant>
        <vt:lpwstr/>
      </vt:variant>
      <vt:variant>
        <vt:lpwstr>_Toc230010452</vt:lpwstr>
      </vt:variant>
      <vt:variant>
        <vt:i4>1114167</vt:i4>
      </vt:variant>
      <vt:variant>
        <vt:i4>578</vt:i4>
      </vt:variant>
      <vt:variant>
        <vt:i4>0</vt:i4>
      </vt:variant>
      <vt:variant>
        <vt:i4>5</vt:i4>
      </vt:variant>
      <vt:variant>
        <vt:lpwstr/>
      </vt:variant>
      <vt:variant>
        <vt:lpwstr>_Toc230010451</vt:lpwstr>
      </vt:variant>
      <vt:variant>
        <vt:i4>1114167</vt:i4>
      </vt:variant>
      <vt:variant>
        <vt:i4>572</vt:i4>
      </vt:variant>
      <vt:variant>
        <vt:i4>0</vt:i4>
      </vt:variant>
      <vt:variant>
        <vt:i4>5</vt:i4>
      </vt:variant>
      <vt:variant>
        <vt:lpwstr/>
      </vt:variant>
      <vt:variant>
        <vt:lpwstr>_Toc230010450</vt:lpwstr>
      </vt:variant>
      <vt:variant>
        <vt:i4>1048631</vt:i4>
      </vt:variant>
      <vt:variant>
        <vt:i4>566</vt:i4>
      </vt:variant>
      <vt:variant>
        <vt:i4>0</vt:i4>
      </vt:variant>
      <vt:variant>
        <vt:i4>5</vt:i4>
      </vt:variant>
      <vt:variant>
        <vt:lpwstr/>
      </vt:variant>
      <vt:variant>
        <vt:lpwstr>_Toc230010449</vt:lpwstr>
      </vt:variant>
      <vt:variant>
        <vt:i4>1048631</vt:i4>
      </vt:variant>
      <vt:variant>
        <vt:i4>560</vt:i4>
      </vt:variant>
      <vt:variant>
        <vt:i4>0</vt:i4>
      </vt:variant>
      <vt:variant>
        <vt:i4>5</vt:i4>
      </vt:variant>
      <vt:variant>
        <vt:lpwstr/>
      </vt:variant>
      <vt:variant>
        <vt:lpwstr>_Toc230010448</vt:lpwstr>
      </vt:variant>
      <vt:variant>
        <vt:i4>1048631</vt:i4>
      </vt:variant>
      <vt:variant>
        <vt:i4>554</vt:i4>
      </vt:variant>
      <vt:variant>
        <vt:i4>0</vt:i4>
      </vt:variant>
      <vt:variant>
        <vt:i4>5</vt:i4>
      </vt:variant>
      <vt:variant>
        <vt:lpwstr/>
      </vt:variant>
      <vt:variant>
        <vt:lpwstr>_Toc230010447</vt:lpwstr>
      </vt:variant>
      <vt:variant>
        <vt:i4>1048631</vt:i4>
      </vt:variant>
      <vt:variant>
        <vt:i4>548</vt:i4>
      </vt:variant>
      <vt:variant>
        <vt:i4>0</vt:i4>
      </vt:variant>
      <vt:variant>
        <vt:i4>5</vt:i4>
      </vt:variant>
      <vt:variant>
        <vt:lpwstr/>
      </vt:variant>
      <vt:variant>
        <vt:lpwstr>_Toc230010446</vt:lpwstr>
      </vt:variant>
      <vt:variant>
        <vt:i4>1048631</vt:i4>
      </vt:variant>
      <vt:variant>
        <vt:i4>542</vt:i4>
      </vt:variant>
      <vt:variant>
        <vt:i4>0</vt:i4>
      </vt:variant>
      <vt:variant>
        <vt:i4>5</vt:i4>
      </vt:variant>
      <vt:variant>
        <vt:lpwstr/>
      </vt:variant>
      <vt:variant>
        <vt:lpwstr>_Toc230010445</vt:lpwstr>
      </vt:variant>
      <vt:variant>
        <vt:i4>1048631</vt:i4>
      </vt:variant>
      <vt:variant>
        <vt:i4>536</vt:i4>
      </vt:variant>
      <vt:variant>
        <vt:i4>0</vt:i4>
      </vt:variant>
      <vt:variant>
        <vt:i4>5</vt:i4>
      </vt:variant>
      <vt:variant>
        <vt:lpwstr/>
      </vt:variant>
      <vt:variant>
        <vt:lpwstr>_Toc230010444</vt:lpwstr>
      </vt:variant>
      <vt:variant>
        <vt:i4>1048631</vt:i4>
      </vt:variant>
      <vt:variant>
        <vt:i4>530</vt:i4>
      </vt:variant>
      <vt:variant>
        <vt:i4>0</vt:i4>
      </vt:variant>
      <vt:variant>
        <vt:i4>5</vt:i4>
      </vt:variant>
      <vt:variant>
        <vt:lpwstr/>
      </vt:variant>
      <vt:variant>
        <vt:lpwstr>_Toc230010443</vt:lpwstr>
      </vt:variant>
      <vt:variant>
        <vt:i4>1048631</vt:i4>
      </vt:variant>
      <vt:variant>
        <vt:i4>524</vt:i4>
      </vt:variant>
      <vt:variant>
        <vt:i4>0</vt:i4>
      </vt:variant>
      <vt:variant>
        <vt:i4>5</vt:i4>
      </vt:variant>
      <vt:variant>
        <vt:lpwstr/>
      </vt:variant>
      <vt:variant>
        <vt:lpwstr>_Toc230010442</vt:lpwstr>
      </vt:variant>
      <vt:variant>
        <vt:i4>1048631</vt:i4>
      </vt:variant>
      <vt:variant>
        <vt:i4>518</vt:i4>
      </vt:variant>
      <vt:variant>
        <vt:i4>0</vt:i4>
      </vt:variant>
      <vt:variant>
        <vt:i4>5</vt:i4>
      </vt:variant>
      <vt:variant>
        <vt:lpwstr/>
      </vt:variant>
      <vt:variant>
        <vt:lpwstr>_Toc230010441</vt:lpwstr>
      </vt:variant>
      <vt:variant>
        <vt:i4>1048631</vt:i4>
      </vt:variant>
      <vt:variant>
        <vt:i4>512</vt:i4>
      </vt:variant>
      <vt:variant>
        <vt:i4>0</vt:i4>
      </vt:variant>
      <vt:variant>
        <vt:i4>5</vt:i4>
      </vt:variant>
      <vt:variant>
        <vt:lpwstr/>
      </vt:variant>
      <vt:variant>
        <vt:lpwstr>_Toc230010440</vt:lpwstr>
      </vt:variant>
      <vt:variant>
        <vt:i4>1507383</vt:i4>
      </vt:variant>
      <vt:variant>
        <vt:i4>506</vt:i4>
      </vt:variant>
      <vt:variant>
        <vt:i4>0</vt:i4>
      </vt:variant>
      <vt:variant>
        <vt:i4>5</vt:i4>
      </vt:variant>
      <vt:variant>
        <vt:lpwstr/>
      </vt:variant>
      <vt:variant>
        <vt:lpwstr>_Toc230010439</vt:lpwstr>
      </vt:variant>
      <vt:variant>
        <vt:i4>1507383</vt:i4>
      </vt:variant>
      <vt:variant>
        <vt:i4>500</vt:i4>
      </vt:variant>
      <vt:variant>
        <vt:i4>0</vt:i4>
      </vt:variant>
      <vt:variant>
        <vt:i4>5</vt:i4>
      </vt:variant>
      <vt:variant>
        <vt:lpwstr/>
      </vt:variant>
      <vt:variant>
        <vt:lpwstr>_Toc230010438</vt:lpwstr>
      </vt:variant>
      <vt:variant>
        <vt:i4>1507383</vt:i4>
      </vt:variant>
      <vt:variant>
        <vt:i4>494</vt:i4>
      </vt:variant>
      <vt:variant>
        <vt:i4>0</vt:i4>
      </vt:variant>
      <vt:variant>
        <vt:i4>5</vt:i4>
      </vt:variant>
      <vt:variant>
        <vt:lpwstr/>
      </vt:variant>
      <vt:variant>
        <vt:lpwstr>_Toc230010437</vt:lpwstr>
      </vt:variant>
      <vt:variant>
        <vt:i4>1507383</vt:i4>
      </vt:variant>
      <vt:variant>
        <vt:i4>488</vt:i4>
      </vt:variant>
      <vt:variant>
        <vt:i4>0</vt:i4>
      </vt:variant>
      <vt:variant>
        <vt:i4>5</vt:i4>
      </vt:variant>
      <vt:variant>
        <vt:lpwstr/>
      </vt:variant>
      <vt:variant>
        <vt:lpwstr>_Toc230010436</vt:lpwstr>
      </vt:variant>
      <vt:variant>
        <vt:i4>1507383</vt:i4>
      </vt:variant>
      <vt:variant>
        <vt:i4>482</vt:i4>
      </vt:variant>
      <vt:variant>
        <vt:i4>0</vt:i4>
      </vt:variant>
      <vt:variant>
        <vt:i4>5</vt:i4>
      </vt:variant>
      <vt:variant>
        <vt:lpwstr/>
      </vt:variant>
      <vt:variant>
        <vt:lpwstr>_Toc230010435</vt:lpwstr>
      </vt:variant>
      <vt:variant>
        <vt:i4>1507383</vt:i4>
      </vt:variant>
      <vt:variant>
        <vt:i4>476</vt:i4>
      </vt:variant>
      <vt:variant>
        <vt:i4>0</vt:i4>
      </vt:variant>
      <vt:variant>
        <vt:i4>5</vt:i4>
      </vt:variant>
      <vt:variant>
        <vt:lpwstr/>
      </vt:variant>
      <vt:variant>
        <vt:lpwstr>_Toc230010434</vt:lpwstr>
      </vt:variant>
      <vt:variant>
        <vt:i4>1507383</vt:i4>
      </vt:variant>
      <vt:variant>
        <vt:i4>470</vt:i4>
      </vt:variant>
      <vt:variant>
        <vt:i4>0</vt:i4>
      </vt:variant>
      <vt:variant>
        <vt:i4>5</vt:i4>
      </vt:variant>
      <vt:variant>
        <vt:lpwstr/>
      </vt:variant>
      <vt:variant>
        <vt:lpwstr>_Toc230010433</vt:lpwstr>
      </vt:variant>
      <vt:variant>
        <vt:i4>1507383</vt:i4>
      </vt:variant>
      <vt:variant>
        <vt:i4>464</vt:i4>
      </vt:variant>
      <vt:variant>
        <vt:i4>0</vt:i4>
      </vt:variant>
      <vt:variant>
        <vt:i4>5</vt:i4>
      </vt:variant>
      <vt:variant>
        <vt:lpwstr/>
      </vt:variant>
      <vt:variant>
        <vt:lpwstr>_Toc230010432</vt:lpwstr>
      </vt:variant>
      <vt:variant>
        <vt:i4>1507383</vt:i4>
      </vt:variant>
      <vt:variant>
        <vt:i4>458</vt:i4>
      </vt:variant>
      <vt:variant>
        <vt:i4>0</vt:i4>
      </vt:variant>
      <vt:variant>
        <vt:i4>5</vt:i4>
      </vt:variant>
      <vt:variant>
        <vt:lpwstr/>
      </vt:variant>
      <vt:variant>
        <vt:lpwstr>_Toc230010431</vt:lpwstr>
      </vt:variant>
      <vt:variant>
        <vt:i4>1507383</vt:i4>
      </vt:variant>
      <vt:variant>
        <vt:i4>452</vt:i4>
      </vt:variant>
      <vt:variant>
        <vt:i4>0</vt:i4>
      </vt:variant>
      <vt:variant>
        <vt:i4>5</vt:i4>
      </vt:variant>
      <vt:variant>
        <vt:lpwstr/>
      </vt:variant>
      <vt:variant>
        <vt:lpwstr>_Toc230010430</vt:lpwstr>
      </vt:variant>
      <vt:variant>
        <vt:i4>1441847</vt:i4>
      </vt:variant>
      <vt:variant>
        <vt:i4>446</vt:i4>
      </vt:variant>
      <vt:variant>
        <vt:i4>0</vt:i4>
      </vt:variant>
      <vt:variant>
        <vt:i4>5</vt:i4>
      </vt:variant>
      <vt:variant>
        <vt:lpwstr/>
      </vt:variant>
      <vt:variant>
        <vt:lpwstr>_Toc230010429</vt:lpwstr>
      </vt:variant>
      <vt:variant>
        <vt:i4>1441847</vt:i4>
      </vt:variant>
      <vt:variant>
        <vt:i4>440</vt:i4>
      </vt:variant>
      <vt:variant>
        <vt:i4>0</vt:i4>
      </vt:variant>
      <vt:variant>
        <vt:i4>5</vt:i4>
      </vt:variant>
      <vt:variant>
        <vt:lpwstr/>
      </vt:variant>
      <vt:variant>
        <vt:lpwstr>_Toc230010428</vt:lpwstr>
      </vt:variant>
      <vt:variant>
        <vt:i4>1441847</vt:i4>
      </vt:variant>
      <vt:variant>
        <vt:i4>434</vt:i4>
      </vt:variant>
      <vt:variant>
        <vt:i4>0</vt:i4>
      </vt:variant>
      <vt:variant>
        <vt:i4>5</vt:i4>
      </vt:variant>
      <vt:variant>
        <vt:lpwstr/>
      </vt:variant>
      <vt:variant>
        <vt:lpwstr>_Toc230010427</vt:lpwstr>
      </vt:variant>
      <vt:variant>
        <vt:i4>1441847</vt:i4>
      </vt:variant>
      <vt:variant>
        <vt:i4>428</vt:i4>
      </vt:variant>
      <vt:variant>
        <vt:i4>0</vt:i4>
      </vt:variant>
      <vt:variant>
        <vt:i4>5</vt:i4>
      </vt:variant>
      <vt:variant>
        <vt:lpwstr/>
      </vt:variant>
      <vt:variant>
        <vt:lpwstr>_Toc230010426</vt:lpwstr>
      </vt:variant>
      <vt:variant>
        <vt:i4>1441847</vt:i4>
      </vt:variant>
      <vt:variant>
        <vt:i4>422</vt:i4>
      </vt:variant>
      <vt:variant>
        <vt:i4>0</vt:i4>
      </vt:variant>
      <vt:variant>
        <vt:i4>5</vt:i4>
      </vt:variant>
      <vt:variant>
        <vt:lpwstr/>
      </vt:variant>
      <vt:variant>
        <vt:lpwstr>_Toc230010425</vt:lpwstr>
      </vt:variant>
      <vt:variant>
        <vt:i4>1441847</vt:i4>
      </vt:variant>
      <vt:variant>
        <vt:i4>416</vt:i4>
      </vt:variant>
      <vt:variant>
        <vt:i4>0</vt:i4>
      </vt:variant>
      <vt:variant>
        <vt:i4>5</vt:i4>
      </vt:variant>
      <vt:variant>
        <vt:lpwstr/>
      </vt:variant>
      <vt:variant>
        <vt:lpwstr>_Toc230010424</vt:lpwstr>
      </vt:variant>
      <vt:variant>
        <vt:i4>1441847</vt:i4>
      </vt:variant>
      <vt:variant>
        <vt:i4>410</vt:i4>
      </vt:variant>
      <vt:variant>
        <vt:i4>0</vt:i4>
      </vt:variant>
      <vt:variant>
        <vt:i4>5</vt:i4>
      </vt:variant>
      <vt:variant>
        <vt:lpwstr/>
      </vt:variant>
      <vt:variant>
        <vt:lpwstr>_Toc230010423</vt:lpwstr>
      </vt:variant>
      <vt:variant>
        <vt:i4>1441847</vt:i4>
      </vt:variant>
      <vt:variant>
        <vt:i4>404</vt:i4>
      </vt:variant>
      <vt:variant>
        <vt:i4>0</vt:i4>
      </vt:variant>
      <vt:variant>
        <vt:i4>5</vt:i4>
      </vt:variant>
      <vt:variant>
        <vt:lpwstr/>
      </vt:variant>
      <vt:variant>
        <vt:lpwstr>_Toc230010422</vt:lpwstr>
      </vt:variant>
      <vt:variant>
        <vt:i4>1441847</vt:i4>
      </vt:variant>
      <vt:variant>
        <vt:i4>398</vt:i4>
      </vt:variant>
      <vt:variant>
        <vt:i4>0</vt:i4>
      </vt:variant>
      <vt:variant>
        <vt:i4>5</vt:i4>
      </vt:variant>
      <vt:variant>
        <vt:lpwstr/>
      </vt:variant>
      <vt:variant>
        <vt:lpwstr>_Toc230010421</vt:lpwstr>
      </vt:variant>
      <vt:variant>
        <vt:i4>1441847</vt:i4>
      </vt:variant>
      <vt:variant>
        <vt:i4>392</vt:i4>
      </vt:variant>
      <vt:variant>
        <vt:i4>0</vt:i4>
      </vt:variant>
      <vt:variant>
        <vt:i4>5</vt:i4>
      </vt:variant>
      <vt:variant>
        <vt:lpwstr/>
      </vt:variant>
      <vt:variant>
        <vt:lpwstr>_Toc230010420</vt:lpwstr>
      </vt:variant>
      <vt:variant>
        <vt:i4>1376311</vt:i4>
      </vt:variant>
      <vt:variant>
        <vt:i4>386</vt:i4>
      </vt:variant>
      <vt:variant>
        <vt:i4>0</vt:i4>
      </vt:variant>
      <vt:variant>
        <vt:i4>5</vt:i4>
      </vt:variant>
      <vt:variant>
        <vt:lpwstr/>
      </vt:variant>
      <vt:variant>
        <vt:lpwstr>_Toc230010419</vt:lpwstr>
      </vt:variant>
      <vt:variant>
        <vt:i4>1376311</vt:i4>
      </vt:variant>
      <vt:variant>
        <vt:i4>380</vt:i4>
      </vt:variant>
      <vt:variant>
        <vt:i4>0</vt:i4>
      </vt:variant>
      <vt:variant>
        <vt:i4>5</vt:i4>
      </vt:variant>
      <vt:variant>
        <vt:lpwstr/>
      </vt:variant>
      <vt:variant>
        <vt:lpwstr>_Toc230010418</vt:lpwstr>
      </vt:variant>
      <vt:variant>
        <vt:i4>1376311</vt:i4>
      </vt:variant>
      <vt:variant>
        <vt:i4>374</vt:i4>
      </vt:variant>
      <vt:variant>
        <vt:i4>0</vt:i4>
      </vt:variant>
      <vt:variant>
        <vt:i4>5</vt:i4>
      </vt:variant>
      <vt:variant>
        <vt:lpwstr/>
      </vt:variant>
      <vt:variant>
        <vt:lpwstr>_Toc230010417</vt:lpwstr>
      </vt:variant>
      <vt:variant>
        <vt:i4>1376311</vt:i4>
      </vt:variant>
      <vt:variant>
        <vt:i4>368</vt:i4>
      </vt:variant>
      <vt:variant>
        <vt:i4>0</vt:i4>
      </vt:variant>
      <vt:variant>
        <vt:i4>5</vt:i4>
      </vt:variant>
      <vt:variant>
        <vt:lpwstr/>
      </vt:variant>
      <vt:variant>
        <vt:lpwstr>_Toc230010416</vt:lpwstr>
      </vt:variant>
      <vt:variant>
        <vt:i4>1376311</vt:i4>
      </vt:variant>
      <vt:variant>
        <vt:i4>362</vt:i4>
      </vt:variant>
      <vt:variant>
        <vt:i4>0</vt:i4>
      </vt:variant>
      <vt:variant>
        <vt:i4>5</vt:i4>
      </vt:variant>
      <vt:variant>
        <vt:lpwstr/>
      </vt:variant>
      <vt:variant>
        <vt:lpwstr>_Toc230010415</vt:lpwstr>
      </vt:variant>
      <vt:variant>
        <vt:i4>1376311</vt:i4>
      </vt:variant>
      <vt:variant>
        <vt:i4>356</vt:i4>
      </vt:variant>
      <vt:variant>
        <vt:i4>0</vt:i4>
      </vt:variant>
      <vt:variant>
        <vt:i4>5</vt:i4>
      </vt:variant>
      <vt:variant>
        <vt:lpwstr/>
      </vt:variant>
      <vt:variant>
        <vt:lpwstr>_Toc230010414</vt:lpwstr>
      </vt:variant>
      <vt:variant>
        <vt:i4>1376311</vt:i4>
      </vt:variant>
      <vt:variant>
        <vt:i4>350</vt:i4>
      </vt:variant>
      <vt:variant>
        <vt:i4>0</vt:i4>
      </vt:variant>
      <vt:variant>
        <vt:i4>5</vt:i4>
      </vt:variant>
      <vt:variant>
        <vt:lpwstr/>
      </vt:variant>
      <vt:variant>
        <vt:lpwstr>_Toc230010413</vt:lpwstr>
      </vt:variant>
      <vt:variant>
        <vt:i4>1376311</vt:i4>
      </vt:variant>
      <vt:variant>
        <vt:i4>344</vt:i4>
      </vt:variant>
      <vt:variant>
        <vt:i4>0</vt:i4>
      </vt:variant>
      <vt:variant>
        <vt:i4>5</vt:i4>
      </vt:variant>
      <vt:variant>
        <vt:lpwstr/>
      </vt:variant>
      <vt:variant>
        <vt:lpwstr>_Toc230010412</vt:lpwstr>
      </vt:variant>
      <vt:variant>
        <vt:i4>1376311</vt:i4>
      </vt:variant>
      <vt:variant>
        <vt:i4>338</vt:i4>
      </vt:variant>
      <vt:variant>
        <vt:i4>0</vt:i4>
      </vt:variant>
      <vt:variant>
        <vt:i4>5</vt:i4>
      </vt:variant>
      <vt:variant>
        <vt:lpwstr/>
      </vt:variant>
      <vt:variant>
        <vt:lpwstr>_Toc230010411</vt:lpwstr>
      </vt:variant>
      <vt:variant>
        <vt:i4>1376311</vt:i4>
      </vt:variant>
      <vt:variant>
        <vt:i4>332</vt:i4>
      </vt:variant>
      <vt:variant>
        <vt:i4>0</vt:i4>
      </vt:variant>
      <vt:variant>
        <vt:i4>5</vt:i4>
      </vt:variant>
      <vt:variant>
        <vt:lpwstr/>
      </vt:variant>
      <vt:variant>
        <vt:lpwstr>_Toc230010410</vt:lpwstr>
      </vt:variant>
      <vt:variant>
        <vt:i4>1310775</vt:i4>
      </vt:variant>
      <vt:variant>
        <vt:i4>326</vt:i4>
      </vt:variant>
      <vt:variant>
        <vt:i4>0</vt:i4>
      </vt:variant>
      <vt:variant>
        <vt:i4>5</vt:i4>
      </vt:variant>
      <vt:variant>
        <vt:lpwstr/>
      </vt:variant>
      <vt:variant>
        <vt:lpwstr>_Toc230010409</vt:lpwstr>
      </vt:variant>
      <vt:variant>
        <vt:i4>1310775</vt:i4>
      </vt:variant>
      <vt:variant>
        <vt:i4>320</vt:i4>
      </vt:variant>
      <vt:variant>
        <vt:i4>0</vt:i4>
      </vt:variant>
      <vt:variant>
        <vt:i4>5</vt:i4>
      </vt:variant>
      <vt:variant>
        <vt:lpwstr/>
      </vt:variant>
      <vt:variant>
        <vt:lpwstr>_Toc230010408</vt:lpwstr>
      </vt:variant>
      <vt:variant>
        <vt:i4>1310775</vt:i4>
      </vt:variant>
      <vt:variant>
        <vt:i4>314</vt:i4>
      </vt:variant>
      <vt:variant>
        <vt:i4>0</vt:i4>
      </vt:variant>
      <vt:variant>
        <vt:i4>5</vt:i4>
      </vt:variant>
      <vt:variant>
        <vt:lpwstr/>
      </vt:variant>
      <vt:variant>
        <vt:lpwstr>_Toc230010407</vt:lpwstr>
      </vt:variant>
      <vt:variant>
        <vt:i4>1310775</vt:i4>
      </vt:variant>
      <vt:variant>
        <vt:i4>308</vt:i4>
      </vt:variant>
      <vt:variant>
        <vt:i4>0</vt:i4>
      </vt:variant>
      <vt:variant>
        <vt:i4>5</vt:i4>
      </vt:variant>
      <vt:variant>
        <vt:lpwstr/>
      </vt:variant>
      <vt:variant>
        <vt:lpwstr>_Toc230010406</vt:lpwstr>
      </vt:variant>
      <vt:variant>
        <vt:i4>1310775</vt:i4>
      </vt:variant>
      <vt:variant>
        <vt:i4>302</vt:i4>
      </vt:variant>
      <vt:variant>
        <vt:i4>0</vt:i4>
      </vt:variant>
      <vt:variant>
        <vt:i4>5</vt:i4>
      </vt:variant>
      <vt:variant>
        <vt:lpwstr/>
      </vt:variant>
      <vt:variant>
        <vt:lpwstr>_Toc230010405</vt:lpwstr>
      </vt:variant>
      <vt:variant>
        <vt:i4>1310775</vt:i4>
      </vt:variant>
      <vt:variant>
        <vt:i4>296</vt:i4>
      </vt:variant>
      <vt:variant>
        <vt:i4>0</vt:i4>
      </vt:variant>
      <vt:variant>
        <vt:i4>5</vt:i4>
      </vt:variant>
      <vt:variant>
        <vt:lpwstr/>
      </vt:variant>
      <vt:variant>
        <vt:lpwstr>_Toc230010404</vt:lpwstr>
      </vt:variant>
      <vt:variant>
        <vt:i4>1310775</vt:i4>
      </vt:variant>
      <vt:variant>
        <vt:i4>290</vt:i4>
      </vt:variant>
      <vt:variant>
        <vt:i4>0</vt:i4>
      </vt:variant>
      <vt:variant>
        <vt:i4>5</vt:i4>
      </vt:variant>
      <vt:variant>
        <vt:lpwstr/>
      </vt:variant>
      <vt:variant>
        <vt:lpwstr>_Toc230010403</vt:lpwstr>
      </vt:variant>
      <vt:variant>
        <vt:i4>1310775</vt:i4>
      </vt:variant>
      <vt:variant>
        <vt:i4>284</vt:i4>
      </vt:variant>
      <vt:variant>
        <vt:i4>0</vt:i4>
      </vt:variant>
      <vt:variant>
        <vt:i4>5</vt:i4>
      </vt:variant>
      <vt:variant>
        <vt:lpwstr/>
      </vt:variant>
      <vt:variant>
        <vt:lpwstr>_Toc230010402</vt:lpwstr>
      </vt:variant>
      <vt:variant>
        <vt:i4>1310775</vt:i4>
      </vt:variant>
      <vt:variant>
        <vt:i4>278</vt:i4>
      </vt:variant>
      <vt:variant>
        <vt:i4>0</vt:i4>
      </vt:variant>
      <vt:variant>
        <vt:i4>5</vt:i4>
      </vt:variant>
      <vt:variant>
        <vt:lpwstr/>
      </vt:variant>
      <vt:variant>
        <vt:lpwstr>_Toc230010401</vt:lpwstr>
      </vt:variant>
      <vt:variant>
        <vt:i4>1310775</vt:i4>
      </vt:variant>
      <vt:variant>
        <vt:i4>272</vt:i4>
      </vt:variant>
      <vt:variant>
        <vt:i4>0</vt:i4>
      </vt:variant>
      <vt:variant>
        <vt:i4>5</vt:i4>
      </vt:variant>
      <vt:variant>
        <vt:lpwstr/>
      </vt:variant>
      <vt:variant>
        <vt:lpwstr>_Toc230010400</vt:lpwstr>
      </vt:variant>
      <vt:variant>
        <vt:i4>1900592</vt:i4>
      </vt:variant>
      <vt:variant>
        <vt:i4>266</vt:i4>
      </vt:variant>
      <vt:variant>
        <vt:i4>0</vt:i4>
      </vt:variant>
      <vt:variant>
        <vt:i4>5</vt:i4>
      </vt:variant>
      <vt:variant>
        <vt:lpwstr/>
      </vt:variant>
      <vt:variant>
        <vt:lpwstr>_Toc230010399</vt:lpwstr>
      </vt:variant>
      <vt:variant>
        <vt:i4>1900592</vt:i4>
      </vt:variant>
      <vt:variant>
        <vt:i4>260</vt:i4>
      </vt:variant>
      <vt:variant>
        <vt:i4>0</vt:i4>
      </vt:variant>
      <vt:variant>
        <vt:i4>5</vt:i4>
      </vt:variant>
      <vt:variant>
        <vt:lpwstr/>
      </vt:variant>
      <vt:variant>
        <vt:lpwstr>_Toc230010398</vt:lpwstr>
      </vt:variant>
      <vt:variant>
        <vt:i4>1900592</vt:i4>
      </vt:variant>
      <vt:variant>
        <vt:i4>254</vt:i4>
      </vt:variant>
      <vt:variant>
        <vt:i4>0</vt:i4>
      </vt:variant>
      <vt:variant>
        <vt:i4>5</vt:i4>
      </vt:variant>
      <vt:variant>
        <vt:lpwstr/>
      </vt:variant>
      <vt:variant>
        <vt:lpwstr>_Toc230010397</vt:lpwstr>
      </vt:variant>
      <vt:variant>
        <vt:i4>1900592</vt:i4>
      </vt:variant>
      <vt:variant>
        <vt:i4>248</vt:i4>
      </vt:variant>
      <vt:variant>
        <vt:i4>0</vt:i4>
      </vt:variant>
      <vt:variant>
        <vt:i4>5</vt:i4>
      </vt:variant>
      <vt:variant>
        <vt:lpwstr/>
      </vt:variant>
      <vt:variant>
        <vt:lpwstr>_Toc230010396</vt:lpwstr>
      </vt:variant>
      <vt:variant>
        <vt:i4>1900592</vt:i4>
      </vt:variant>
      <vt:variant>
        <vt:i4>242</vt:i4>
      </vt:variant>
      <vt:variant>
        <vt:i4>0</vt:i4>
      </vt:variant>
      <vt:variant>
        <vt:i4>5</vt:i4>
      </vt:variant>
      <vt:variant>
        <vt:lpwstr/>
      </vt:variant>
      <vt:variant>
        <vt:lpwstr>_Toc230010395</vt:lpwstr>
      </vt:variant>
      <vt:variant>
        <vt:i4>1900592</vt:i4>
      </vt:variant>
      <vt:variant>
        <vt:i4>236</vt:i4>
      </vt:variant>
      <vt:variant>
        <vt:i4>0</vt:i4>
      </vt:variant>
      <vt:variant>
        <vt:i4>5</vt:i4>
      </vt:variant>
      <vt:variant>
        <vt:lpwstr/>
      </vt:variant>
      <vt:variant>
        <vt:lpwstr>_Toc230010394</vt:lpwstr>
      </vt:variant>
      <vt:variant>
        <vt:i4>1900592</vt:i4>
      </vt:variant>
      <vt:variant>
        <vt:i4>230</vt:i4>
      </vt:variant>
      <vt:variant>
        <vt:i4>0</vt:i4>
      </vt:variant>
      <vt:variant>
        <vt:i4>5</vt:i4>
      </vt:variant>
      <vt:variant>
        <vt:lpwstr/>
      </vt:variant>
      <vt:variant>
        <vt:lpwstr>_Toc230010393</vt:lpwstr>
      </vt:variant>
      <vt:variant>
        <vt:i4>1900592</vt:i4>
      </vt:variant>
      <vt:variant>
        <vt:i4>224</vt:i4>
      </vt:variant>
      <vt:variant>
        <vt:i4>0</vt:i4>
      </vt:variant>
      <vt:variant>
        <vt:i4>5</vt:i4>
      </vt:variant>
      <vt:variant>
        <vt:lpwstr/>
      </vt:variant>
      <vt:variant>
        <vt:lpwstr>_Toc230010392</vt:lpwstr>
      </vt:variant>
      <vt:variant>
        <vt:i4>1900592</vt:i4>
      </vt:variant>
      <vt:variant>
        <vt:i4>218</vt:i4>
      </vt:variant>
      <vt:variant>
        <vt:i4>0</vt:i4>
      </vt:variant>
      <vt:variant>
        <vt:i4>5</vt:i4>
      </vt:variant>
      <vt:variant>
        <vt:lpwstr/>
      </vt:variant>
      <vt:variant>
        <vt:lpwstr>_Toc230010391</vt:lpwstr>
      </vt:variant>
      <vt:variant>
        <vt:i4>1900592</vt:i4>
      </vt:variant>
      <vt:variant>
        <vt:i4>212</vt:i4>
      </vt:variant>
      <vt:variant>
        <vt:i4>0</vt:i4>
      </vt:variant>
      <vt:variant>
        <vt:i4>5</vt:i4>
      </vt:variant>
      <vt:variant>
        <vt:lpwstr/>
      </vt:variant>
      <vt:variant>
        <vt:lpwstr>_Toc230010390</vt:lpwstr>
      </vt:variant>
      <vt:variant>
        <vt:i4>1835056</vt:i4>
      </vt:variant>
      <vt:variant>
        <vt:i4>206</vt:i4>
      </vt:variant>
      <vt:variant>
        <vt:i4>0</vt:i4>
      </vt:variant>
      <vt:variant>
        <vt:i4>5</vt:i4>
      </vt:variant>
      <vt:variant>
        <vt:lpwstr/>
      </vt:variant>
      <vt:variant>
        <vt:lpwstr>_Toc230010389</vt:lpwstr>
      </vt:variant>
      <vt:variant>
        <vt:i4>1835056</vt:i4>
      </vt:variant>
      <vt:variant>
        <vt:i4>200</vt:i4>
      </vt:variant>
      <vt:variant>
        <vt:i4>0</vt:i4>
      </vt:variant>
      <vt:variant>
        <vt:i4>5</vt:i4>
      </vt:variant>
      <vt:variant>
        <vt:lpwstr/>
      </vt:variant>
      <vt:variant>
        <vt:lpwstr>_Toc230010388</vt:lpwstr>
      </vt:variant>
      <vt:variant>
        <vt:i4>1835056</vt:i4>
      </vt:variant>
      <vt:variant>
        <vt:i4>194</vt:i4>
      </vt:variant>
      <vt:variant>
        <vt:i4>0</vt:i4>
      </vt:variant>
      <vt:variant>
        <vt:i4>5</vt:i4>
      </vt:variant>
      <vt:variant>
        <vt:lpwstr/>
      </vt:variant>
      <vt:variant>
        <vt:lpwstr>_Toc230010387</vt:lpwstr>
      </vt:variant>
      <vt:variant>
        <vt:i4>1835056</vt:i4>
      </vt:variant>
      <vt:variant>
        <vt:i4>188</vt:i4>
      </vt:variant>
      <vt:variant>
        <vt:i4>0</vt:i4>
      </vt:variant>
      <vt:variant>
        <vt:i4>5</vt:i4>
      </vt:variant>
      <vt:variant>
        <vt:lpwstr/>
      </vt:variant>
      <vt:variant>
        <vt:lpwstr>_Toc230010386</vt:lpwstr>
      </vt:variant>
      <vt:variant>
        <vt:i4>1835056</vt:i4>
      </vt:variant>
      <vt:variant>
        <vt:i4>182</vt:i4>
      </vt:variant>
      <vt:variant>
        <vt:i4>0</vt:i4>
      </vt:variant>
      <vt:variant>
        <vt:i4>5</vt:i4>
      </vt:variant>
      <vt:variant>
        <vt:lpwstr/>
      </vt:variant>
      <vt:variant>
        <vt:lpwstr>_Toc230010385</vt:lpwstr>
      </vt:variant>
      <vt:variant>
        <vt:i4>1835056</vt:i4>
      </vt:variant>
      <vt:variant>
        <vt:i4>176</vt:i4>
      </vt:variant>
      <vt:variant>
        <vt:i4>0</vt:i4>
      </vt:variant>
      <vt:variant>
        <vt:i4>5</vt:i4>
      </vt:variant>
      <vt:variant>
        <vt:lpwstr/>
      </vt:variant>
      <vt:variant>
        <vt:lpwstr>_Toc230010384</vt:lpwstr>
      </vt:variant>
      <vt:variant>
        <vt:i4>1835056</vt:i4>
      </vt:variant>
      <vt:variant>
        <vt:i4>170</vt:i4>
      </vt:variant>
      <vt:variant>
        <vt:i4>0</vt:i4>
      </vt:variant>
      <vt:variant>
        <vt:i4>5</vt:i4>
      </vt:variant>
      <vt:variant>
        <vt:lpwstr/>
      </vt:variant>
      <vt:variant>
        <vt:lpwstr>_Toc230010383</vt:lpwstr>
      </vt:variant>
      <vt:variant>
        <vt:i4>1835056</vt:i4>
      </vt:variant>
      <vt:variant>
        <vt:i4>164</vt:i4>
      </vt:variant>
      <vt:variant>
        <vt:i4>0</vt:i4>
      </vt:variant>
      <vt:variant>
        <vt:i4>5</vt:i4>
      </vt:variant>
      <vt:variant>
        <vt:lpwstr/>
      </vt:variant>
      <vt:variant>
        <vt:lpwstr>_Toc230010382</vt:lpwstr>
      </vt:variant>
      <vt:variant>
        <vt:i4>1835056</vt:i4>
      </vt:variant>
      <vt:variant>
        <vt:i4>158</vt:i4>
      </vt:variant>
      <vt:variant>
        <vt:i4>0</vt:i4>
      </vt:variant>
      <vt:variant>
        <vt:i4>5</vt:i4>
      </vt:variant>
      <vt:variant>
        <vt:lpwstr/>
      </vt:variant>
      <vt:variant>
        <vt:lpwstr>_Toc230010381</vt:lpwstr>
      </vt:variant>
      <vt:variant>
        <vt:i4>1835056</vt:i4>
      </vt:variant>
      <vt:variant>
        <vt:i4>152</vt:i4>
      </vt:variant>
      <vt:variant>
        <vt:i4>0</vt:i4>
      </vt:variant>
      <vt:variant>
        <vt:i4>5</vt:i4>
      </vt:variant>
      <vt:variant>
        <vt:lpwstr/>
      </vt:variant>
      <vt:variant>
        <vt:lpwstr>_Toc230010380</vt:lpwstr>
      </vt:variant>
      <vt:variant>
        <vt:i4>1245232</vt:i4>
      </vt:variant>
      <vt:variant>
        <vt:i4>146</vt:i4>
      </vt:variant>
      <vt:variant>
        <vt:i4>0</vt:i4>
      </vt:variant>
      <vt:variant>
        <vt:i4>5</vt:i4>
      </vt:variant>
      <vt:variant>
        <vt:lpwstr/>
      </vt:variant>
      <vt:variant>
        <vt:lpwstr>_Toc230010379</vt:lpwstr>
      </vt:variant>
      <vt:variant>
        <vt:i4>1245232</vt:i4>
      </vt:variant>
      <vt:variant>
        <vt:i4>140</vt:i4>
      </vt:variant>
      <vt:variant>
        <vt:i4>0</vt:i4>
      </vt:variant>
      <vt:variant>
        <vt:i4>5</vt:i4>
      </vt:variant>
      <vt:variant>
        <vt:lpwstr/>
      </vt:variant>
      <vt:variant>
        <vt:lpwstr>_Toc230010378</vt:lpwstr>
      </vt:variant>
      <vt:variant>
        <vt:i4>1245232</vt:i4>
      </vt:variant>
      <vt:variant>
        <vt:i4>134</vt:i4>
      </vt:variant>
      <vt:variant>
        <vt:i4>0</vt:i4>
      </vt:variant>
      <vt:variant>
        <vt:i4>5</vt:i4>
      </vt:variant>
      <vt:variant>
        <vt:lpwstr/>
      </vt:variant>
      <vt:variant>
        <vt:lpwstr>_Toc230010377</vt:lpwstr>
      </vt:variant>
      <vt:variant>
        <vt:i4>1245232</vt:i4>
      </vt:variant>
      <vt:variant>
        <vt:i4>128</vt:i4>
      </vt:variant>
      <vt:variant>
        <vt:i4>0</vt:i4>
      </vt:variant>
      <vt:variant>
        <vt:i4>5</vt:i4>
      </vt:variant>
      <vt:variant>
        <vt:lpwstr/>
      </vt:variant>
      <vt:variant>
        <vt:lpwstr>_Toc230010376</vt:lpwstr>
      </vt:variant>
      <vt:variant>
        <vt:i4>1245232</vt:i4>
      </vt:variant>
      <vt:variant>
        <vt:i4>122</vt:i4>
      </vt:variant>
      <vt:variant>
        <vt:i4>0</vt:i4>
      </vt:variant>
      <vt:variant>
        <vt:i4>5</vt:i4>
      </vt:variant>
      <vt:variant>
        <vt:lpwstr/>
      </vt:variant>
      <vt:variant>
        <vt:lpwstr>_Toc230010375</vt:lpwstr>
      </vt:variant>
      <vt:variant>
        <vt:i4>1245232</vt:i4>
      </vt:variant>
      <vt:variant>
        <vt:i4>116</vt:i4>
      </vt:variant>
      <vt:variant>
        <vt:i4>0</vt:i4>
      </vt:variant>
      <vt:variant>
        <vt:i4>5</vt:i4>
      </vt:variant>
      <vt:variant>
        <vt:lpwstr/>
      </vt:variant>
      <vt:variant>
        <vt:lpwstr>_Toc230010374</vt:lpwstr>
      </vt:variant>
      <vt:variant>
        <vt:i4>1245232</vt:i4>
      </vt:variant>
      <vt:variant>
        <vt:i4>110</vt:i4>
      </vt:variant>
      <vt:variant>
        <vt:i4>0</vt:i4>
      </vt:variant>
      <vt:variant>
        <vt:i4>5</vt:i4>
      </vt:variant>
      <vt:variant>
        <vt:lpwstr/>
      </vt:variant>
      <vt:variant>
        <vt:lpwstr>_Toc230010373</vt:lpwstr>
      </vt:variant>
      <vt:variant>
        <vt:i4>1245232</vt:i4>
      </vt:variant>
      <vt:variant>
        <vt:i4>104</vt:i4>
      </vt:variant>
      <vt:variant>
        <vt:i4>0</vt:i4>
      </vt:variant>
      <vt:variant>
        <vt:i4>5</vt:i4>
      </vt:variant>
      <vt:variant>
        <vt:lpwstr/>
      </vt:variant>
      <vt:variant>
        <vt:lpwstr>_Toc230010372</vt:lpwstr>
      </vt:variant>
      <vt:variant>
        <vt:i4>1245232</vt:i4>
      </vt:variant>
      <vt:variant>
        <vt:i4>98</vt:i4>
      </vt:variant>
      <vt:variant>
        <vt:i4>0</vt:i4>
      </vt:variant>
      <vt:variant>
        <vt:i4>5</vt:i4>
      </vt:variant>
      <vt:variant>
        <vt:lpwstr/>
      </vt:variant>
      <vt:variant>
        <vt:lpwstr>_Toc230010371</vt:lpwstr>
      </vt:variant>
      <vt:variant>
        <vt:i4>1245232</vt:i4>
      </vt:variant>
      <vt:variant>
        <vt:i4>92</vt:i4>
      </vt:variant>
      <vt:variant>
        <vt:i4>0</vt:i4>
      </vt:variant>
      <vt:variant>
        <vt:i4>5</vt:i4>
      </vt:variant>
      <vt:variant>
        <vt:lpwstr/>
      </vt:variant>
      <vt:variant>
        <vt:lpwstr>_Toc230010370</vt:lpwstr>
      </vt:variant>
      <vt:variant>
        <vt:i4>1179696</vt:i4>
      </vt:variant>
      <vt:variant>
        <vt:i4>86</vt:i4>
      </vt:variant>
      <vt:variant>
        <vt:i4>0</vt:i4>
      </vt:variant>
      <vt:variant>
        <vt:i4>5</vt:i4>
      </vt:variant>
      <vt:variant>
        <vt:lpwstr/>
      </vt:variant>
      <vt:variant>
        <vt:lpwstr>_Toc230010369</vt:lpwstr>
      </vt:variant>
      <vt:variant>
        <vt:i4>1179696</vt:i4>
      </vt:variant>
      <vt:variant>
        <vt:i4>80</vt:i4>
      </vt:variant>
      <vt:variant>
        <vt:i4>0</vt:i4>
      </vt:variant>
      <vt:variant>
        <vt:i4>5</vt:i4>
      </vt:variant>
      <vt:variant>
        <vt:lpwstr/>
      </vt:variant>
      <vt:variant>
        <vt:lpwstr>_Toc230010368</vt:lpwstr>
      </vt:variant>
      <vt:variant>
        <vt:i4>1179696</vt:i4>
      </vt:variant>
      <vt:variant>
        <vt:i4>74</vt:i4>
      </vt:variant>
      <vt:variant>
        <vt:i4>0</vt:i4>
      </vt:variant>
      <vt:variant>
        <vt:i4>5</vt:i4>
      </vt:variant>
      <vt:variant>
        <vt:lpwstr/>
      </vt:variant>
      <vt:variant>
        <vt:lpwstr>_Toc230010367</vt:lpwstr>
      </vt:variant>
      <vt:variant>
        <vt:i4>1179696</vt:i4>
      </vt:variant>
      <vt:variant>
        <vt:i4>68</vt:i4>
      </vt:variant>
      <vt:variant>
        <vt:i4>0</vt:i4>
      </vt:variant>
      <vt:variant>
        <vt:i4>5</vt:i4>
      </vt:variant>
      <vt:variant>
        <vt:lpwstr/>
      </vt:variant>
      <vt:variant>
        <vt:lpwstr>_Toc230010366</vt:lpwstr>
      </vt:variant>
      <vt:variant>
        <vt:i4>1179696</vt:i4>
      </vt:variant>
      <vt:variant>
        <vt:i4>62</vt:i4>
      </vt:variant>
      <vt:variant>
        <vt:i4>0</vt:i4>
      </vt:variant>
      <vt:variant>
        <vt:i4>5</vt:i4>
      </vt:variant>
      <vt:variant>
        <vt:lpwstr/>
      </vt:variant>
      <vt:variant>
        <vt:lpwstr>_Toc230010365</vt:lpwstr>
      </vt:variant>
      <vt:variant>
        <vt:i4>1179696</vt:i4>
      </vt:variant>
      <vt:variant>
        <vt:i4>56</vt:i4>
      </vt:variant>
      <vt:variant>
        <vt:i4>0</vt:i4>
      </vt:variant>
      <vt:variant>
        <vt:i4>5</vt:i4>
      </vt:variant>
      <vt:variant>
        <vt:lpwstr/>
      </vt:variant>
      <vt:variant>
        <vt:lpwstr>_Toc230010364</vt:lpwstr>
      </vt:variant>
      <vt:variant>
        <vt:i4>1179696</vt:i4>
      </vt:variant>
      <vt:variant>
        <vt:i4>50</vt:i4>
      </vt:variant>
      <vt:variant>
        <vt:i4>0</vt:i4>
      </vt:variant>
      <vt:variant>
        <vt:i4>5</vt:i4>
      </vt:variant>
      <vt:variant>
        <vt:lpwstr/>
      </vt:variant>
      <vt:variant>
        <vt:lpwstr>_Toc230010363</vt:lpwstr>
      </vt:variant>
      <vt:variant>
        <vt:i4>1179696</vt:i4>
      </vt:variant>
      <vt:variant>
        <vt:i4>44</vt:i4>
      </vt:variant>
      <vt:variant>
        <vt:i4>0</vt:i4>
      </vt:variant>
      <vt:variant>
        <vt:i4>5</vt:i4>
      </vt:variant>
      <vt:variant>
        <vt:lpwstr/>
      </vt:variant>
      <vt:variant>
        <vt:lpwstr>_Toc230010362</vt:lpwstr>
      </vt:variant>
      <vt:variant>
        <vt:i4>1179696</vt:i4>
      </vt:variant>
      <vt:variant>
        <vt:i4>38</vt:i4>
      </vt:variant>
      <vt:variant>
        <vt:i4>0</vt:i4>
      </vt:variant>
      <vt:variant>
        <vt:i4>5</vt:i4>
      </vt:variant>
      <vt:variant>
        <vt:lpwstr/>
      </vt:variant>
      <vt:variant>
        <vt:lpwstr>_Toc230010361</vt:lpwstr>
      </vt:variant>
      <vt:variant>
        <vt:i4>1179696</vt:i4>
      </vt:variant>
      <vt:variant>
        <vt:i4>32</vt:i4>
      </vt:variant>
      <vt:variant>
        <vt:i4>0</vt:i4>
      </vt:variant>
      <vt:variant>
        <vt:i4>5</vt:i4>
      </vt:variant>
      <vt:variant>
        <vt:lpwstr/>
      </vt:variant>
      <vt:variant>
        <vt:lpwstr>_Toc230010360</vt:lpwstr>
      </vt:variant>
      <vt:variant>
        <vt:i4>1114160</vt:i4>
      </vt:variant>
      <vt:variant>
        <vt:i4>26</vt:i4>
      </vt:variant>
      <vt:variant>
        <vt:i4>0</vt:i4>
      </vt:variant>
      <vt:variant>
        <vt:i4>5</vt:i4>
      </vt:variant>
      <vt:variant>
        <vt:lpwstr/>
      </vt:variant>
      <vt:variant>
        <vt:lpwstr>_Toc230010359</vt:lpwstr>
      </vt:variant>
      <vt:variant>
        <vt:i4>1114160</vt:i4>
      </vt:variant>
      <vt:variant>
        <vt:i4>20</vt:i4>
      </vt:variant>
      <vt:variant>
        <vt:i4>0</vt:i4>
      </vt:variant>
      <vt:variant>
        <vt:i4>5</vt:i4>
      </vt:variant>
      <vt:variant>
        <vt:lpwstr/>
      </vt:variant>
      <vt:variant>
        <vt:lpwstr>_Toc230010358</vt:lpwstr>
      </vt:variant>
      <vt:variant>
        <vt:i4>1114160</vt:i4>
      </vt:variant>
      <vt:variant>
        <vt:i4>14</vt:i4>
      </vt:variant>
      <vt:variant>
        <vt:i4>0</vt:i4>
      </vt:variant>
      <vt:variant>
        <vt:i4>5</vt:i4>
      </vt:variant>
      <vt:variant>
        <vt:lpwstr/>
      </vt:variant>
      <vt:variant>
        <vt:lpwstr>_Toc230010357</vt:lpwstr>
      </vt:variant>
      <vt:variant>
        <vt:i4>1114160</vt:i4>
      </vt:variant>
      <vt:variant>
        <vt:i4>8</vt:i4>
      </vt:variant>
      <vt:variant>
        <vt:i4>0</vt:i4>
      </vt:variant>
      <vt:variant>
        <vt:i4>5</vt:i4>
      </vt:variant>
      <vt:variant>
        <vt:lpwstr/>
      </vt:variant>
      <vt:variant>
        <vt:lpwstr>_Toc230010356</vt:lpwstr>
      </vt:variant>
      <vt:variant>
        <vt:i4>1114160</vt:i4>
      </vt:variant>
      <vt:variant>
        <vt:i4>2</vt:i4>
      </vt:variant>
      <vt:variant>
        <vt:i4>0</vt:i4>
      </vt:variant>
      <vt:variant>
        <vt:i4>5</vt:i4>
      </vt:variant>
      <vt:variant>
        <vt:lpwstr/>
      </vt:variant>
      <vt:variant>
        <vt:lpwstr>_Toc230010355</vt:lpwstr>
      </vt:variant>
      <vt:variant>
        <vt:i4>5963863</vt:i4>
      </vt:variant>
      <vt:variant>
        <vt:i4>318</vt:i4>
      </vt:variant>
      <vt:variant>
        <vt:i4>0</vt:i4>
      </vt:variant>
      <vt:variant>
        <vt:i4>5</vt:i4>
      </vt:variant>
      <vt:variant>
        <vt:lpwstr>https://ec.europa.eu/docsroom/documents/63274</vt:lpwstr>
      </vt:variant>
      <vt:variant>
        <vt:lpwstr/>
      </vt:variant>
      <vt:variant>
        <vt:i4>327773</vt:i4>
      </vt:variant>
      <vt:variant>
        <vt:i4>315</vt:i4>
      </vt:variant>
      <vt:variant>
        <vt:i4>0</vt:i4>
      </vt:variant>
      <vt:variant>
        <vt:i4>5</vt:i4>
      </vt:variant>
      <vt:variant>
        <vt:lpwstr>https://zymantasbudrys.com/wp-content/uploads/2022/10/ZymantasBudrys_JMP_LastConsumer.pdf</vt:lpwstr>
      </vt:variant>
      <vt:variant>
        <vt:lpwstr/>
      </vt:variant>
      <vt:variant>
        <vt:i4>6160464</vt:i4>
      </vt:variant>
      <vt:variant>
        <vt:i4>312</vt:i4>
      </vt:variant>
      <vt:variant>
        <vt:i4>0</vt:i4>
      </vt:variant>
      <vt:variant>
        <vt:i4>5</vt:i4>
      </vt:variant>
      <vt:variant>
        <vt:lpwstr>https://doi.org/10.1093/scipol/scz026</vt:lpwstr>
      </vt:variant>
      <vt:variant>
        <vt:lpwstr/>
      </vt:variant>
      <vt:variant>
        <vt:i4>7602278</vt:i4>
      </vt:variant>
      <vt:variant>
        <vt:i4>309</vt:i4>
      </vt:variant>
      <vt:variant>
        <vt:i4>0</vt:i4>
      </vt:variant>
      <vt:variant>
        <vt:i4>5</vt:i4>
      </vt:variant>
      <vt:variant>
        <vt:lpwstr>https://doi.org/10.1093/icc/dtaf004</vt:lpwstr>
      </vt:variant>
      <vt:variant>
        <vt:lpwstr/>
      </vt:variant>
      <vt:variant>
        <vt:i4>5701663</vt:i4>
      </vt:variant>
      <vt:variant>
        <vt:i4>306</vt:i4>
      </vt:variant>
      <vt:variant>
        <vt:i4>0</vt:i4>
      </vt:variant>
      <vt:variant>
        <vt:i4>5</vt:i4>
      </vt:variant>
      <vt:variant>
        <vt:lpwstr>https://stats.oecd.org/Index.aspx?DataSetCode=REV</vt:lpwstr>
      </vt:variant>
      <vt:variant>
        <vt:lpwstr/>
      </vt:variant>
      <vt:variant>
        <vt:i4>5767193</vt:i4>
      </vt:variant>
      <vt:variant>
        <vt:i4>303</vt:i4>
      </vt:variant>
      <vt:variant>
        <vt:i4>0</vt:i4>
      </vt:variant>
      <vt:variant>
        <vt:i4>5</vt:i4>
      </vt:variant>
      <vt:variant>
        <vt:lpwstr>https://bits-chips.com/article/tsmc-to-raise-advanced-process-prices-by-up-to-10-percent/?utm</vt:lpwstr>
      </vt:variant>
      <vt:variant>
        <vt:lpwstr/>
      </vt:variant>
      <vt:variant>
        <vt:i4>2687029</vt:i4>
      </vt:variant>
      <vt:variant>
        <vt:i4>300</vt:i4>
      </vt:variant>
      <vt:variant>
        <vt:i4>0</vt:i4>
      </vt:variant>
      <vt:variant>
        <vt:i4>5</vt:i4>
      </vt:variant>
      <vt:variant>
        <vt:lpwstr>https://www.digitimes.com/news/a20250718PD228/rapidus-production-2nm-2027-chips.html</vt:lpwstr>
      </vt:variant>
      <vt:variant>
        <vt:lpwstr>:~:text=Toward%20a%20commercial%20offering,Mayor%20Ryuichi%20Yokota%20of%20Chitose</vt:lpwstr>
      </vt:variant>
      <vt:variant>
        <vt:i4>6094877</vt:i4>
      </vt:variant>
      <vt:variant>
        <vt:i4>297</vt:i4>
      </vt:variant>
      <vt:variant>
        <vt:i4>0</vt:i4>
      </vt:variant>
      <vt:variant>
        <vt:i4>5</vt:i4>
      </vt:variant>
      <vt:variant>
        <vt:lpwstr>https://www.imec-int.com/en/press/rapidus-japans-newly-founded-chip-manufacturer-joins-imecs-core-partner-program</vt:lpwstr>
      </vt:variant>
      <vt:variant>
        <vt:lpwstr/>
      </vt:variant>
      <vt:variant>
        <vt:i4>1769476</vt:i4>
      </vt:variant>
      <vt:variant>
        <vt:i4>294</vt:i4>
      </vt:variant>
      <vt:variant>
        <vt:i4>0</vt:i4>
      </vt:variant>
      <vt:variant>
        <vt:i4>5</vt:i4>
      </vt:variant>
      <vt:variant>
        <vt:lpwstr>https://www.electronicsweekly.com/news/business/rapidus-picks-hokkaido-for-36bn-2nm-fab-2023-02/</vt:lpwstr>
      </vt:variant>
      <vt:variant>
        <vt:lpwstr/>
      </vt:variant>
      <vt:variant>
        <vt:i4>4784143</vt:i4>
      </vt:variant>
      <vt:variant>
        <vt:i4>291</vt:i4>
      </vt:variant>
      <vt:variant>
        <vt:i4>0</vt:i4>
      </vt:variant>
      <vt:variant>
        <vt:i4>5</vt:i4>
      </vt:variant>
      <vt:variant>
        <vt:lpwstr>https://www.trueprice.org/monetisation-factors-for-true-pricing/</vt:lpwstr>
      </vt:variant>
      <vt:variant>
        <vt:lpwstr/>
      </vt:variant>
      <vt:variant>
        <vt:i4>4325446</vt:i4>
      </vt:variant>
      <vt:variant>
        <vt:i4>288</vt:i4>
      </vt:variant>
      <vt:variant>
        <vt:i4>0</vt:i4>
      </vt:variant>
      <vt:variant>
        <vt:i4>5</vt:i4>
      </vt:variant>
      <vt:variant>
        <vt:lpwstr>https://about.bnef.com/insights/commodities/eu-ets-market-outlook-1h-2024-prices-valley-before-rally/</vt:lpwstr>
      </vt:variant>
      <vt:variant>
        <vt:lpwstr/>
      </vt:variant>
      <vt:variant>
        <vt:i4>7405606</vt:i4>
      </vt:variant>
      <vt:variant>
        <vt:i4>285</vt:i4>
      </vt:variant>
      <vt:variant>
        <vt:i4>0</vt:i4>
      </vt:variant>
      <vt:variant>
        <vt:i4>5</vt:i4>
      </vt:variant>
      <vt:variant>
        <vt:lpwstr>https://www.mckinsey.com/industries/semiconductors/our-insights/semiconductors-have-a-big-opportunity-but-barriers-to-scale-remain</vt:lpwstr>
      </vt:variant>
      <vt:variant>
        <vt:lpwstr/>
      </vt:variant>
      <vt:variant>
        <vt:i4>7405606</vt:i4>
      </vt:variant>
      <vt:variant>
        <vt:i4>282</vt:i4>
      </vt:variant>
      <vt:variant>
        <vt:i4>0</vt:i4>
      </vt:variant>
      <vt:variant>
        <vt:i4>5</vt:i4>
      </vt:variant>
      <vt:variant>
        <vt:lpwstr>https://www.mckinsey.com/industries/semiconductors/our-insights/semiconductors-have-a-big-opportunity-but-barriers-to-scale-remain</vt:lpwstr>
      </vt:variant>
      <vt:variant>
        <vt:lpwstr/>
      </vt:variant>
      <vt:variant>
        <vt:i4>7929888</vt:i4>
      </vt:variant>
      <vt:variant>
        <vt:i4>279</vt:i4>
      </vt:variant>
      <vt:variant>
        <vt:i4>0</vt:i4>
      </vt:variant>
      <vt:variant>
        <vt:i4>5</vt:i4>
      </vt:variant>
      <vt:variant>
        <vt:lpwstr>https://www.interface-eu.org/publications/chip-productions-ecological-footprint</vt:lpwstr>
      </vt:variant>
      <vt:variant>
        <vt:lpwstr/>
      </vt:variant>
      <vt:variant>
        <vt:i4>5111832</vt:i4>
      </vt:variant>
      <vt:variant>
        <vt:i4>276</vt:i4>
      </vt:variant>
      <vt:variant>
        <vt:i4>0</vt:i4>
      </vt:variant>
      <vt:variant>
        <vt:i4>5</vt:i4>
      </vt:variant>
      <vt:variant>
        <vt:lpwstr>https://netzero.imec-int.com/die</vt:lpwstr>
      </vt:variant>
      <vt:variant>
        <vt:lpwstr/>
      </vt:variant>
      <vt:variant>
        <vt:i4>5111832</vt:i4>
      </vt:variant>
      <vt:variant>
        <vt:i4>273</vt:i4>
      </vt:variant>
      <vt:variant>
        <vt:i4>0</vt:i4>
      </vt:variant>
      <vt:variant>
        <vt:i4>5</vt:i4>
      </vt:variant>
      <vt:variant>
        <vt:lpwstr>https://netzero.imec-int.com/die</vt:lpwstr>
      </vt:variant>
      <vt:variant>
        <vt:lpwstr/>
      </vt:variant>
      <vt:variant>
        <vt:i4>5111832</vt:i4>
      </vt:variant>
      <vt:variant>
        <vt:i4>270</vt:i4>
      </vt:variant>
      <vt:variant>
        <vt:i4>0</vt:i4>
      </vt:variant>
      <vt:variant>
        <vt:i4>5</vt:i4>
      </vt:variant>
      <vt:variant>
        <vt:lpwstr>https://netzero.imec-int.com/die</vt:lpwstr>
      </vt:variant>
      <vt:variant>
        <vt:lpwstr/>
      </vt:variant>
      <vt:variant>
        <vt:i4>5111832</vt:i4>
      </vt:variant>
      <vt:variant>
        <vt:i4>267</vt:i4>
      </vt:variant>
      <vt:variant>
        <vt:i4>0</vt:i4>
      </vt:variant>
      <vt:variant>
        <vt:i4>5</vt:i4>
      </vt:variant>
      <vt:variant>
        <vt:lpwstr>https://netzero.imec-int.com/die</vt:lpwstr>
      </vt:variant>
      <vt:variant>
        <vt:lpwstr/>
      </vt:variant>
      <vt:variant>
        <vt:i4>6684734</vt:i4>
      </vt:variant>
      <vt:variant>
        <vt:i4>264</vt:i4>
      </vt:variant>
      <vt:variant>
        <vt:i4>0</vt:i4>
      </vt:variant>
      <vt:variant>
        <vt:i4>5</vt:i4>
      </vt:variant>
      <vt:variant>
        <vt:lpwstr>https://www.interface-eu.org/publications/chip-productions-ecological-footprint</vt:lpwstr>
      </vt:variant>
      <vt:variant>
        <vt:lpwstr>calculation-method-of-ghg-emissions-in-eu-chip-production-in-2021-and-scenarios-for-2030</vt:lpwstr>
      </vt:variant>
      <vt:variant>
        <vt:i4>4325456</vt:i4>
      </vt:variant>
      <vt:variant>
        <vt:i4>261</vt:i4>
      </vt:variant>
      <vt:variant>
        <vt:i4>0</vt:i4>
      </vt:variant>
      <vt:variant>
        <vt:i4>5</vt:i4>
      </vt:variant>
      <vt:variant>
        <vt:lpwstr>https://ember-energy.org/latest-insights/global-electricity-review-2025/major-countries-and-regions/</vt:lpwstr>
      </vt:variant>
      <vt:variant>
        <vt:lpwstr/>
      </vt:variant>
      <vt:variant>
        <vt:i4>720934</vt:i4>
      </vt:variant>
      <vt:variant>
        <vt:i4>258</vt:i4>
      </vt:variant>
      <vt:variant>
        <vt:i4>0</vt:i4>
      </vt:variant>
      <vt:variant>
        <vt:i4>5</vt:i4>
      </vt:variant>
      <vt:variant>
        <vt:lpwstr>https://lowcarbonpower.org/region/Republic_of_China_(Taiwan)</vt:lpwstr>
      </vt:variant>
      <vt:variant>
        <vt:lpwstr/>
      </vt:variant>
      <vt:variant>
        <vt:i4>5111832</vt:i4>
      </vt:variant>
      <vt:variant>
        <vt:i4>255</vt:i4>
      </vt:variant>
      <vt:variant>
        <vt:i4>0</vt:i4>
      </vt:variant>
      <vt:variant>
        <vt:i4>5</vt:i4>
      </vt:variant>
      <vt:variant>
        <vt:lpwstr>https://netzero.imec-int.com/die</vt:lpwstr>
      </vt:variant>
      <vt:variant>
        <vt:lpwstr/>
      </vt:variant>
      <vt:variant>
        <vt:i4>5111832</vt:i4>
      </vt:variant>
      <vt:variant>
        <vt:i4>252</vt:i4>
      </vt:variant>
      <vt:variant>
        <vt:i4>0</vt:i4>
      </vt:variant>
      <vt:variant>
        <vt:i4>5</vt:i4>
      </vt:variant>
      <vt:variant>
        <vt:lpwstr>https://netzero.imec-int.com/die</vt:lpwstr>
      </vt:variant>
      <vt:variant>
        <vt:lpwstr/>
      </vt:variant>
      <vt:variant>
        <vt:i4>5111832</vt:i4>
      </vt:variant>
      <vt:variant>
        <vt:i4>249</vt:i4>
      </vt:variant>
      <vt:variant>
        <vt:i4>0</vt:i4>
      </vt:variant>
      <vt:variant>
        <vt:i4>5</vt:i4>
      </vt:variant>
      <vt:variant>
        <vt:lpwstr>https://netzero.imec-int.com/die</vt:lpwstr>
      </vt:variant>
      <vt:variant>
        <vt:lpwstr/>
      </vt:variant>
      <vt:variant>
        <vt:i4>6160398</vt:i4>
      </vt:variant>
      <vt:variant>
        <vt:i4>246</vt:i4>
      </vt:variant>
      <vt:variant>
        <vt:i4>0</vt:i4>
      </vt:variant>
      <vt:variant>
        <vt:i4>5</vt:i4>
      </vt:variant>
      <vt:variant>
        <vt:lpwstr>https://esg.tsmc.com/en-US/file/public/2024-TSMC-Sustainability-Report-e.pdf</vt:lpwstr>
      </vt:variant>
      <vt:variant>
        <vt:lpwstr/>
      </vt:variant>
      <vt:variant>
        <vt:i4>5111832</vt:i4>
      </vt:variant>
      <vt:variant>
        <vt:i4>243</vt:i4>
      </vt:variant>
      <vt:variant>
        <vt:i4>0</vt:i4>
      </vt:variant>
      <vt:variant>
        <vt:i4>5</vt:i4>
      </vt:variant>
      <vt:variant>
        <vt:lpwstr>https://netzero.imec-int.com/die</vt:lpwstr>
      </vt:variant>
      <vt:variant>
        <vt:lpwstr/>
      </vt:variant>
      <vt:variant>
        <vt:i4>5111832</vt:i4>
      </vt:variant>
      <vt:variant>
        <vt:i4>240</vt:i4>
      </vt:variant>
      <vt:variant>
        <vt:i4>0</vt:i4>
      </vt:variant>
      <vt:variant>
        <vt:i4>5</vt:i4>
      </vt:variant>
      <vt:variant>
        <vt:lpwstr>https://netzero.imec-int.com/die</vt:lpwstr>
      </vt:variant>
      <vt:variant>
        <vt:lpwstr/>
      </vt:variant>
      <vt:variant>
        <vt:i4>5111832</vt:i4>
      </vt:variant>
      <vt:variant>
        <vt:i4>237</vt:i4>
      </vt:variant>
      <vt:variant>
        <vt:i4>0</vt:i4>
      </vt:variant>
      <vt:variant>
        <vt:i4>5</vt:i4>
      </vt:variant>
      <vt:variant>
        <vt:lpwstr>https://netzero.imec-int.com/die</vt:lpwstr>
      </vt:variant>
      <vt:variant>
        <vt:lpwstr/>
      </vt:variant>
      <vt:variant>
        <vt:i4>5111832</vt:i4>
      </vt:variant>
      <vt:variant>
        <vt:i4>234</vt:i4>
      </vt:variant>
      <vt:variant>
        <vt:i4>0</vt:i4>
      </vt:variant>
      <vt:variant>
        <vt:i4>5</vt:i4>
      </vt:variant>
      <vt:variant>
        <vt:lpwstr>https://netzero.imec-int.com/die</vt:lpwstr>
      </vt:variant>
      <vt:variant>
        <vt:lpwstr/>
      </vt:variant>
      <vt:variant>
        <vt:i4>6160398</vt:i4>
      </vt:variant>
      <vt:variant>
        <vt:i4>231</vt:i4>
      </vt:variant>
      <vt:variant>
        <vt:i4>0</vt:i4>
      </vt:variant>
      <vt:variant>
        <vt:i4>5</vt:i4>
      </vt:variant>
      <vt:variant>
        <vt:lpwstr>https://esg.tsmc.com/en-US/file/public/2024-TSMC-Sustainability-Report-e.pdf</vt:lpwstr>
      </vt:variant>
      <vt:variant>
        <vt:lpwstr/>
      </vt:variant>
      <vt:variant>
        <vt:i4>5111832</vt:i4>
      </vt:variant>
      <vt:variant>
        <vt:i4>228</vt:i4>
      </vt:variant>
      <vt:variant>
        <vt:i4>0</vt:i4>
      </vt:variant>
      <vt:variant>
        <vt:i4>5</vt:i4>
      </vt:variant>
      <vt:variant>
        <vt:lpwstr>https://netzero.imec-int.com/die</vt:lpwstr>
      </vt:variant>
      <vt:variant>
        <vt:lpwstr/>
      </vt:variant>
      <vt:variant>
        <vt:i4>5111832</vt:i4>
      </vt:variant>
      <vt:variant>
        <vt:i4>225</vt:i4>
      </vt:variant>
      <vt:variant>
        <vt:i4>0</vt:i4>
      </vt:variant>
      <vt:variant>
        <vt:i4>5</vt:i4>
      </vt:variant>
      <vt:variant>
        <vt:lpwstr>https://netzero.imec-int.com/die</vt:lpwstr>
      </vt:variant>
      <vt:variant>
        <vt:lpwstr/>
      </vt:variant>
      <vt:variant>
        <vt:i4>5111832</vt:i4>
      </vt:variant>
      <vt:variant>
        <vt:i4>222</vt:i4>
      </vt:variant>
      <vt:variant>
        <vt:i4>0</vt:i4>
      </vt:variant>
      <vt:variant>
        <vt:i4>5</vt:i4>
      </vt:variant>
      <vt:variant>
        <vt:lpwstr>https://netzero.imec-int.com/die</vt:lpwstr>
      </vt:variant>
      <vt:variant>
        <vt:lpwstr/>
      </vt:variant>
      <vt:variant>
        <vt:i4>5111832</vt:i4>
      </vt:variant>
      <vt:variant>
        <vt:i4>219</vt:i4>
      </vt:variant>
      <vt:variant>
        <vt:i4>0</vt:i4>
      </vt:variant>
      <vt:variant>
        <vt:i4>5</vt:i4>
      </vt:variant>
      <vt:variant>
        <vt:lpwstr>https://netzero.imec-int.com/die</vt:lpwstr>
      </vt:variant>
      <vt:variant>
        <vt:lpwstr/>
      </vt:variant>
      <vt:variant>
        <vt:i4>5111832</vt:i4>
      </vt:variant>
      <vt:variant>
        <vt:i4>216</vt:i4>
      </vt:variant>
      <vt:variant>
        <vt:i4>0</vt:i4>
      </vt:variant>
      <vt:variant>
        <vt:i4>5</vt:i4>
      </vt:variant>
      <vt:variant>
        <vt:lpwstr>https://netzero.imec-int.com/die</vt:lpwstr>
      </vt:variant>
      <vt:variant>
        <vt:lpwstr/>
      </vt:variant>
      <vt:variant>
        <vt:i4>5111832</vt:i4>
      </vt:variant>
      <vt:variant>
        <vt:i4>213</vt:i4>
      </vt:variant>
      <vt:variant>
        <vt:i4>0</vt:i4>
      </vt:variant>
      <vt:variant>
        <vt:i4>5</vt:i4>
      </vt:variant>
      <vt:variant>
        <vt:lpwstr>https://netzero.imec-int.com/die</vt:lpwstr>
      </vt:variant>
      <vt:variant>
        <vt:lpwstr/>
      </vt:variant>
      <vt:variant>
        <vt:i4>5111832</vt:i4>
      </vt:variant>
      <vt:variant>
        <vt:i4>210</vt:i4>
      </vt:variant>
      <vt:variant>
        <vt:i4>0</vt:i4>
      </vt:variant>
      <vt:variant>
        <vt:i4>5</vt:i4>
      </vt:variant>
      <vt:variant>
        <vt:lpwstr>https://netzero.imec-int.com/die</vt:lpwstr>
      </vt:variant>
      <vt:variant>
        <vt:lpwstr/>
      </vt:variant>
      <vt:variant>
        <vt:i4>6488153</vt:i4>
      </vt:variant>
      <vt:variant>
        <vt:i4>207</vt:i4>
      </vt:variant>
      <vt:variant>
        <vt:i4>0</vt:i4>
      </vt:variant>
      <vt:variant>
        <vt:i4>5</vt:i4>
      </vt:variant>
      <vt:variant>
        <vt:lpwstr>https://gf.com/wp-content/uploads/2024/10/CDP_-GlobalFoundries-Inc.-09-10-2024-CORPORATE_public_version.pdf</vt:lpwstr>
      </vt:variant>
      <vt:variant>
        <vt:lpwstr/>
      </vt:variant>
      <vt:variant>
        <vt:i4>5111832</vt:i4>
      </vt:variant>
      <vt:variant>
        <vt:i4>204</vt:i4>
      </vt:variant>
      <vt:variant>
        <vt:i4>0</vt:i4>
      </vt:variant>
      <vt:variant>
        <vt:i4>5</vt:i4>
      </vt:variant>
      <vt:variant>
        <vt:lpwstr>https://netzero.imec-int.com/die</vt:lpwstr>
      </vt:variant>
      <vt:variant>
        <vt:lpwstr/>
      </vt:variant>
      <vt:variant>
        <vt:i4>5111832</vt:i4>
      </vt:variant>
      <vt:variant>
        <vt:i4>201</vt:i4>
      </vt:variant>
      <vt:variant>
        <vt:i4>0</vt:i4>
      </vt:variant>
      <vt:variant>
        <vt:i4>5</vt:i4>
      </vt:variant>
      <vt:variant>
        <vt:lpwstr>https://netzero.imec-int.com/die</vt:lpwstr>
      </vt:variant>
      <vt:variant>
        <vt:lpwstr/>
      </vt:variant>
      <vt:variant>
        <vt:i4>5111832</vt:i4>
      </vt:variant>
      <vt:variant>
        <vt:i4>198</vt:i4>
      </vt:variant>
      <vt:variant>
        <vt:i4>0</vt:i4>
      </vt:variant>
      <vt:variant>
        <vt:i4>5</vt:i4>
      </vt:variant>
      <vt:variant>
        <vt:lpwstr>https://netzero.imec-int.com/die</vt:lpwstr>
      </vt:variant>
      <vt:variant>
        <vt:lpwstr/>
      </vt:variant>
      <vt:variant>
        <vt:i4>7929888</vt:i4>
      </vt:variant>
      <vt:variant>
        <vt:i4>195</vt:i4>
      </vt:variant>
      <vt:variant>
        <vt:i4>0</vt:i4>
      </vt:variant>
      <vt:variant>
        <vt:i4>5</vt:i4>
      </vt:variant>
      <vt:variant>
        <vt:lpwstr>https://www.interface-eu.org/publications/chip-productions-ecological-footprint</vt:lpwstr>
      </vt:variant>
      <vt:variant>
        <vt:lpwstr/>
      </vt:variant>
      <vt:variant>
        <vt:i4>5046280</vt:i4>
      </vt:variant>
      <vt:variant>
        <vt:i4>192</vt:i4>
      </vt:variant>
      <vt:variant>
        <vt:i4>0</vt:i4>
      </vt:variant>
      <vt:variant>
        <vt:i4>5</vt:i4>
      </vt:variant>
      <vt:variant>
        <vt:lpwstr>https://www.gasworld.com/story/industrys-first-neon-gas-recycling-technology-announced-by-sk-hynix-temc/2136766.article/</vt:lpwstr>
      </vt:variant>
      <vt:variant>
        <vt:lpwstr/>
      </vt:variant>
      <vt:variant>
        <vt:i4>7929888</vt:i4>
      </vt:variant>
      <vt:variant>
        <vt:i4>189</vt:i4>
      </vt:variant>
      <vt:variant>
        <vt:i4>0</vt:i4>
      </vt:variant>
      <vt:variant>
        <vt:i4>5</vt:i4>
      </vt:variant>
      <vt:variant>
        <vt:lpwstr>https://www.interface-eu.org/publications/chip-productions-ecological-footprint</vt:lpwstr>
      </vt:variant>
      <vt:variant>
        <vt:lpwstr/>
      </vt:variant>
      <vt:variant>
        <vt:i4>7536744</vt:i4>
      </vt:variant>
      <vt:variant>
        <vt:i4>186</vt:i4>
      </vt:variant>
      <vt:variant>
        <vt:i4>0</vt:i4>
      </vt:variant>
      <vt:variant>
        <vt:i4>5</vt:i4>
      </vt:variant>
      <vt:variant>
        <vt:lpwstr>https://www.nxp.com/company/about-nxp/sustainability/environment-health-and-safety/waste:ENVIRONMENT-WASTE</vt:lpwstr>
      </vt:variant>
      <vt:variant>
        <vt:lpwstr/>
      </vt:variant>
      <vt:variant>
        <vt:i4>7536744</vt:i4>
      </vt:variant>
      <vt:variant>
        <vt:i4>183</vt:i4>
      </vt:variant>
      <vt:variant>
        <vt:i4>0</vt:i4>
      </vt:variant>
      <vt:variant>
        <vt:i4>5</vt:i4>
      </vt:variant>
      <vt:variant>
        <vt:lpwstr>https://www.nxp.com/company/about-nxp/sustainability/environment-health-and-safety/waste:ENVIRONMENT-WASTE</vt:lpwstr>
      </vt:variant>
      <vt:variant>
        <vt:lpwstr/>
      </vt:variant>
      <vt:variant>
        <vt:i4>7929888</vt:i4>
      </vt:variant>
      <vt:variant>
        <vt:i4>180</vt:i4>
      </vt:variant>
      <vt:variant>
        <vt:i4>0</vt:i4>
      </vt:variant>
      <vt:variant>
        <vt:i4>5</vt:i4>
      </vt:variant>
      <vt:variant>
        <vt:lpwstr>https://www.interface-eu.org/publications/chip-productions-ecological-footprint</vt:lpwstr>
      </vt:variant>
      <vt:variant>
        <vt:lpwstr/>
      </vt:variant>
      <vt:variant>
        <vt:i4>7536744</vt:i4>
      </vt:variant>
      <vt:variant>
        <vt:i4>177</vt:i4>
      </vt:variant>
      <vt:variant>
        <vt:i4>0</vt:i4>
      </vt:variant>
      <vt:variant>
        <vt:i4>5</vt:i4>
      </vt:variant>
      <vt:variant>
        <vt:lpwstr>https://www.nxp.com/company/about-nxp/sustainability/environment-health-and-safety/waste:ENVIRONMENT-WASTE</vt:lpwstr>
      </vt:variant>
      <vt:variant>
        <vt:lpwstr/>
      </vt:variant>
      <vt:variant>
        <vt:i4>1572945</vt:i4>
      </vt:variant>
      <vt:variant>
        <vt:i4>174</vt:i4>
      </vt:variant>
      <vt:variant>
        <vt:i4>0</vt:i4>
      </vt:variant>
      <vt:variant>
        <vt:i4>5</vt:i4>
      </vt:variant>
      <vt:variant>
        <vt:lpwstr>https://watereurope.eu/wp-content/uploads/2024/10/Water-Europe-Socio-Economic-Study-1.pdf</vt:lpwstr>
      </vt:variant>
      <vt:variant>
        <vt:lpwstr/>
      </vt:variant>
      <vt:variant>
        <vt:i4>6488153</vt:i4>
      </vt:variant>
      <vt:variant>
        <vt:i4>171</vt:i4>
      </vt:variant>
      <vt:variant>
        <vt:i4>0</vt:i4>
      </vt:variant>
      <vt:variant>
        <vt:i4>5</vt:i4>
      </vt:variant>
      <vt:variant>
        <vt:lpwstr>https://gf.com/wp-content/uploads/2024/10/CDP_-GlobalFoundries-Inc.-09-10-2024-CORPORATE_public_version.pdf</vt:lpwstr>
      </vt:variant>
      <vt:variant>
        <vt:lpwstr/>
      </vt:variant>
      <vt:variant>
        <vt:i4>7929888</vt:i4>
      </vt:variant>
      <vt:variant>
        <vt:i4>168</vt:i4>
      </vt:variant>
      <vt:variant>
        <vt:i4>0</vt:i4>
      </vt:variant>
      <vt:variant>
        <vt:i4>5</vt:i4>
      </vt:variant>
      <vt:variant>
        <vt:lpwstr>https://www.interface-eu.org/publications/chip-productions-ecological-footprint</vt:lpwstr>
      </vt:variant>
      <vt:variant>
        <vt:lpwstr/>
      </vt:variant>
      <vt:variant>
        <vt:i4>5111832</vt:i4>
      </vt:variant>
      <vt:variant>
        <vt:i4>165</vt:i4>
      </vt:variant>
      <vt:variant>
        <vt:i4>0</vt:i4>
      </vt:variant>
      <vt:variant>
        <vt:i4>5</vt:i4>
      </vt:variant>
      <vt:variant>
        <vt:lpwstr>https://netzero.imec-int.com/die</vt:lpwstr>
      </vt:variant>
      <vt:variant>
        <vt:lpwstr/>
      </vt:variant>
      <vt:variant>
        <vt:i4>6488153</vt:i4>
      </vt:variant>
      <vt:variant>
        <vt:i4>162</vt:i4>
      </vt:variant>
      <vt:variant>
        <vt:i4>0</vt:i4>
      </vt:variant>
      <vt:variant>
        <vt:i4>5</vt:i4>
      </vt:variant>
      <vt:variant>
        <vt:lpwstr>https://gf.com/wp-content/uploads/2024/10/CDP_-GlobalFoundries-Inc.-09-10-2024-CORPORATE_public_version.pdf</vt:lpwstr>
      </vt:variant>
      <vt:variant>
        <vt:lpwstr/>
      </vt:variant>
      <vt:variant>
        <vt:i4>6488153</vt:i4>
      </vt:variant>
      <vt:variant>
        <vt:i4>159</vt:i4>
      </vt:variant>
      <vt:variant>
        <vt:i4>0</vt:i4>
      </vt:variant>
      <vt:variant>
        <vt:i4>5</vt:i4>
      </vt:variant>
      <vt:variant>
        <vt:lpwstr>https://gf.com/wp-content/uploads/2024/10/CDP_-GlobalFoundries-Inc.-09-10-2024-CORPORATE_public_version.pdf</vt:lpwstr>
      </vt:variant>
      <vt:variant>
        <vt:lpwstr/>
      </vt:variant>
      <vt:variant>
        <vt:i4>6488153</vt:i4>
      </vt:variant>
      <vt:variant>
        <vt:i4>156</vt:i4>
      </vt:variant>
      <vt:variant>
        <vt:i4>0</vt:i4>
      </vt:variant>
      <vt:variant>
        <vt:i4>5</vt:i4>
      </vt:variant>
      <vt:variant>
        <vt:lpwstr>https://gf.com/wp-content/uploads/2024/10/CDP_-GlobalFoundries-Inc.-09-10-2024-CORPORATE_public_version.pdf</vt:lpwstr>
      </vt:variant>
      <vt:variant>
        <vt:lpwstr/>
      </vt:variant>
      <vt:variant>
        <vt:i4>7798825</vt:i4>
      </vt:variant>
      <vt:variant>
        <vt:i4>153</vt:i4>
      </vt:variant>
      <vt:variant>
        <vt:i4>0</vt:i4>
      </vt:variant>
      <vt:variant>
        <vt:i4>5</vt:i4>
      </vt:variant>
      <vt:variant>
        <vt:lpwstr>https://gf.com/about-us/about-gf-in-europe/dresden-facts-figures-data/</vt:lpwstr>
      </vt:variant>
      <vt:variant>
        <vt:lpwstr>:~:text=GlobalFoundries%20Dresden%20has%20the%20following%20capacity:%20*,Management%20*%20Display%20*%20Automotive%20Microcontroller%20Units</vt:lpwstr>
      </vt:variant>
      <vt:variant>
        <vt:i4>5111832</vt:i4>
      </vt:variant>
      <vt:variant>
        <vt:i4>150</vt:i4>
      </vt:variant>
      <vt:variant>
        <vt:i4>0</vt:i4>
      </vt:variant>
      <vt:variant>
        <vt:i4>5</vt:i4>
      </vt:variant>
      <vt:variant>
        <vt:lpwstr>https://netzero.imec-int.com/die</vt:lpwstr>
      </vt:variant>
      <vt:variant>
        <vt:lpwstr/>
      </vt:variant>
      <vt:variant>
        <vt:i4>5111832</vt:i4>
      </vt:variant>
      <vt:variant>
        <vt:i4>147</vt:i4>
      </vt:variant>
      <vt:variant>
        <vt:i4>0</vt:i4>
      </vt:variant>
      <vt:variant>
        <vt:i4>5</vt:i4>
      </vt:variant>
      <vt:variant>
        <vt:lpwstr>https://netzero.imec-int.com/die</vt:lpwstr>
      </vt:variant>
      <vt:variant>
        <vt:lpwstr/>
      </vt:variant>
      <vt:variant>
        <vt:i4>7929888</vt:i4>
      </vt:variant>
      <vt:variant>
        <vt:i4>144</vt:i4>
      </vt:variant>
      <vt:variant>
        <vt:i4>0</vt:i4>
      </vt:variant>
      <vt:variant>
        <vt:i4>5</vt:i4>
      </vt:variant>
      <vt:variant>
        <vt:lpwstr>https://www.interface-eu.org/publications/chip-productions-ecological-footprint</vt:lpwstr>
      </vt:variant>
      <vt:variant>
        <vt:lpwstr/>
      </vt:variant>
      <vt:variant>
        <vt:i4>5111832</vt:i4>
      </vt:variant>
      <vt:variant>
        <vt:i4>141</vt:i4>
      </vt:variant>
      <vt:variant>
        <vt:i4>0</vt:i4>
      </vt:variant>
      <vt:variant>
        <vt:i4>5</vt:i4>
      </vt:variant>
      <vt:variant>
        <vt:lpwstr>https://netzero.imec-int.com/die</vt:lpwstr>
      </vt:variant>
      <vt:variant>
        <vt:lpwstr/>
      </vt:variant>
      <vt:variant>
        <vt:i4>7929888</vt:i4>
      </vt:variant>
      <vt:variant>
        <vt:i4>138</vt:i4>
      </vt:variant>
      <vt:variant>
        <vt:i4>0</vt:i4>
      </vt:variant>
      <vt:variant>
        <vt:i4>5</vt:i4>
      </vt:variant>
      <vt:variant>
        <vt:lpwstr>https://www.interface-eu.org/publications/chip-productions-ecological-footprint</vt:lpwstr>
      </vt:variant>
      <vt:variant>
        <vt:lpwstr/>
      </vt:variant>
      <vt:variant>
        <vt:i4>5308508</vt:i4>
      </vt:variant>
      <vt:variant>
        <vt:i4>135</vt:i4>
      </vt:variant>
      <vt:variant>
        <vt:i4>0</vt:i4>
      </vt:variant>
      <vt:variant>
        <vt:i4>5</vt:i4>
      </vt:variant>
      <vt:variant>
        <vt:lpwstr>https://ghgprotocol.org/sites/default/files/2023-03/Scope 2 Guidance.pdf</vt:lpwstr>
      </vt:variant>
      <vt:variant>
        <vt:lpwstr/>
      </vt:variant>
      <vt:variant>
        <vt:i4>5308508</vt:i4>
      </vt:variant>
      <vt:variant>
        <vt:i4>132</vt:i4>
      </vt:variant>
      <vt:variant>
        <vt:i4>0</vt:i4>
      </vt:variant>
      <vt:variant>
        <vt:i4>5</vt:i4>
      </vt:variant>
      <vt:variant>
        <vt:lpwstr>https://ghgprotocol.org/sites/default/files/2023-03/Scope 2 Guidance.pdf</vt:lpwstr>
      </vt:variant>
      <vt:variant>
        <vt:lpwstr/>
      </vt:variant>
      <vt:variant>
        <vt:i4>262164</vt:i4>
      </vt:variant>
      <vt:variant>
        <vt:i4>129</vt:i4>
      </vt:variant>
      <vt:variant>
        <vt:i4>0</vt:i4>
      </vt:variant>
      <vt:variant>
        <vt:i4>5</vt:i4>
      </vt:variant>
      <vt:variant>
        <vt:lpwstr>https://www.interface-eu.org/publications/semiconductor-emission-explorer</vt:lpwstr>
      </vt:variant>
      <vt:variant>
        <vt:lpwstr/>
      </vt:variant>
      <vt:variant>
        <vt:i4>262164</vt:i4>
      </vt:variant>
      <vt:variant>
        <vt:i4>126</vt:i4>
      </vt:variant>
      <vt:variant>
        <vt:i4>0</vt:i4>
      </vt:variant>
      <vt:variant>
        <vt:i4>5</vt:i4>
      </vt:variant>
      <vt:variant>
        <vt:lpwstr>https://www.interface-eu.org/publications/semiconductor-emission-explorer</vt:lpwstr>
      </vt:variant>
      <vt:variant>
        <vt:lpwstr/>
      </vt:variant>
      <vt:variant>
        <vt:i4>7929888</vt:i4>
      </vt:variant>
      <vt:variant>
        <vt:i4>123</vt:i4>
      </vt:variant>
      <vt:variant>
        <vt:i4>0</vt:i4>
      </vt:variant>
      <vt:variant>
        <vt:i4>5</vt:i4>
      </vt:variant>
      <vt:variant>
        <vt:lpwstr>https://www.interface-eu.org/publications/chip-productions-ecological-footprint</vt:lpwstr>
      </vt:variant>
      <vt:variant>
        <vt:lpwstr/>
      </vt:variant>
      <vt:variant>
        <vt:i4>5177371</vt:i4>
      </vt:variant>
      <vt:variant>
        <vt:i4>120</vt:i4>
      </vt:variant>
      <vt:variant>
        <vt:i4>0</vt:i4>
      </vt:variant>
      <vt:variant>
        <vt:i4>5</vt:i4>
      </vt:variant>
      <vt:variant>
        <vt:lpwstr>https://www.electronicspecifier.com/industries/alternative-energy/european-fluorinated-greenhouse-gas-emissions-cut-by-42</vt:lpwstr>
      </vt:variant>
      <vt:variant>
        <vt:lpwstr/>
      </vt:variant>
      <vt:variant>
        <vt:i4>1179651</vt:i4>
      </vt:variant>
      <vt:variant>
        <vt:i4>117</vt:i4>
      </vt:variant>
      <vt:variant>
        <vt:i4>0</vt:i4>
      </vt:variant>
      <vt:variant>
        <vt:i4>5</vt:i4>
      </vt:variant>
      <vt:variant>
        <vt:lpwstr>https://ec.europa.eu/clima/document/download/9013881e-8d5d-429e-9112-c908f127c833_en?filename=f-gases_impact_assessment_en.pdf</vt:lpwstr>
      </vt:variant>
      <vt:variant>
        <vt:lpwstr/>
      </vt:variant>
      <vt:variant>
        <vt:i4>7929888</vt:i4>
      </vt:variant>
      <vt:variant>
        <vt:i4>114</vt:i4>
      </vt:variant>
      <vt:variant>
        <vt:i4>0</vt:i4>
      </vt:variant>
      <vt:variant>
        <vt:i4>5</vt:i4>
      </vt:variant>
      <vt:variant>
        <vt:lpwstr>https://www.interface-eu.org/publications/chip-productions-ecological-footprint</vt:lpwstr>
      </vt:variant>
      <vt:variant>
        <vt:lpwstr/>
      </vt:variant>
      <vt:variant>
        <vt:i4>7929888</vt:i4>
      </vt:variant>
      <vt:variant>
        <vt:i4>111</vt:i4>
      </vt:variant>
      <vt:variant>
        <vt:i4>0</vt:i4>
      </vt:variant>
      <vt:variant>
        <vt:i4>5</vt:i4>
      </vt:variant>
      <vt:variant>
        <vt:lpwstr>https://www.interface-eu.org/publications/chip-productions-ecological-footprint</vt:lpwstr>
      </vt:variant>
      <vt:variant>
        <vt:lpwstr/>
      </vt:variant>
      <vt:variant>
        <vt:i4>7929888</vt:i4>
      </vt:variant>
      <vt:variant>
        <vt:i4>108</vt:i4>
      </vt:variant>
      <vt:variant>
        <vt:i4>0</vt:i4>
      </vt:variant>
      <vt:variant>
        <vt:i4>5</vt:i4>
      </vt:variant>
      <vt:variant>
        <vt:lpwstr>https://www.interface-eu.org/publications/chip-productions-ecological-footprint</vt:lpwstr>
      </vt:variant>
      <vt:variant>
        <vt:lpwstr/>
      </vt:variant>
      <vt:variant>
        <vt:i4>6750314</vt:i4>
      </vt:variant>
      <vt:variant>
        <vt:i4>105</vt:i4>
      </vt:variant>
      <vt:variant>
        <vt:i4>0</vt:i4>
      </vt:variant>
      <vt:variant>
        <vt:i4>5</vt:i4>
      </vt:variant>
      <vt:variant>
        <vt:lpwstr>https://www.bruegel.org/sites/default/files/2025-07/WP 07 2025.pdf</vt:lpwstr>
      </vt:variant>
      <vt:variant>
        <vt:lpwstr/>
      </vt:variant>
      <vt:variant>
        <vt:i4>2097263</vt:i4>
      </vt:variant>
      <vt:variant>
        <vt:i4>102</vt:i4>
      </vt:variant>
      <vt:variant>
        <vt:i4>0</vt:i4>
      </vt:variant>
      <vt:variant>
        <vt:i4>5</vt:i4>
      </vt:variant>
      <vt:variant>
        <vt:lpwstr>https://doi.org/10.2760/6302476</vt:lpwstr>
      </vt:variant>
      <vt:variant>
        <vt:lpwstr/>
      </vt:variant>
      <vt:variant>
        <vt:i4>2097263</vt:i4>
      </vt:variant>
      <vt:variant>
        <vt:i4>99</vt:i4>
      </vt:variant>
      <vt:variant>
        <vt:i4>0</vt:i4>
      </vt:variant>
      <vt:variant>
        <vt:i4>5</vt:i4>
      </vt:variant>
      <vt:variant>
        <vt:lpwstr>https://doi.org/10.2760/6302476</vt:lpwstr>
      </vt:variant>
      <vt:variant>
        <vt:lpwstr/>
      </vt:variant>
      <vt:variant>
        <vt:i4>2097263</vt:i4>
      </vt:variant>
      <vt:variant>
        <vt:i4>96</vt:i4>
      </vt:variant>
      <vt:variant>
        <vt:i4>0</vt:i4>
      </vt:variant>
      <vt:variant>
        <vt:i4>5</vt:i4>
      </vt:variant>
      <vt:variant>
        <vt:lpwstr>https://doi.org/10.2760/6302476</vt:lpwstr>
      </vt:variant>
      <vt:variant>
        <vt:lpwstr/>
      </vt:variant>
      <vt:variant>
        <vt:i4>5701663</vt:i4>
      </vt:variant>
      <vt:variant>
        <vt:i4>93</vt:i4>
      </vt:variant>
      <vt:variant>
        <vt:i4>0</vt:i4>
      </vt:variant>
      <vt:variant>
        <vt:i4>5</vt:i4>
      </vt:variant>
      <vt:variant>
        <vt:lpwstr>https://stats.oecd.org/Index.aspx?DataSetCode=REV</vt:lpwstr>
      </vt:variant>
      <vt:variant>
        <vt:lpwstr/>
      </vt:variant>
      <vt:variant>
        <vt:i4>2097263</vt:i4>
      </vt:variant>
      <vt:variant>
        <vt:i4>90</vt:i4>
      </vt:variant>
      <vt:variant>
        <vt:i4>0</vt:i4>
      </vt:variant>
      <vt:variant>
        <vt:i4>5</vt:i4>
      </vt:variant>
      <vt:variant>
        <vt:lpwstr>https://doi.org/10.2760/6302476</vt:lpwstr>
      </vt:variant>
      <vt:variant>
        <vt:lpwstr/>
      </vt:variant>
      <vt:variant>
        <vt:i4>3932194</vt:i4>
      </vt:variant>
      <vt:variant>
        <vt:i4>87</vt:i4>
      </vt:variant>
      <vt:variant>
        <vt:i4>0</vt:i4>
      </vt:variant>
      <vt:variant>
        <vt:i4>5</vt:i4>
      </vt:variant>
      <vt:variant>
        <vt:lpwstr>https://data.europa.eu/doi/10.2760/6302476</vt:lpwstr>
      </vt:variant>
      <vt:variant>
        <vt:lpwstr/>
      </vt:variant>
      <vt:variant>
        <vt:i4>3932194</vt:i4>
      </vt:variant>
      <vt:variant>
        <vt:i4>84</vt:i4>
      </vt:variant>
      <vt:variant>
        <vt:i4>0</vt:i4>
      </vt:variant>
      <vt:variant>
        <vt:i4>5</vt:i4>
      </vt:variant>
      <vt:variant>
        <vt:lpwstr>https://data.europa.eu/doi/10.2760/6302476</vt:lpwstr>
      </vt:variant>
      <vt:variant>
        <vt:lpwstr/>
      </vt:variant>
      <vt:variant>
        <vt:i4>327754</vt:i4>
      </vt:variant>
      <vt:variant>
        <vt:i4>81</vt:i4>
      </vt:variant>
      <vt:variant>
        <vt:i4>0</vt:i4>
      </vt:variant>
      <vt:variant>
        <vt:i4>5</vt:i4>
      </vt:variant>
      <vt:variant>
        <vt:lpwstr>https://www.eca.europa.eu/en/publications/SR-2025-12</vt:lpwstr>
      </vt:variant>
      <vt:variant>
        <vt:lpwstr/>
      </vt:variant>
      <vt:variant>
        <vt:i4>3014764</vt:i4>
      </vt:variant>
      <vt:variant>
        <vt:i4>78</vt:i4>
      </vt:variant>
      <vt:variant>
        <vt:i4>0</vt:i4>
      </vt:variant>
      <vt:variant>
        <vt:i4>5</vt:i4>
      </vt:variant>
      <vt:variant>
        <vt:lpwstr>https://doi.org/10.2760/038299</vt:lpwstr>
      </vt:variant>
      <vt:variant>
        <vt:lpwstr/>
      </vt:variant>
      <vt:variant>
        <vt:i4>327754</vt:i4>
      </vt:variant>
      <vt:variant>
        <vt:i4>75</vt:i4>
      </vt:variant>
      <vt:variant>
        <vt:i4>0</vt:i4>
      </vt:variant>
      <vt:variant>
        <vt:i4>5</vt:i4>
      </vt:variant>
      <vt:variant>
        <vt:lpwstr>https://www.eca.europa.eu/en/publications/SR-2025-12</vt:lpwstr>
      </vt:variant>
      <vt:variant>
        <vt:lpwstr/>
      </vt:variant>
      <vt:variant>
        <vt:i4>2097263</vt:i4>
      </vt:variant>
      <vt:variant>
        <vt:i4>72</vt:i4>
      </vt:variant>
      <vt:variant>
        <vt:i4>0</vt:i4>
      </vt:variant>
      <vt:variant>
        <vt:i4>5</vt:i4>
      </vt:variant>
      <vt:variant>
        <vt:lpwstr>https://doi.org/10.2760/6302476</vt:lpwstr>
      </vt:variant>
      <vt:variant>
        <vt:lpwstr/>
      </vt:variant>
      <vt:variant>
        <vt:i4>6422615</vt:i4>
      </vt:variant>
      <vt:variant>
        <vt:i4>69</vt:i4>
      </vt:variant>
      <vt:variant>
        <vt:i4>0</vt:i4>
      </vt:variant>
      <vt:variant>
        <vt:i4>5</vt:i4>
      </vt:variant>
      <vt:variant>
        <vt:lpwstr>https://www.ajinomoto.com/innovation/our_innovation/buildupfilm</vt:lpwstr>
      </vt:variant>
      <vt:variant>
        <vt:lpwstr/>
      </vt:variant>
      <vt:variant>
        <vt:i4>1966165</vt:i4>
      </vt:variant>
      <vt:variant>
        <vt:i4>66</vt:i4>
      </vt:variant>
      <vt:variant>
        <vt:i4>0</vt:i4>
      </vt:variant>
      <vt:variant>
        <vt:i4>5</vt:i4>
      </vt:variant>
      <vt:variant>
        <vt:lpwstr>https://www.techradar.com/pro/japanese-firm-behind-ubiquitous-msg-is-ramping-up-production-of-key-material-in-semiconductor-packaging</vt:lpwstr>
      </vt:variant>
      <vt:variant>
        <vt:lpwstr/>
      </vt:variant>
      <vt:variant>
        <vt:i4>2424946</vt:i4>
      </vt:variant>
      <vt:variant>
        <vt:i4>63</vt:i4>
      </vt:variant>
      <vt:variant>
        <vt:i4>0</vt:i4>
      </vt:variant>
      <vt:variant>
        <vt:i4>5</vt:i4>
      </vt:variant>
      <vt:variant>
        <vt:lpwstr>https://www.wsj.com/tech/a-critical-ai-niche-is-dominated-by-one-little-known-japanese-company-d9101853</vt:lpwstr>
      </vt:variant>
      <vt:variant>
        <vt:lpwstr/>
      </vt:variant>
      <vt:variant>
        <vt:i4>4587605</vt:i4>
      </vt:variant>
      <vt:variant>
        <vt:i4>60</vt:i4>
      </vt:variant>
      <vt:variant>
        <vt:i4>0</vt:i4>
      </vt:variant>
      <vt:variant>
        <vt:i4>5</vt:i4>
      </vt:variant>
      <vt:variant>
        <vt:lpwstr>https://finance.yahoo.com/news/asml-holding-q4-earnings-investors-124600373.html?utm</vt:lpwstr>
      </vt:variant>
      <vt:variant>
        <vt:lpwstr/>
      </vt:variant>
      <vt:variant>
        <vt:i4>7274610</vt:i4>
      </vt:variant>
      <vt:variant>
        <vt:i4>57</vt:i4>
      </vt:variant>
      <vt:variant>
        <vt:i4>0</vt:i4>
      </vt:variant>
      <vt:variant>
        <vt:i4>5</vt:i4>
      </vt:variant>
      <vt:variant>
        <vt:lpwstr>https://www.spiedigitallibrary.org/conference-proceedings-of-spie/13216/3037237/EUV-mask-technologies-evolution-and-ecosystem-for-devices/10.1117/12.3037237.full</vt:lpwstr>
      </vt:variant>
      <vt:variant>
        <vt:lpwstr>B64</vt:lpwstr>
      </vt:variant>
      <vt:variant>
        <vt:i4>1966098</vt:i4>
      </vt:variant>
      <vt:variant>
        <vt:i4>54</vt:i4>
      </vt:variant>
      <vt:variant>
        <vt:i4>0</vt:i4>
      </vt:variant>
      <vt:variant>
        <vt:i4>5</vt:i4>
      </vt:variant>
      <vt:variant>
        <vt:lpwstr>https://www.semiconductor-digest.com/the-outlook-for-the-precursor-market-remains-strong/</vt:lpwstr>
      </vt:variant>
      <vt:variant>
        <vt:lpwstr/>
      </vt:variant>
      <vt:variant>
        <vt:i4>7208990</vt:i4>
      </vt:variant>
      <vt:variant>
        <vt:i4>51</vt:i4>
      </vt:variant>
      <vt:variant>
        <vt:i4>0</vt:i4>
      </vt:variant>
      <vt:variant>
        <vt:i4>5</vt:i4>
      </vt:variant>
      <vt:variant>
        <vt:lpwstr>https://www.reuters.com/markets/deals/shares-japans-jsr-untraded-surprise-possible-buyout-2023-06-26/?utm_source=chatgpt.com</vt:lpwstr>
      </vt:variant>
      <vt:variant>
        <vt:lpwstr/>
      </vt:variant>
      <vt:variant>
        <vt:i4>1966092</vt:i4>
      </vt:variant>
      <vt:variant>
        <vt:i4>48</vt:i4>
      </vt:variant>
      <vt:variant>
        <vt:i4>0</vt:i4>
      </vt:variant>
      <vt:variant>
        <vt:i4>5</vt:i4>
      </vt:variant>
      <vt:variant>
        <vt:lpwstr>https://www.usitc.gov/publications/332/working_papers/the_south_korea-japan_trade_dispute_in_context_semiconductor_manufacturing_chemicals_and_concentrated_supply_chains.pdf</vt:lpwstr>
      </vt:variant>
      <vt:variant>
        <vt:lpwstr/>
      </vt:variant>
      <vt:variant>
        <vt:i4>655368</vt:i4>
      </vt:variant>
      <vt:variant>
        <vt:i4>45</vt:i4>
      </vt:variant>
      <vt:variant>
        <vt:i4>0</vt:i4>
      </vt:variant>
      <vt:variant>
        <vt:i4>5</vt:i4>
      </vt:variant>
      <vt:variant>
        <vt:lpwstr>https://www.trade.gov/country-commercial-guides/japan-semiconductors</vt:lpwstr>
      </vt:variant>
      <vt:variant>
        <vt:lpwstr/>
      </vt:variant>
      <vt:variant>
        <vt:i4>7798895</vt:i4>
      </vt:variant>
      <vt:variant>
        <vt:i4>42</vt:i4>
      </vt:variant>
      <vt:variant>
        <vt:i4>0</vt:i4>
      </vt:variant>
      <vt:variant>
        <vt:i4>5</vt:i4>
      </vt:variant>
      <vt:variant>
        <vt:lpwstr>https://encyclopedia.airliquide.com/silane</vt:lpwstr>
      </vt:variant>
      <vt:variant>
        <vt:lpwstr/>
      </vt:variant>
      <vt:variant>
        <vt:i4>6357011</vt:i4>
      </vt:variant>
      <vt:variant>
        <vt:i4>39</vt:i4>
      </vt:variant>
      <vt:variant>
        <vt:i4>0</vt:i4>
      </vt:variant>
      <vt:variant>
        <vt:i4>5</vt:i4>
      </vt:variant>
      <vt:variant>
        <vt:lpwstr>https://www.oecd.org/content/dam/oecd/en/publications/reports/2014/09/chemicals-used-in-the-electronics-industry_g1g48552/9789264221062-en.pdf</vt:lpwstr>
      </vt:variant>
      <vt:variant>
        <vt:lpwstr/>
      </vt:variant>
      <vt:variant>
        <vt:i4>8257646</vt:i4>
      </vt:variant>
      <vt:variant>
        <vt:i4>36</vt:i4>
      </vt:variant>
      <vt:variant>
        <vt:i4>0</vt:i4>
      </vt:variant>
      <vt:variant>
        <vt:i4>5</vt:i4>
      </vt:variant>
      <vt:variant>
        <vt:lpwstr>https://ec.europa.eu/commission/presscorner/detail/de/ip_25_2757</vt:lpwstr>
      </vt:variant>
      <vt:variant>
        <vt:lpwstr/>
      </vt:variant>
      <vt:variant>
        <vt:i4>3735655</vt:i4>
      </vt:variant>
      <vt:variant>
        <vt:i4>33</vt:i4>
      </vt:variant>
      <vt:variant>
        <vt:i4>0</vt:i4>
      </vt:variant>
      <vt:variant>
        <vt:i4>5</vt:i4>
      </vt:variant>
      <vt:variant>
        <vt:lpwstr>https://fuse.wikichip.org/news/3398/tsmc-details-5-nm/</vt:lpwstr>
      </vt:variant>
      <vt:variant>
        <vt:lpwstr/>
      </vt:variant>
      <vt:variant>
        <vt:i4>3014764</vt:i4>
      </vt:variant>
      <vt:variant>
        <vt:i4>30</vt:i4>
      </vt:variant>
      <vt:variant>
        <vt:i4>0</vt:i4>
      </vt:variant>
      <vt:variant>
        <vt:i4>5</vt:i4>
      </vt:variant>
      <vt:variant>
        <vt:lpwstr>https://doi.org/10.2760/038299</vt:lpwstr>
      </vt:variant>
      <vt:variant>
        <vt:lpwstr/>
      </vt:variant>
      <vt:variant>
        <vt:i4>6750217</vt:i4>
      </vt:variant>
      <vt:variant>
        <vt:i4>27</vt:i4>
      </vt:variant>
      <vt:variant>
        <vt:i4>0</vt:i4>
      </vt:variant>
      <vt:variant>
        <vt:i4>5</vt:i4>
      </vt:variant>
      <vt:variant>
        <vt:lpwstr>https://www.zvei.org/fileadmin/user_upload/Presse_und_Medien/Publikationen/2021/November/Halbleiterindustrie_fuer_Deutschland_und_Europa/Semiconductor-Strategy-for-Germany-and-Europe.pdf</vt:lpwstr>
      </vt:variant>
      <vt:variant>
        <vt:lpwstr/>
      </vt:variant>
      <vt:variant>
        <vt:i4>6750217</vt:i4>
      </vt:variant>
      <vt:variant>
        <vt:i4>24</vt:i4>
      </vt:variant>
      <vt:variant>
        <vt:i4>0</vt:i4>
      </vt:variant>
      <vt:variant>
        <vt:i4>5</vt:i4>
      </vt:variant>
      <vt:variant>
        <vt:lpwstr>https://www.zvei.org/fileadmin/user_upload/Presse_und_Medien/Publikationen/2021/November/Halbleiterindustrie_fuer_Deutschland_und_Europa/Semiconductor-Strategy-for-Germany-and-Europe.pdf</vt:lpwstr>
      </vt:variant>
      <vt:variant>
        <vt:lpwstr/>
      </vt:variant>
      <vt:variant>
        <vt:i4>1769576</vt:i4>
      </vt:variant>
      <vt:variant>
        <vt:i4>21</vt:i4>
      </vt:variant>
      <vt:variant>
        <vt:i4>0</vt:i4>
      </vt:variant>
      <vt:variant>
        <vt:i4>5</vt:i4>
      </vt:variant>
      <vt:variant>
        <vt:lpwstr>https://www.rapidus.inc/news_topics/news-info/rapidus-achieves-significant-milestone-at-its-state-of-the-art-foundry-with-prototyping-of-leading-edge-2nm-gaa-transistors-2/</vt:lpwstr>
      </vt:variant>
      <vt:variant>
        <vt:lpwstr/>
      </vt:variant>
      <vt:variant>
        <vt:i4>1245200</vt:i4>
      </vt:variant>
      <vt:variant>
        <vt:i4>18</vt:i4>
      </vt:variant>
      <vt:variant>
        <vt:i4>0</vt:i4>
      </vt:variant>
      <vt:variant>
        <vt:i4>5</vt:i4>
      </vt:variant>
      <vt:variant>
        <vt:lpwstr>https://www.reuters.com/technology/tsmc-begins-producing-4-nanometer-chips-arizona-raimondo-says-2025-01-10/</vt:lpwstr>
      </vt:variant>
      <vt:variant>
        <vt:lpwstr/>
      </vt:variant>
      <vt:variant>
        <vt:i4>4915232</vt:i4>
      </vt:variant>
      <vt:variant>
        <vt:i4>15</vt:i4>
      </vt:variant>
      <vt:variant>
        <vt:i4>0</vt:i4>
      </vt:variant>
      <vt:variant>
        <vt:i4>5</vt:i4>
      </vt:variant>
      <vt:variant>
        <vt:lpwstr>https://www.oecd.org/content/dam/oecd/en/publications/reports/2025/12/the-chip-landscape_27ef5d87/02dbd028-en.pdf</vt:lpwstr>
      </vt:variant>
      <vt:variant>
        <vt:lpwstr/>
      </vt:variant>
      <vt:variant>
        <vt:i4>7929888</vt:i4>
      </vt:variant>
      <vt:variant>
        <vt:i4>12</vt:i4>
      </vt:variant>
      <vt:variant>
        <vt:i4>0</vt:i4>
      </vt:variant>
      <vt:variant>
        <vt:i4>5</vt:i4>
      </vt:variant>
      <vt:variant>
        <vt:lpwstr>https://www.interface-eu.org/publications/chip-productions-ecological-footprint</vt:lpwstr>
      </vt:variant>
      <vt:variant>
        <vt:lpwstr/>
      </vt:variant>
      <vt:variant>
        <vt:i4>8192122</vt:i4>
      </vt:variant>
      <vt:variant>
        <vt:i4>9</vt:i4>
      </vt:variant>
      <vt:variant>
        <vt:i4>0</vt:i4>
      </vt:variant>
      <vt:variant>
        <vt:i4>5</vt:i4>
      </vt:variant>
      <vt:variant>
        <vt:lpwstr>https://www.semi.org/en/news-media-press-releases/semi-press-releases/global-semiconductor-capacity-projected-to-reach-record-high-30-million-wafers-per-month-in-2024-semi-reports</vt:lpwstr>
      </vt:variant>
      <vt:variant>
        <vt:lpwstr/>
      </vt:variant>
      <vt:variant>
        <vt:i4>3080292</vt:i4>
      </vt:variant>
      <vt:variant>
        <vt:i4>6</vt:i4>
      </vt:variant>
      <vt:variant>
        <vt:i4>0</vt:i4>
      </vt:variant>
      <vt:variant>
        <vt:i4>5</vt:i4>
      </vt:variant>
      <vt:variant>
        <vt:lpwstr>https://www.eetimes.eu/the-recovery-base-is-fragile-future-horizons-penn-says/</vt:lpwstr>
      </vt:variant>
      <vt:variant>
        <vt:lpwstr/>
      </vt:variant>
      <vt:variant>
        <vt:i4>3211378</vt:i4>
      </vt:variant>
      <vt:variant>
        <vt:i4>3</vt:i4>
      </vt:variant>
      <vt:variant>
        <vt:i4>0</vt:i4>
      </vt:variant>
      <vt:variant>
        <vt:i4>5</vt:i4>
      </vt:variant>
      <vt:variant>
        <vt:lpwstr>https://www.csis.org/analysis/streamlining-permitting-process-fab-construction</vt:lpwstr>
      </vt:variant>
      <vt:variant>
        <vt:lpwstr/>
      </vt:variant>
      <vt:variant>
        <vt:i4>3014775</vt:i4>
      </vt:variant>
      <vt:variant>
        <vt:i4>0</vt:i4>
      </vt:variant>
      <vt:variant>
        <vt:i4>0</vt:i4>
      </vt:variant>
      <vt:variant>
        <vt:i4>5</vt:i4>
      </vt:variant>
      <vt:variant>
        <vt:lpwstr>https://www.europarl.europa.eu/RegData/etudes/STUD/2025/773027/IUST_STU(2025)773027_EN.pdf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791</cp:revision>
  <cp:lastPrinted>2023-07-02T07:29:00Z</cp:lastPrinted>
  <dcterms:created xsi:type="dcterms:W3CDTF">2026-05-02T10:22:00Z</dcterms:created>
  <dcterms:modified xsi:type="dcterms:W3CDTF">2026-06-02T17:01:00Z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PTemplateID">
    <vt:lpwstr>CP-026</vt:lpwstr>
  </property>
  <property fmtid="{D5CDD505-2E9C-101B-9397-08002B2CF9AE}" pid="3" name="Last edited using">
    <vt:lpwstr>LW 9.2, Build 20250828</vt:lpwstr>
  </property>
  <property fmtid="{D5CDD505-2E9C-101B-9397-08002B2CF9AE}" pid="4" name="Created using">
    <vt:lpwstr>LW 7.0.1, Build 20190916</vt:lpwstr>
  </property>
  <property fmtid="{D5CDD505-2E9C-101B-9397-08002B2CF9AE}" pid="5" name="MSIP_Label_6bd9ddd1-4d20-43f6-abfa-fc3c07406f94_Enabled">
    <vt:lpwstr>true</vt:lpwstr>
  </property>
  <property fmtid="{D5CDD505-2E9C-101B-9397-08002B2CF9AE}" pid="6" name="MSIP_Label_6bd9ddd1-4d20-43f6-abfa-fc3c07406f94_SetDate">
    <vt:lpwstr>2023-01-13T16:09:08Z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7e673b8e-6dd8-49f6-a98b-2979beb59a23</vt:lpwstr>
  </property>
  <property fmtid="{D5CDD505-2E9C-101B-9397-08002B2CF9AE}" pid="11" name="MSIP_Label_6bd9ddd1-4d20-43f6-abfa-fc3c07406f94_ContentBits">
    <vt:lpwstr>0</vt:lpwstr>
  </property>
  <property fmtid="{D5CDD505-2E9C-101B-9397-08002B2CF9AE}" pid="12" name="ContentTypeId">
    <vt:lpwstr>0x0101009A51534F60A5B448B6E4B19C6951FA3E</vt:lpwstr>
  </property>
  <property fmtid="{D5CDD505-2E9C-101B-9397-08002B2CF9AE}" pid="13" name="TaxKeyword">
    <vt:lpwstr/>
  </property>
  <property fmtid="{D5CDD505-2E9C-101B-9397-08002B2CF9AE}" pid="14" name="MediaServiceImageTags">
    <vt:lpwstr/>
  </property>
  <property fmtid="{D5CDD505-2E9C-101B-9397-08002B2CF9AE}" pid="15" name="Responsible_x0020_unit_x0020_">
    <vt:lpwstr>151;#SG.C.2|c917e1f5-7912-4eb9-962c-e792a6657685</vt:lpwstr>
  </property>
  <property fmtid="{D5CDD505-2E9C-101B-9397-08002B2CF9AE}" pid="16" name="Responsible unit ">
    <vt:lpwstr>151;#SG.C.2|c917e1f5-7912-4eb9-962c-e792a6657685</vt:lpwstr>
  </property>
  <property fmtid="{D5CDD505-2E9C-101B-9397-08002B2CF9AE}" pid="17" name="Responsible unit">
    <vt:lpwstr/>
  </property>
  <property fmtid="{D5CDD505-2E9C-101B-9397-08002B2CF9AE}" pid="18" name="Level of sensitivity">
    <vt:lpwstr>Standard treatment</vt:lpwstr>
  </property>
  <property fmtid="{D5CDD505-2E9C-101B-9397-08002B2CF9AE}" pid="19" name="Part">
    <vt:lpwstr>2</vt:lpwstr>
  </property>
  <property fmtid="{D5CDD505-2E9C-101B-9397-08002B2CF9AE}" pid="20" name="Total parts">
    <vt:lpwstr>3</vt:lpwstr>
  </property>
  <property fmtid="{D5CDD505-2E9C-101B-9397-08002B2CF9AE}" pid="21" name="DocStatus">
    <vt:lpwstr>Green</vt:lpwstr>
  </property>
</Properties>
</file>